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2E4FB4" w:rsidRPr="009B37FD" w14:paraId="6BF2C41B" w14:textId="77777777">
        <w:trPr>
          <w:trHeight w:hRule="exact" w:val="979"/>
          <w:jc w:val="center"/>
        </w:trPr>
        <w:tc>
          <w:tcPr>
            <w:tcW w:w="10656" w:type="dxa"/>
            <w:gridSpan w:val="5"/>
            <w:tcBorders>
              <w:top w:val="single" w:sz="6" w:space="0" w:color="auto"/>
              <w:left w:val="nil"/>
              <w:bottom w:val="single" w:sz="6" w:space="0" w:color="auto"/>
              <w:right w:val="nil"/>
            </w:tcBorders>
            <w:vAlign w:val="bottom"/>
          </w:tcPr>
          <w:p w14:paraId="7CF61A96" w14:textId="77777777" w:rsidR="002E4FB4" w:rsidRPr="009B37FD" w:rsidRDefault="002E4FB4" w:rsidP="00EF549A">
            <w:pPr>
              <w:pStyle w:val="DataField11pt-Single"/>
              <w:tabs>
                <w:tab w:val="left" w:pos="6334"/>
              </w:tabs>
              <w:jc w:val="both"/>
              <w:rPr>
                <w:b/>
              </w:rPr>
            </w:pPr>
            <w:r w:rsidRPr="009B37FD">
              <w:rPr>
                <w:b/>
              </w:rPr>
              <w:t>BIOGRAPHICAL SKETCH</w:t>
            </w:r>
          </w:p>
          <w:p w14:paraId="0866D47F" w14:textId="77777777" w:rsidR="002E4FB4" w:rsidRPr="009B37FD" w:rsidRDefault="002E4FB4" w:rsidP="001122B3">
            <w:pPr>
              <w:pStyle w:val="HeadNoteNotItalics"/>
              <w:jc w:val="both"/>
              <w:rPr>
                <w:sz w:val="22"/>
                <w:szCs w:val="20"/>
              </w:rPr>
            </w:pPr>
            <w:r w:rsidRPr="009B37FD">
              <w:rPr>
                <w:sz w:val="22"/>
              </w:rPr>
              <w:t>Provide the following information for the key personnel and other significant contributors.</w:t>
            </w:r>
            <w:r w:rsidRPr="009B37FD">
              <w:rPr>
                <w:sz w:val="22"/>
              </w:rPr>
              <w:br w:type="textWrapping" w:clear="all"/>
              <w:t xml:space="preserve">Follow this format for each person. </w:t>
            </w:r>
            <w:r w:rsidRPr="009B37FD">
              <w:rPr>
                <w:b/>
                <w:bCs/>
                <w:sz w:val="22"/>
              </w:rPr>
              <w:t xml:space="preserve"> DO NOT EXCEED FOUR PAGES.</w:t>
            </w:r>
          </w:p>
        </w:tc>
      </w:tr>
      <w:tr w:rsidR="002E4FB4" w:rsidRPr="009B37FD" w14:paraId="2E87B9BC" w14:textId="77777777">
        <w:trPr>
          <w:trHeight w:hRule="exact" w:val="216"/>
          <w:jc w:val="center"/>
        </w:trPr>
        <w:tc>
          <w:tcPr>
            <w:tcW w:w="10656" w:type="dxa"/>
            <w:gridSpan w:val="5"/>
            <w:tcBorders>
              <w:top w:val="single" w:sz="6" w:space="0" w:color="auto"/>
              <w:left w:val="nil"/>
              <w:bottom w:val="single" w:sz="6" w:space="0" w:color="auto"/>
              <w:right w:val="nil"/>
            </w:tcBorders>
          </w:tcPr>
          <w:p w14:paraId="5B5A33F2" w14:textId="77777777" w:rsidR="002E4FB4" w:rsidRPr="009B37FD" w:rsidRDefault="002E4FB4" w:rsidP="001122B3">
            <w:pPr>
              <w:jc w:val="both"/>
              <w:rPr>
                <w:rFonts w:ascii="Arial" w:hAnsi="Arial" w:cs="Arial"/>
                <w:sz w:val="22"/>
                <w:szCs w:val="20"/>
              </w:rPr>
            </w:pPr>
          </w:p>
        </w:tc>
      </w:tr>
      <w:tr w:rsidR="002E4FB4" w:rsidRPr="009B37FD" w14:paraId="39F4657C" w14:textId="77777777">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27ED2D93" w14:textId="77777777" w:rsidR="002E4FB4" w:rsidRPr="009B37FD" w:rsidRDefault="002E4FB4" w:rsidP="001122B3">
            <w:pPr>
              <w:pStyle w:val="FormFieldCaption"/>
              <w:jc w:val="both"/>
              <w:rPr>
                <w:sz w:val="22"/>
              </w:rPr>
            </w:pPr>
            <w:r w:rsidRPr="009B37FD">
              <w:rPr>
                <w:sz w:val="22"/>
              </w:rPr>
              <w:t>NAME</w:t>
            </w:r>
          </w:p>
          <w:p w14:paraId="50FA36CB" w14:textId="2048F884" w:rsidR="002E4FB4" w:rsidRPr="009B37FD" w:rsidRDefault="003F5CA4" w:rsidP="003F5CA4">
            <w:pPr>
              <w:pStyle w:val="DataField11pt-Single"/>
              <w:jc w:val="both"/>
            </w:pPr>
            <w:r>
              <w:t>Gloor</w:t>
            </w:r>
            <w:r w:rsidR="002E4FB4" w:rsidRPr="009B37FD">
              <w:t xml:space="preserve">, </w:t>
            </w:r>
            <w:proofErr w:type="spellStart"/>
            <w:r>
              <w:t>Gregort</w:t>
            </w:r>
            <w:proofErr w:type="spellEnd"/>
          </w:p>
        </w:tc>
        <w:tc>
          <w:tcPr>
            <w:tcW w:w="5328" w:type="dxa"/>
            <w:gridSpan w:val="3"/>
            <w:vMerge w:val="restart"/>
            <w:tcBorders>
              <w:top w:val="single" w:sz="6" w:space="0" w:color="auto"/>
              <w:left w:val="nil"/>
              <w:right w:val="nil"/>
            </w:tcBorders>
            <w:tcMar>
              <w:top w:w="14" w:type="dxa"/>
              <w:bottom w:w="14" w:type="dxa"/>
            </w:tcMar>
          </w:tcPr>
          <w:p w14:paraId="2A14F425" w14:textId="77777777" w:rsidR="002E4FB4" w:rsidRPr="009B37FD" w:rsidRDefault="002E4FB4" w:rsidP="001122B3">
            <w:pPr>
              <w:pStyle w:val="FormFieldCaption"/>
              <w:jc w:val="both"/>
              <w:rPr>
                <w:sz w:val="22"/>
              </w:rPr>
            </w:pPr>
            <w:r w:rsidRPr="009B37FD">
              <w:rPr>
                <w:sz w:val="22"/>
              </w:rPr>
              <w:t>POSITION TITLE</w:t>
            </w:r>
          </w:p>
          <w:p w14:paraId="00E70696" w14:textId="0C06ECAD" w:rsidR="002E4FB4" w:rsidRPr="009B37FD" w:rsidRDefault="003F5CA4" w:rsidP="001122B3">
            <w:pPr>
              <w:pStyle w:val="DataField11pt-Single"/>
              <w:jc w:val="both"/>
            </w:pPr>
            <w:r>
              <w:t>Professor of Biochemistry</w:t>
            </w:r>
          </w:p>
        </w:tc>
      </w:tr>
      <w:tr w:rsidR="002E4FB4" w:rsidRPr="009B37FD" w14:paraId="2EB72D2C" w14:textId="77777777">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6FE61A57" w14:textId="77777777" w:rsidR="002E4FB4" w:rsidRPr="009B37FD" w:rsidRDefault="002E4FB4" w:rsidP="001122B3">
            <w:pPr>
              <w:pStyle w:val="FormFieldCaption"/>
              <w:jc w:val="both"/>
              <w:rPr>
                <w:sz w:val="22"/>
              </w:rPr>
            </w:pPr>
            <w:proofErr w:type="spellStart"/>
            <w:proofErr w:type="gramStart"/>
            <w:r w:rsidRPr="009B37FD">
              <w:rPr>
                <w:sz w:val="22"/>
              </w:rPr>
              <w:t>eRA</w:t>
            </w:r>
            <w:proofErr w:type="spellEnd"/>
            <w:proofErr w:type="gramEnd"/>
            <w:r w:rsidRPr="009B37FD">
              <w:rPr>
                <w:sz w:val="22"/>
              </w:rPr>
              <w:t xml:space="preserve"> COMMONS USER NAME</w:t>
            </w:r>
          </w:p>
          <w:p w14:paraId="698D6E2B" w14:textId="545EDB67" w:rsidR="002E4FB4" w:rsidRPr="009B37FD" w:rsidRDefault="003F5CA4" w:rsidP="001122B3">
            <w:pPr>
              <w:pStyle w:val="DataField11pt-Single"/>
              <w:jc w:val="both"/>
            </w:pPr>
            <w:r>
              <w:t>GGLOOR</w:t>
            </w:r>
          </w:p>
        </w:tc>
        <w:tc>
          <w:tcPr>
            <w:tcW w:w="5328" w:type="dxa"/>
            <w:gridSpan w:val="3"/>
            <w:vMerge/>
            <w:tcBorders>
              <w:left w:val="nil"/>
              <w:bottom w:val="single" w:sz="6" w:space="0" w:color="auto"/>
              <w:right w:val="nil"/>
            </w:tcBorders>
            <w:tcMar>
              <w:top w:w="14" w:type="dxa"/>
              <w:bottom w:w="14" w:type="dxa"/>
            </w:tcMar>
          </w:tcPr>
          <w:p w14:paraId="71C85D7B" w14:textId="77777777" w:rsidR="002E4FB4" w:rsidRPr="009B37FD" w:rsidRDefault="002E4FB4" w:rsidP="001122B3">
            <w:pPr>
              <w:pStyle w:val="FormFieldCaption"/>
              <w:jc w:val="both"/>
              <w:rPr>
                <w:sz w:val="22"/>
              </w:rPr>
            </w:pPr>
          </w:p>
        </w:tc>
      </w:tr>
      <w:tr w:rsidR="002E4FB4" w:rsidRPr="009B37FD" w14:paraId="23B97EFD" w14:textId="77777777">
        <w:trPr>
          <w:jc w:val="center"/>
        </w:trPr>
        <w:tc>
          <w:tcPr>
            <w:tcW w:w="5058" w:type="dxa"/>
            <w:tcBorders>
              <w:top w:val="single" w:sz="6" w:space="0" w:color="auto"/>
              <w:left w:val="nil"/>
              <w:bottom w:val="single" w:sz="6" w:space="0" w:color="auto"/>
              <w:right w:val="single" w:sz="6" w:space="0" w:color="auto"/>
            </w:tcBorders>
            <w:vAlign w:val="center"/>
          </w:tcPr>
          <w:p w14:paraId="3FE2DE0A" w14:textId="77777777" w:rsidR="002E4FB4" w:rsidRPr="009B37FD" w:rsidRDefault="002E4FB4" w:rsidP="001122B3">
            <w:pPr>
              <w:pStyle w:val="FormFieldCaption"/>
              <w:jc w:val="both"/>
              <w:rPr>
                <w:sz w:val="22"/>
              </w:rPr>
            </w:pPr>
            <w:r w:rsidRPr="009B37FD">
              <w:rPr>
                <w:sz w:val="22"/>
              </w:rPr>
              <w:t>INSTITUTION AND LOCATION</w:t>
            </w:r>
          </w:p>
        </w:tc>
        <w:tc>
          <w:tcPr>
            <w:tcW w:w="1511" w:type="dxa"/>
            <w:gridSpan w:val="2"/>
            <w:tcBorders>
              <w:top w:val="single" w:sz="6" w:space="0" w:color="auto"/>
              <w:left w:val="nil"/>
              <w:bottom w:val="single" w:sz="6" w:space="0" w:color="auto"/>
              <w:right w:val="single" w:sz="6" w:space="0" w:color="auto"/>
            </w:tcBorders>
            <w:vAlign w:val="center"/>
          </w:tcPr>
          <w:p w14:paraId="7D6CF641" w14:textId="77777777" w:rsidR="002E4FB4" w:rsidRPr="009B37FD" w:rsidRDefault="002E4FB4" w:rsidP="001122B3">
            <w:pPr>
              <w:pStyle w:val="FormFieldCaption"/>
              <w:jc w:val="both"/>
              <w:rPr>
                <w:sz w:val="22"/>
              </w:rPr>
            </w:pPr>
            <w:r w:rsidRPr="009B37FD">
              <w:rPr>
                <w:sz w:val="22"/>
              </w:rPr>
              <w:t>DEGREE</w:t>
            </w:r>
          </w:p>
          <w:p w14:paraId="58300689" w14:textId="77777777" w:rsidR="002E4FB4" w:rsidRPr="009B37FD" w:rsidRDefault="002E4FB4" w:rsidP="001122B3">
            <w:pPr>
              <w:pStyle w:val="FormFieldCaption"/>
              <w:jc w:val="both"/>
              <w:rPr>
                <w:i/>
                <w:iCs/>
                <w:sz w:val="22"/>
              </w:rPr>
            </w:pPr>
            <w:r w:rsidRPr="009B37FD">
              <w:rPr>
                <w:i/>
                <w:iCs/>
                <w:sz w:val="22"/>
              </w:rPr>
              <w:t>(</w:t>
            </w:r>
            <w:proofErr w:type="gramStart"/>
            <w:r w:rsidRPr="009B37FD">
              <w:rPr>
                <w:i/>
                <w:iCs/>
                <w:sz w:val="22"/>
              </w:rPr>
              <w:t>if</w:t>
            </w:r>
            <w:proofErr w:type="gramEnd"/>
            <w:r w:rsidRPr="009B37FD">
              <w:rPr>
                <w:i/>
                <w:iCs/>
                <w:sz w:val="22"/>
              </w:rPr>
              <w:t xml:space="preserve"> applicable)</w:t>
            </w:r>
          </w:p>
        </w:tc>
        <w:tc>
          <w:tcPr>
            <w:tcW w:w="1422" w:type="dxa"/>
            <w:tcBorders>
              <w:top w:val="single" w:sz="6" w:space="0" w:color="auto"/>
              <w:left w:val="nil"/>
              <w:bottom w:val="single" w:sz="6" w:space="0" w:color="auto"/>
              <w:right w:val="single" w:sz="6" w:space="0" w:color="auto"/>
            </w:tcBorders>
            <w:vAlign w:val="center"/>
          </w:tcPr>
          <w:p w14:paraId="45779767" w14:textId="77777777" w:rsidR="002E4FB4" w:rsidRPr="009B37FD" w:rsidRDefault="002E4FB4" w:rsidP="001122B3">
            <w:pPr>
              <w:pStyle w:val="FormFieldCaption"/>
              <w:jc w:val="both"/>
              <w:rPr>
                <w:sz w:val="22"/>
              </w:rPr>
            </w:pPr>
            <w:r w:rsidRPr="009B37FD">
              <w:rPr>
                <w:sz w:val="22"/>
              </w:rPr>
              <w:t>YEAR(s)</w:t>
            </w:r>
          </w:p>
        </w:tc>
        <w:tc>
          <w:tcPr>
            <w:tcW w:w="2665" w:type="dxa"/>
            <w:tcBorders>
              <w:top w:val="single" w:sz="6" w:space="0" w:color="auto"/>
              <w:left w:val="single" w:sz="6" w:space="0" w:color="auto"/>
              <w:bottom w:val="single" w:sz="6" w:space="0" w:color="auto"/>
            </w:tcBorders>
            <w:vAlign w:val="center"/>
          </w:tcPr>
          <w:p w14:paraId="17F817E6" w14:textId="77777777" w:rsidR="002E4FB4" w:rsidRPr="009B37FD" w:rsidRDefault="002E4FB4" w:rsidP="001122B3">
            <w:pPr>
              <w:pStyle w:val="FormFieldCaption"/>
              <w:jc w:val="both"/>
              <w:rPr>
                <w:sz w:val="22"/>
              </w:rPr>
            </w:pPr>
            <w:r w:rsidRPr="009B37FD">
              <w:rPr>
                <w:sz w:val="22"/>
              </w:rPr>
              <w:t>FIELD OF STUDY</w:t>
            </w:r>
          </w:p>
        </w:tc>
      </w:tr>
      <w:tr w:rsidR="002E4FB4" w:rsidRPr="009B37FD" w14:paraId="3A6E5935" w14:textId="77777777">
        <w:trPr>
          <w:jc w:val="center"/>
        </w:trPr>
        <w:tc>
          <w:tcPr>
            <w:tcW w:w="5058" w:type="dxa"/>
            <w:tcBorders>
              <w:top w:val="single" w:sz="6" w:space="0" w:color="auto"/>
              <w:left w:val="nil"/>
              <w:bottom w:val="nil"/>
              <w:right w:val="single" w:sz="4" w:space="0" w:color="auto"/>
            </w:tcBorders>
            <w:vAlign w:val="center"/>
          </w:tcPr>
          <w:p w14:paraId="1E497EBD" w14:textId="2E58E367" w:rsidR="002E4FB4" w:rsidRPr="009B37FD" w:rsidRDefault="003F5CA4" w:rsidP="001122B3">
            <w:pPr>
              <w:pStyle w:val="DataField11pt-Single"/>
              <w:jc w:val="both"/>
            </w:pPr>
            <w:r>
              <w:t>University of Western Ontario, Canada</w:t>
            </w:r>
          </w:p>
        </w:tc>
        <w:tc>
          <w:tcPr>
            <w:tcW w:w="1511" w:type="dxa"/>
            <w:gridSpan w:val="2"/>
            <w:tcBorders>
              <w:top w:val="single" w:sz="6" w:space="0" w:color="auto"/>
              <w:left w:val="single" w:sz="4" w:space="0" w:color="auto"/>
              <w:bottom w:val="nil"/>
              <w:right w:val="single" w:sz="4" w:space="0" w:color="auto"/>
            </w:tcBorders>
            <w:vAlign w:val="center"/>
          </w:tcPr>
          <w:p w14:paraId="048FCF70" w14:textId="77777777" w:rsidR="002E4FB4" w:rsidRPr="009B37FD" w:rsidRDefault="002E4FB4" w:rsidP="001122B3">
            <w:pPr>
              <w:pStyle w:val="DataField11pt-Single"/>
              <w:jc w:val="both"/>
            </w:pPr>
            <w:proofErr w:type="spellStart"/>
            <w:r w:rsidRPr="009B37FD">
              <w:t>B.Sc</w:t>
            </w:r>
            <w:proofErr w:type="spellEnd"/>
            <w:r w:rsidRPr="009B37FD">
              <w:t xml:space="preserve"> (</w:t>
            </w:r>
            <w:proofErr w:type="spellStart"/>
            <w:r w:rsidRPr="009B37FD">
              <w:t>Hons</w:t>
            </w:r>
            <w:proofErr w:type="spellEnd"/>
            <w:r w:rsidRPr="009B37FD">
              <w:t>.)</w:t>
            </w:r>
          </w:p>
        </w:tc>
        <w:tc>
          <w:tcPr>
            <w:tcW w:w="1422" w:type="dxa"/>
            <w:tcBorders>
              <w:top w:val="single" w:sz="6" w:space="0" w:color="auto"/>
              <w:left w:val="single" w:sz="4" w:space="0" w:color="auto"/>
              <w:bottom w:val="nil"/>
              <w:right w:val="single" w:sz="4" w:space="0" w:color="auto"/>
            </w:tcBorders>
            <w:vAlign w:val="center"/>
          </w:tcPr>
          <w:p w14:paraId="1C15A6B3" w14:textId="144227BF" w:rsidR="002E4FB4" w:rsidRPr="009B37FD" w:rsidRDefault="003F5CA4" w:rsidP="001122B3">
            <w:pPr>
              <w:pStyle w:val="DataField11pt-Single"/>
              <w:jc w:val="both"/>
            </w:pPr>
            <w:r>
              <w:t>June 1983</w:t>
            </w:r>
          </w:p>
        </w:tc>
        <w:tc>
          <w:tcPr>
            <w:tcW w:w="2665" w:type="dxa"/>
            <w:tcBorders>
              <w:top w:val="single" w:sz="6" w:space="0" w:color="auto"/>
              <w:left w:val="single" w:sz="4" w:space="0" w:color="auto"/>
              <w:bottom w:val="nil"/>
              <w:right w:val="nil"/>
            </w:tcBorders>
            <w:vAlign w:val="center"/>
          </w:tcPr>
          <w:p w14:paraId="05A8DE8C" w14:textId="07D639F2" w:rsidR="002E4FB4" w:rsidRPr="009B37FD" w:rsidRDefault="003F5CA4" w:rsidP="001122B3">
            <w:pPr>
              <w:pStyle w:val="DataField11pt-Single"/>
              <w:jc w:val="both"/>
            </w:pPr>
            <w:r>
              <w:t>Genetics</w:t>
            </w:r>
          </w:p>
        </w:tc>
      </w:tr>
      <w:tr w:rsidR="002E4FB4" w:rsidRPr="009B37FD" w14:paraId="05DA2D8B" w14:textId="77777777">
        <w:trPr>
          <w:jc w:val="center"/>
        </w:trPr>
        <w:tc>
          <w:tcPr>
            <w:tcW w:w="5058" w:type="dxa"/>
            <w:tcBorders>
              <w:top w:val="nil"/>
              <w:left w:val="nil"/>
              <w:bottom w:val="nil"/>
              <w:right w:val="single" w:sz="4" w:space="0" w:color="auto"/>
            </w:tcBorders>
            <w:vAlign w:val="center"/>
          </w:tcPr>
          <w:p w14:paraId="36611082" w14:textId="2318A13D" w:rsidR="002E4FB4" w:rsidRPr="009B37FD" w:rsidRDefault="003F5CA4" w:rsidP="001122B3">
            <w:pPr>
              <w:pStyle w:val="DataField11pt-Single"/>
              <w:jc w:val="both"/>
            </w:pPr>
            <w:r>
              <w:t>University of Western Ontario, Canada</w:t>
            </w:r>
          </w:p>
        </w:tc>
        <w:tc>
          <w:tcPr>
            <w:tcW w:w="1511" w:type="dxa"/>
            <w:gridSpan w:val="2"/>
            <w:tcBorders>
              <w:top w:val="nil"/>
              <w:left w:val="single" w:sz="4" w:space="0" w:color="auto"/>
              <w:bottom w:val="nil"/>
              <w:right w:val="single" w:sz="4" w:space="0" w:color="auto"/>
            </w:tcBorders>
            <w:vAlign w:val="center"/>
          </w:tcPr>
          <w:p w14:paraId="44C3254A" w14:textId="77777777" w:rsidR="002E4FB4" w:rsidRPr="009B37FD" w:rsidRDefault="002E4FB4" w:rsidP="001122B3">
            <w:pPr>
              <w:pStyle w:val="DataField11pt-Single"/>
              <w:jc w:val="both"/>
            </w:pPr>
            <w:r w:rsidRPr="009B37FD">
              <w:t>Ph.D.</w:t>
            </w:r>
          </w:p>
        </w:tc>
        <w:tc>
          <w:tcPr>
            <w:tcW w:w="1422" w:type="dxa"/>
            <w:tcBorders>
              <w:top w:val="nil"/>
              <w:left w:val="single" w:sz="4" w:space="0" w:color="auto"/>
              <w:bottom w:val="nil"/>
              <w:right w:val="single" w:sz="4" w:space="0" w:color="auto"/>
            </w:tcBorders>
            <w:vAlign w:val="center"/>
          </w:tcPr>
          <w:p w14:paraId="0D7A6E77" w14:textId="629FAB2D" w:rsidR="002E4FB4" w:rsidRPr="009B37FD" w:rsidRDefault="003F5CA4" w:rsidP="001122B3">
            <w:pPr>
              <w:pStyle w:val="DataField11pt-Single"/>
              <w:jc w:val="both"/>
            </w:pPr>
            <w:r>
              <w:t>June 1988</w:t>
            </w:r>
          </w:p>
        </w:tc>
        <w:tc>
          <w:tcPr>
            <w:tcW w:w="2665" w:type="dxa"/>
            <w:tcBorders>
              <w:top w:val="nil"/>
              <w:left w:val="single" w:sz="4" w:space="0" w:color="auto"/>
              <w:bottom w:val="nil"/>
              <w:right w:val="nil"/>
            </w:tcBorders>
            <w:vAlign w:val="center"/>
          </w:tcPr>
          <w:p w14:paraId="2CEC71E5" w14:textId="4E9E6A17" w:rsidR="002E4FB4" w:rsidRPr="009B37FD" w:rsidRDefault="003F5CA4" w:rsidP="001122B3">
            <w:pPr>
              <w:pStyle w:val="DataField11pt-Single"/>
              <w:jc w:val="both"/>
            </w:pPr>
            <w:r>
              <w:t>Biochemistry</w:t>
            </w:r>
          </w:p>
        </w:tc>
      </w:tr>
      <w:tr w:rsidR="002E4FB4" w:rsidRPr="009B37FD" w14:paraId="0F0B1D83" w14:textId="77777777" w:rsidTr="00835F13">
        <w:trPr>
          <w:trHeight w:val="412"/>
          <w:jc w:val="center"/>
        </w:trPr>
        <w:tc>
          <w:tcPr>
            <w:tcW w:w="5058" w:type="dxa"/>
            <w:tcBorders>
              <w:top w:val="nil"/>
              <w:left w:val="nil"/>
              <w:bottom w:val="nil"/>
              <w:right w:val="single" w:sz="4" w:space="0" w:color="auto"/>
            </w:tcBorders>
            <w:vAlign w:val="center"/>
          </w:tcPr>
          <w:p w14:paraId="1EC5B9C7" w14:textId="77777777" w:rsidR="002E4FB4" w:rsidRDefault="003F5CA4" w:rsidP="001122B3">
            <w:pPr>
              <w:pStyle w:val="DataField11pt-Single"/>
              <w:jc w:val="both"/>
            </w:pPr>
            <w:r>
              <w:t>University of Wisconsin-Madison</w:t>
            </w:r>
          </w:p>
          <w:p w14:paraId="1E11EEB0" w14:textId="23D08B4B" w:rsidR="00835F13" w:rsidRPr="009B37FD" w:rsidRDefault="00835F13" w:rsidP="001122B3">
            <w:pPr>
              <w:pStyle w:val="DataField11pt-Single"/>
              <w:jc w:val="both"/>
            </w:pPr>
          </w:p>
        </w:tc>
        <w:tc>
          <w:tcPr>
            <w:tcW w:w="1511" w:type="dxa"/>
            <w:gridSpan w:val="2"/>
            <w:tcBorders>
              <w:top w:val="nil"/>
              <w:left w:val="single" w:sz="4" w:space="0" w:color="auto"/>
              <w:bottom w:val="nil"/>
              <w:right w:val="single" w:sz="4" w:space="0" w:color="auto"/>
            </w:tcBorders>
            <w:vAlign w:val="center"/>
          </w:tcPr>
          <w:p w14:paraId="6E4941EA" w14:textId="47F431FD" w:rsidR="002E4FB4" w:rsidRDefault="00835F13" w:rsidP="001122B3">
            <w:pPr>
              <w:pStyle w:val="DataField11pt-Single"/>
              <w:jc w:val="both"/>
            </w:pPr>
            <w:r w:rsidRPr="009B37FD">
              <w:t>P</w:t>
            </w:r>
            <w:r w:rsidR="00CB6EAD" w:rsidRPr="009B37FD">
              <w:t>ostdoc</w:t>
            </w:r>
          </w:p>
          <w:p w14:paraId="30FE8A77" w14:textId="466ECD8E" w:rsidR="00835F13" w:rsidRPr="009B37FD" w:rsidRDefault="00835F13" w:rsidP="001122B3">
            <w:pPr>
              <w:pStyle w:val="DataField11pt-Single"/>
              <w:jc w:val="both"/>
            </w:pPr>
          </w:p>
        </w:tc>
        <w:tc>
          <w:tcPr>
            <w:tcW w:w="1422" w:type="dxa"/>
            <w:tcBorders>
              <w:top w:val="nil"/>
              <w:left w:val="single" w:sz="4" w:space="0" w:color="auto"/>
              <w:bottom w:val="nil"/>
              <w:right w:val="single" w:sz="4" w:space="0" w:color="auto"/>
            </w:tcBorders>
            <w:vAlign w:val="center"/>
          </w:tcPr>
          <w:p w14:paraId="59601F59" w14:textId="77777777" w:rsidR="002E4FB4" w:rsidRDefault="003F5CA4" w:rsidP="001122B3">
            <w:pPr>
              <w:pStyle w:val="DataField11pt-Single"/>
              <w:jc w:val="both"/>
            </w:pPr>
            <w:r>
              <w:t>1988-1990</w:t>
            </w:r>
          </w:p>
          <w:p w14:paraId="3012B75F" w14:textId="56BDB252" w:rsidR="00835F13" w:rsidRPr="009B37FD" w:rsidRDefault="00835F13" w:rsidP="001122B3">
            <w:pPr>
              <w:pStyle w:val="DataField11pt-Single"/>
              <w:jc w:val="both"/>
            </w:pPr>
          </w:p>
        </w:tc>
        <w:tc>
          <w:tcPr>
            <w:tcW w:w="2665" w:type="dxa"/>
            <w:tcBorders>
              <w:top w:val="nil"/>
              <w:left w:val="single" w:sz="4" w:space="0" w:color="auto"/>
              <w:bottom w:val="nil"/>
              <w:right w:val="nil"/>
            </w:tcBorders>
            <w:vAlign w:val="center"/>
          </w:tcPr>
          <w:p w14:paraId="1A48F9B6" w14:textId="77777777" w:rsidR="002E4FB4" w:rsidRDefault="00CB6EAD" w:rsidP="001122B3">
            <w:pPr>
              <w:pStyle w:val="DataField11pt-Single"/>
              <w:jc w:val="both"/>
            </w:pPr>
            <w:r w:rsidRPr="009B37FD">
              <w:t>Molecular Microbiology</w:t>
            </w:r>
          </w:p>
          <w:p w14:paraId="59117D92" w14:textId="45EE0189" w:rsidR="00835F13" w:rsidRPr="009B37FD" w:rsidRDefault="00835F13" w:rsidP="001122B3">
            <w:pPr>
              <w:pStyle w:val="DataField11pt-Single"/>
              <w:jc w:val="both"/>
            </w:pPr>
          </w:p>
        </w:tc>
      </w:tr>
    </w:tbl>
    <w:p w14:paraId="3157F5FB" w14:textId="0618DF22" w:rsidR="002E4FB4" w:rsidRPr="009B37FD" w:rsidRDefault="002E4FB4" w:rsidP="001122B3">
      <w:pPr>
        <w:pStyle w:val="DataField11pt-Single"/>
        <w:jc w:val="both"/>
      </w:pPr>
    </w:p>
    <w:p w14:paraId="168473AE" w14:textId="77777777" w:rsidR="001D7244" w:rsidRPr="009B37FD" w:rsidRDefault="001D7244" w:rsidP="001122B3">
      <w:pPr>
        <w:pStyle w:val="DataField11pt-Single"/>
        <w:jc w:val="both"/>
        <w:rPr>
          <w:b/>
        </w:rPr>
      </w:pPr>
      <w:r w:rsidRPr="009B37FD">
        <w:rPr>
          <w:b/>
        </w:rPr>
        <w:t>A. Personal Statement</w:t>
      </w:r>
    </w:p>
    <w:p w14:paraId="419C4AFF" w14:textId="61C3C61C" w:rsidR="00191F20" w:rsidRDefault="0000189E" w:rsidP="0000189E">
      <w:pPr>
        <w:pStyle w:val="DataField11pt-Single"/>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pPr>
      <w:r>
        <w:t>My work focuses on computational biology and bioinformatics</w:t>
      </w:r>
      <w:proofErr w:type="gramStart"/>
      <w:r>
        <w:t>;</w:t>
      </w:r>
      <w:proofErr w:type="gramEnd"/>
      <w:r>
        <w:t xml:space="preserve"> with an interest in the use of high-throughput sequencing methods to study bacterial populations and a second interest in molecular evolution. Oddly enough these two research areas fit very nicely together as they both deal with very large numbers of data points and use very similar statistical analysis tools. I have found that the underlying tools in one domain translate rather well into the other. </w:t>
      </w:r>
      <w:r w:rsidRPr="0000189E">
        <w:t xml:space="preserve">I </w:t>
      </w:r>
      <w:r>
        <w:t>also actively develop method</w:t>
      </w:r>
      <w:r w:rsidRPr="0000189E">
        <w:t xml:space="preserve"> to characteri</w:t>
      </w:r>
      <w:r>
        <w:t xml:space="preserve">ze </w:t>
      </w:r>
      <w:proofErr w:type="spellStart"/>
      <w:r>
        <w:t>microbiota</w:t>
      </w:r>
      <w:proofErr w:type="spellEnd"/>
      <w:r>
        <w:t xml:space="preserve"> samples using emerging sequencing platforms</w:t>
      </w:r>
      <w:r w:rsidRPr="0000189E">
        <w:t>.</w:t>
      </w:r>
      <w:r>
        <w:t xml:space="preserve"> We were the first to develop a method for the </w:t>
      </w:r>
      <w:proofErr w:type="spellStart"/>
      <w:r>
        <w:t>Illumina</w:t>
      </w:r>
      <w:proofErr w:type="spellEnd"/>
      <w:r>
        <w:t xml:space="preserve"> GA/</w:t>
      </w:r>
      <w:proofErr w:type="spellStart"/>
      <w:r>
        <w:t>HiSeq</w:t>
      </w:r>
      <w:proofErr w:type="spellEnd"/>
      <w:r>
        <w:t xml:space="preserve"> platform, developed 16S sequencing methods for the Ion Torrent, and recently l have developed a strategy for sequencing </w:t>
      </w:r>
      <w:proofErr w:type="spellStart"/>
      <w:r>
        <w:t>amplimers</w:t>
      </w:r>
      <w:proofErr w:type="spellEnd"/>
      <w:r>
        <w:t xml:space="preserve"> of arbitrarily low complexity on the </w:t>
      </w:r>
      <w:proofErr w:type="spellStart"/>
      <w:r>
        <w:t>Illumina</w:t>
      </w:r>
      <w:proofErr w:type="spellEnd"/>
      <w:r>
        <w:t xml:space="preserve"> </w:t>
      </w:r>
      <w:proofErr w:type="spellStart"/>
      <w:r>
        <w:t>MiSeq</w:t>
      </w:r>
      <w:proofErr w:type="spellEnd"/>
      <w:r>
        <w:t xml:space="preserve"> platform.</w:t>
      </w:r>
      <w:r w:rsidR="00357882" w:rsidRPr="00357882">
        <w:t xml:space="preserve"> </w:t>
      </w:r>
      <w:r w:rsidR="00357882">
        <w:t>My lab developed a novel statistical method for meta-RNA-</w:t>
      </w:r>
      <w:proofErr w:type="spellStart"/>
      <w:r w:rsidR="00357882">
        <w:t>seq</w:t>
      </w:r>
      <w:proofErr w:type="spellEnd"/>
      <w:r w:rsidR="00357882">
        <w:t xml:space="preserve"> that uses </w:t>
      </w:r>
      <w:proofErr w:type="spellStart"/>
      <w:r w:rsidR="00357882">
        <w:t>Baysian</w:t>
      </w:r>
      <w:proofErr w:type="spellEnd"/>
      <w:r w:rsidR="00357882">
        <w:t xml:space="preserve"> techniques coupled with the </w:t>
      </w:r>
      <w:proofErr w:type="spellStart"/>
      <w:r w:rsidR="00191F20">
        <w:t>c</w:t>
      </w:r>
      <w:r w:rsidR="00B45574">
        <w:t>entred</w:t>
      </w:r>
      <w:proofErr w:type="spellEnd"/>
      <w:r w:rsidR="00191F20">
        <w:t xml:space="preserve"> l</w:t>
      </w:r>
      <w:r w:rsidR="00357882">
        <w:t>og</w:t>
      </w:r>
      <w:r w:rsidR="00B45574">
        <w:t>-ratio</w:t>
      </w:r>
      <w:r w:rsidR="00191F20">
        <w:t xml:space="preserve"> t</w:t>
      </w:r>
      <w:r w:rsidR="00357882">
        <w:t xml:space="preserve">ransformation to conduct a consistency check on gene expression levels. </w:t>
      </w:r>
      <w:r w:rsidR="00191F20">
        <w:t xml:space="preserve">The approach is compatible with and extends the compositional data analysis approaches that are widely used in other scientific domains. </w:t>
      </w:r>
      <w:r w:rsidR="00357882">
        <w:t>With this, we can identify gene expression changes that are not linked to organism abundance. This methodology provides a robust statistical framework that allows us to interrogate mixed microbial communities and find out what the constituent organisms are doing. With this, we showed that the organisms in the vaginal community demonstrate a remarkable consistency in their functional capacity, regardless of the community composition.</w:t>
      </w:r>
      <w:r>
        <w:t xml:space="preserve"> </w:t>
      </w:r>
      <w:r w:rsidR="00191F20">
        <w:t xml:space="preserve">This demonstrated that enumerating the constituents of an ecosystem </w:t>
      </w:r>
      <w:proofErr w:type="gramStart"/>
      <w:r w:rsidR="00191F20">
        <w:t>may</w:t>
      </w:r>
      <w:proofErr w:type="gramEnd"/>
      <w:r w:rsidR="00191F20">
        <w:t xml:space="preserve"> be providing less information regarding their functional impact than is generally believed.</w:t>
      </w:r>
    </w:p>
    <w:p w14:paraId="2B6E6A99" w14:textId="77777777" w:rsidR="00191F20" w:rsidRDefault="00191F20" w:rsidP="0000189E">
      <w:pPr>
        <w:pStyle w:val="DataField11pt-Single"/>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pPr>
    </w:p>
    <w:p w14:paraId="5CCAF4AA" w14:textId="07BDF949" w:rsidR="0011175F" w:rsidRDefault="001E26B7" w:rsidP="0000189E">
      <w:pPr>
        <w:pStyle w:val="DataField11pt-Single"/>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pPr>
      <w:r>
        <w:t>T</w:t>
      </w:r>
      <w:r w:rsidR="00191F20">
        <w:t>he compositional data analysis</w:t>
      </w:r>
      <w:r w:rsidR="00DE32E6">
        <w:t xml:space="preserve"> approach</w:t>
      </w:r>
      <w:r w:rsidR="00191F20">
        <w:t xml:space="preserve"> developed for meta-RNA </w:t>
      </w:r>
      <w:proofErr w:type="spellStart"/>
      <w:r w:rsidR="00191F20">
        <w:t>seq</w:t>
      </w:r>
      <w:proofErr w:type="spellEnd"/>
      <w:r w:rsidR="00DE32E6">
        <w:t xml:space="preserve"> appears to be a generally sound one for the analysis of other high-dime</w:t>
      </w:r>
      <w:r w:rsidR="00191F20">
        <w:t xml:space="preserve">nsional sequencing experiments, and we have adapted it to characterize differential abundance generally for high throughput sequencing experiments. Additionally, I have adapted a number of other compositional analysis </w:t>
      </w:r>
      <w:r>
        <w:t>tools for use in high throughput sequencing and am making them available to the broader community.</w:t>
      </w:r>
    </w:p>
    <w:p w14:paraId="7EF939EC" w14:textId="77777777" w:rsidR="002E4FB4" w:rsidRPr="009B37FD" w:rsidRDefault="002E4FB4" w:rsidP="001122B3">
      <w:pPr>
        <w:pStyle w:val="DataField11pt-Single"/>
        <w:jc w:val="both"/>
      </w:pPr>
    </w:p>
    <w:p w14:paraId="3A301808" w14:textId="77777777" w:rsidR="002E4FB4" w:rsidRPr="009B37FD" w:rsidRDefault="001D7244" w:rsidP="001122B3">
      <w:pPr>
        <w:pStyle w:val="DataField11pt-Single"/>
        <w:jc w:val="both"/>
        <w:rPr>
          <w:b/>
        </w:rPr>
      </w:pPr>
      <w:r w:rsidRPr="009B37FD">
        <w:rPr>
          <w:b/>
        </w:rPr>
        <w:t>B</w:t>
      </w:r>
      <w:r w:rsidR="002E4FB4" w:rsidRPr="009B37FD">
        <w:rPr>
          <w:b/>
        </w:rPr>
        <w:t>.  Positions and Honors</w:t>
      </w:r>
    </w:p>
    <w:p w14:paraId="6216CA23" w14:textId="5850710D" w:rsidR="002E4FB4" w:rsidRPr="009B37FD" w:rsidRDefault="003F5CA4" w:rsidP="001122B3">
      <w:pPr>
        <w:pStyle w:val="DataField11pt-Single"/>
        <w:numPr>
          <w:ilvl w:val="0"/>
          <w:numId w:val="15"/>
        </w:numPr>
        <w:tabs>
          <w:tab w:val="clear" w:pos="720"/>
          <w:tab w:val="num" w:pos="426"/>
        </w:tabs>
        <w:ind w:left="142" w:hanging="142"/>
        <w:jc w:val="both"/>
      </w:pPr>
      <w:r>
        <w:rPr>
          <w:b/>
        </w:rPr>
        <w:t>1990</w:t>
      </w:r>
      <w:r w:rsidR="002E4FB4" w:rsidRPr="009B37FD">
        <w:rPr>
          <w:b/>
        </w:rPr>
        <w:t>-</w:t>
      </w:r>
      <w:r>
        <w:rPr>
          <w:b/>
        </w:rPr>
        <w:t>1992</w:t>
      </w:r>
      <w:r>
        <w:rPr>
          <w:b/>
        </w:rPr>
        <w:tab/>
      </w:r>
      <w:r>
        <w:t>Assistant Professor of Molecular Genetics, Memorial University of Newfoundland, Canada</w:t>
      </w:r>
    </w:p>
    <w:p w14:paraId="1F559BC0" w14:textId="05323ACD" w:rsidR="002E4FB4" w:rsidRPr="009B37FD" w:rsidRDefault="003F5CA4" w:rsidP="001122B3">
      <w:pPr>
        <w:pStyle w:val="DataField11pt-Single"/>
        <w:numPr>
          <w:ilvl w:val="0"/>
          <w:numId w:val="15"/>
        </w:numPr>
        <w:tabs>
          <w:tab w:val="clear" w:pos="720"/>
          <w:tab w:val="num" w:pos="426"/>
        </w:tabs>
        <w:ind w:left="142" w:hanging="142"/>
        <w:jc w:val="both"/>
      </w:pPr>
      <w:r>
        <w:rPr>
          <w:b/>
        </w:rPr>
        <w:t>1993</w:t>
      </w:r>
      <w:r w:rsidR="002E4FB4" w:rsidRPr="009B37FD">
        <w:rPr>
          <w:b/>
        </w:rPr>
        <w:t>-</w:t>
      </w:r>
      <w:r>
        <w:rPr>
          <w:b/>
        </w:rPr>
        <w:t>1997</w:t>
      </w:r>
      <w:r>
        <w:tab/>
        <w:t>Assistant Professor of Biochemistry, University of Western Ontario, Canada</w:t>
      </w:r>
    </w:p>
    <w:p w14:paraId="061E4AD9" w14:textId="77777777" w:rsidR="003F5CA4" w:rsidRDefault="003F5CA4" w:rsidP="001122B3">
      <w:pPr>
        <w:pStyle w:val="DataField11pt-Single"/>
        <w:numPr>
          <w:ilvl w:val="0"/>
          <w:numId w:val="15"/>
        </w:numPr>
        <w:tabs>
          <w:tab w:val="clear" w:pos="720"/>
          <w:tab w:val="num" w:pos="426"/>
        </w:tabs>
        <w:ind w:left="142" w:hanging="142"/>
        <w:jc w:val="both"/>
      </w:pPr>
      <w:r w:rsidRPr="003F5CA4">
        <w:rPr>
          <w:b/>
        </w:rPr>
        <w:t>1997</w:t>
      </w:r>
      <w:r w:rsidR="002E4FB4" w:rsidRPr="003F5CA4">
        <w:rPr>
          <w:b/>
        </w:rPr>
        <w:t>-</w:t>
      </w:r>
      <w:r w:rsidRPr="003F5CA4">
        <w:rPr>
          <w:b/>
        </w:rPr>
        <w:t>2002</w:t>
      </w:r>
      <w:r>
        <w:tab/>
        <w:t>Associate Professor of Biochemistry, University of Western Ontario, Canada</w:t>
      </w:r>
    </w:p>
    <w:p w14:paraId="022FA131" w14:textId="77777777" w:rsidR="003F5CA4" w:rsidRDefault="003F5CA4" w:rsidP="001122B3">
      <w:pPr>
        <w:pStyle w:val="DataField11pt-Single"/>
        <w:numPr>
          <w:ilvl w:val="0"/>
          <w:numId w:val="15"/>
        </w:numPr>
        <w:tabs>
          <w:tab w:val="clear" w:pos="720"/>
          <w:tab w:val="num" w:pos="426"/>
        </w:tabs>
        <w:ind w:left="142" w:hanging="142"/>
        <w:jc w:val="both"/>
      </w:pPr>
      <w:r>
        <w:rPr>
          <w:b/>
        </w:rPr>
        <w:t>2002</w:t>
      </w:r>
      <w:r w:rsidR="002E4FB4" w:rsidRPr="003F5CA4">
        <w:rPr>
          <w:b/>
        </w:rPr>
        <w:t>-</w:t>
      </w:r>
      <w:r>
        <w:rPr>
          <w:b/>
        </w:rPr>
        <w:tab/>
      </w:r>
      <w:r>
        <w:rPr>
          <w:b/>
        </w:rPr>
        <w:tab/>
      </w:r>
      <w:r>
        <w:t>Professor of Biochemistry, University of Western Ontario, Canada</w:t>
      </w:r>
    </w:p>
    <w:p w14:paraId="7F6DE49C" w14:textId="77777777" w:rsidR="002E4FB4" w:rsidRPr="009B37FD" w:rsidRDefault="002E4FB4" w:rsidP="001122B3">
      <w:pPr>
        <w:pStyle w:val="DataField11pt-Single"/>
        <w:jc w:val="both"/>
      </w:pPr>
    </w:p>
    <w:p w14:paraId="35E829DC" w14:textId="77777777" w:rsidR="002E4FB4" w:rsidRPr="009B37FD" w:rsidRDefault="002E4FB4" w:rsidP="001122B3">
      <w:pPr>
        <w:pStyle w:val="DataField11pt-Single"/>
        <w:jc w:val="both"/>
        <w:rPr>
          <w:b/>
        </w:rPr>
      </w:pPr>
      <w:r w:rsidRPr="009B37FD">
        <w:rPr>
          <w:b/>
        </w:rPr>
        <w:t>Other experience and Professional Memberships</w:t>
      </w:r>
    </w:p>
    <w:p w14:paraId="7DCA5A27" w14:textId="77777777" w:rsidR="003F5CA4" w:rsidRDefault="003F5CA4" w:rsidP="003F5CA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40"/>
          <w:tab w:val="left" w:pos="7200"/>
          <w:tab w:val="left" w:pos="7560"/>
          <w:tab w:val="left" w:pos="7920"/>
          <w:tab w:val="left" w:pos="8280"/>
          <w:tab w:val="left" w:pos="8640"/>
          <w:tab w:val="left" w:pos="9000"/>
          <w:tab w:val="left" w:pos="9360"/>
          <w:tab w:val="left" w:pos="9720"/>
          <w:tab w:val="left" w:pos="10080"/>
          <w:tab w:val="left" w:pos="10300"/>
        </w:tabs>
        <w:rPr>
          <w:rFonts w:ascii="Helvetica" w:hAnsi="Helvetica"/>
          <w:sz w:val="21"/>
        </w:rPr>
      </w:pPr>
      <w:r w:rsidRPr="003F5CA4">
        <w:rPr>
          <w:rFonts w:ascii="Helvetica" w:hAnsi="Helvetica"/>
          <w:b/>
          <w:sz w:val="21"/>
        </w:rPr>
        <w:t>1998-2008</w:t>
      </w:r>
      <w:r>
        <w:rPr>
          <w:rFonts w:ascii="Helvetica" w:hAnsi="Helvetica"/>
          <w:sz w:val="21"/>
        </w:rPr>
        <w:tab/>
        <w:t xml:space="preserve">      Medical Research Council of Canada: BMB/Genetics/Genomics invitee Peer Review </w:t>
      </w:r>
    </w:p>
    <w:p w14:paraId="56F17D1B" w14:textId="77777777" w:rsidR="003F5CA4" w:rsidRDefault="003F5CA4" w:rsidP="003F5CA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40"/>
          <w:tab w:val="left" w:pos="7200"/>
          <w:tab w:val="left" w:pos="7560"/>
          <w:tab w:val="left" w:pos="7920"/>
          <w:tab w:val="left" w:pos="8280"/>
          <w:tab w:val="left" w:pos="8640"/>
          <w:tab w:val="left" w:pos="9000"/>
          <w:tab w:val="left" w:pos="9360"/>
          <w:tab w:val="left" w:pos="9720"/>
          <w:tab w:val="left" w:pos="10080"/>
          <w:tab w:val="left" w:pos="10300"/>
        </w:tabs>
        <w:rPr>
          <w:rFonts w:ascii="Helvetica" w:hAnsi="Helvetica"/>
          <w:sz w:val="21"/>
        </w:rPr>
      </w:pPr>
      <w:r>
        <w:rPr>
          <w:rFonts w:ascii="Helvetica" w:hAnsi="Helvetica"/>
          <w:sz w:val="21"/>
        </w:rPr>
        <w:t xml:space="preserve">                         Panel Invitee, (one Peer Review Panel meeting each in 1998-2008)</w:t>
      </w:r>
    </w:p>
    <w:p w14:paraId="0959673A" w14:textId="77777777" w:rsidR="003F5CA4" w:rsidRDefault="003F5CA4" w:rsidP="003F5CA4">
      <w:pPr>
        <w:pStyle w:val="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rPr>
          <w:rFonts w:ascii="Helvetica" w:hAnsi="Helvetica"/>
          <w:sz w:val="21"/>
        </w:rPr>
      </w:pPr>
      <w:r w:rsidRPr="003F5CA4">
        <w:rPr>
          <w:rFonts w:ascii="Helvetica" w:hAnsi="Helvetica"/>
          <w:b/>
          <w:sz w:val="21"/>
        </w:rPr>
        <w:t>2006-2009</w:t>
      </w:r>
      <w:r>
        <w:rPr>
          <w:rFonts w:ascii="Helvetica" w:hAnsi="Helvetica"/>
          <w:sz w:val="21"/>
        </w:rPr>
        <w:tab/>
      </w:r>
      <w:r>
        <w:rPr>
          <w:rFonts w:ascii="Helvetica" w:hAnsi="Helvetica"/>
          <w:sz w:val="21"/>
        </w:rPr>
        <w:tab/>
        <w:t>National Cancer Institute of Canada, Model Organisms Panel B2 Member</w:t>
      </w:r>
    </w:p>
    <w:p w14:paraId="493C1B49" w14:textId="77777777" w:rsidR="003F5CA4" w:rsidRDefault="003F5CA4" w:rsidP="003F5CA4">
      <w:pPr>
        <w:pStyle w:val="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rPr>
          <w:rFonts w:ascii="Helvetica" w:hAnsi="Helvetica"/>
          <w:sz w:val="21"/>
        </w:rPr>
      </w:pPr>
      <w:r w:rsidRPr="00EF027B">
        <w:rPr>
          <w:rFonts w:ascii="Helvetica" w:hAnsi="Helvetica"/>
          <w:b/>
          <w:sz w:val="21"/>
        </w:rPr>
        <w:t xml:space="preserve">2008 </w:t>
      </w:r>
      <w:proofErr w:type="gramStart"/>
      <w:r w:rsidRPr="00EF027B">
        <w:rPr>
          <w:rFonts w:ascii="Helvetica" w:hAnsi="Helvetica"/>
          <w:b/>
          <w:sz w:val="21"/>
        </w:rPr>
        <w:t>-2013</w:t>
      </w:r>
      <w:r w:rsidRPr="00EF027B">
        <w:rPr>
          <w:rFonts w:ascii="Helvetica" w:hAnsi="Helvetica"/>
          <w:b/>
          <w:sz w:val="21"/>
        </w:rPr>
        <w:tab/>
      </w:r>
      <w:r>
        <w:rPr>
          <w:rFonts w:ascii="Helvetica" w:hAnsi="Helvetica"/>
          <w:sz w:val="21"/>
        </w:rPr>
        <w:tab/>
        <w:t>IODE Doctoral Scholarship committee</w:t>
      </w:r>
      <w:proofErr w:type="gramEnd"/>
      <w:r>
        <w:rPr>
          <w:rFonts w:ascii="Helvetica" w:hAnsi="Helvetica"/>
          <w:sz w:val="21"/>
        </w:rPr>
        <w:t>, member</w:t>
      </w:r>
    </w:p>
    <w:p w14:paraId="45D9DD8F" w14:textId="77777777" w:rsidR="003F5CA4" w:rsidRDefault="003F5CA4" w:rsidP="003F5CA4">
      <w:pPr>
        <w:pStyle w:val="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rPr>
          <w:rFonts w:ascii="Helvetica" w:hAnsi="Helvetica"/>
          <w:sz w:val="21"/>
        </w:rPr>
      </w:pPr>
      <w:r w:rsidRPr="00EF027B">
        <w:rPr>
          <w:rFonts w:ascii="Helvetica" w:hAnsi="Helvetica"/>
          <w:b/>
          <w:sz w:val="21"/>
        </w:rPr>
        <w:t>2010-</w:t>
      </w:r>
      <w:r>
        <w:rPr>
          <w:rFonts w:ascii="Helvetica" w:hAnsi="Helvetica"/>
          <w:sz w:val="21"/>
        </w:rPr>
        <w:tab/>
      </w:r>
      <w:r>
        <w:rPr>
          <w:rFonts w:ascii="Helvetica" w:hAnsi="Helvetica"/>
          <w:sz w:val="21"/>
        </w:rPr>
        <w:tab/>
      </w:r>
      <w:r>
        <w:rPr>
          <w:rFonts w:ascii="Helvetica" w:hAnsi="Helvetica"/>
          <w:sz w:val="21"/>
        </w:rPr>
        <w:tab/>
        <w:t>Canadian Institutes of Health Research, Genetics Peer Review Panel Full Member</w:t>
      </w:r>
    </w:p>
    <w:p w14:paraId="152FD04B" w14:textId="05E0A9BD" w:rsidR="00BC178C" w:rsidRPr="00BC178C" w:rsidRDefault="00BC178C" w:rsidP="00BC178C">
      <w:pPr>
        <w:pStyle w:val="DataField11pt-Single"/>
        <w:jc w:val="both"/>
      </w:pPr>
      <w:r>
        <w:rPr>
          <w:b/>
        </w:rPr>
        <w:t>2012-2015</w:t>
      </w:r>
      <w:r w:rsidRPr="00BC178C">
        <w:rPr>
          <w:b/>
        </w:rPr>
        <w:t xml:space="preserve"> </w:t>
      </w:r>
      <w:r>
        <w:rPr>
          <w:b/>
        </w:rPr>
        <w:tab/>
      </w:r>
      <w:r w:rsidRPr="00BC178C">
        <w:t xml:space="preserve">Editorial Board member </w:t>
      </w:r>
      <w:proofErr w:type="spellStart"/>
      <w:r w:rsidRPr="00BC178C">
        <w:t>Microbiome</w:t>
      </w:r>
      <w:proofErr w:type="spellEnd"/>
      <w:r w:rsidRPr="00BC178C">
        <w:t> </w:t>
      </w:r>
    </w:p>
    <w:p w14:paraId="29B72AB8" w14:textId="399954BC" w:rsidR="00BC178C" w:rsidRDefault="00BC178C" w:rsidP="00BC178C">
      <w:pPr>
        <w:pStyle w:val="DataField11pt-Single"/>
        <w:jc w:val="both"/>
        <w:rPr>
          <w:b/>
        </w:rPr>
      </w:pPr>
      <w:r>
        <w:rPr>
          <w:b/>
        </w:rPr>
        <w:lastRenderedPageBreak/>
        <w:t>2014-present</w:t>
      </w:r>
      <w:r>
        <w:rPr>
          <w:b/>
        </w:rPr>
        <w:tab/>
      </w:r>
      <w:r w:rsidRPr="00BC178C">
        <w:t>CRC College of Reviewers</w:t>
      </w:r>
      <w:r>
        <w:rPr>
          <w:b/>
        </w:rPr>
        <w:t xml:space="preserve"> </w:t>
      </w:r>
    </w:p>
    <w:p w14:paraId="70AD2B20" w14:textId="72EE97C0" w:rsidR="00BC178C" w:rsidRPr="00BC178C" w:rsidRDefault="00BC178C" w:rsidP="00BC178C">
      <w:pPr>
        <w:pStyle w:val="DataField11pt-Single"/>
        <w:jc w:val="both"/>
      </w:pPr>
      <w:r>
        <w:rPr>
          <w:b/>
        </w:rPr>
        <w:t>2015</w:t>
      </w:r>
      <w:r>
        <w:rPr>
          <w:b/>
        </w:rPr>
        <w:tab/>
      </w:r>
      <w:r>
        <w:rPr>
          <w:b/>
        </w:rPr>
        <w:tab/>
      </w:r>
      <w:r w:rsidRPr="00BC178C">
        <w:t>Ontario Genomics Institute: SPARC and Genome Canada review panel</w:t>
      </w:r>
    </w:p>
    <w:p w14:paraId="769B39BC" w14:textId="4A547EF9" w:rsidR="00BC178C" w:rsidRDefault="00BC178C" w:rsidP="00BC178C">
      <w:pPr>
        <w:pStyle w:val="DataField11pt-Single"/>
        <w:jc w:val="both"/>
        <w:rPr>
          <w:b/>
        </w:rPr>
      </w:pPr>
      <w:r>
        <w:rPr>
          <w:b/>
        </w:rPr>
        <w:t>2015-present</w:t>
      </w:r>
      <w:r>
        <w:rPr>
          <w:b/>
        </w:rPr>
        <w:tab/>
      </w:r>
      <w:r w:rsidRPr="00BC178C">
        <w:t xml:space="preserve">Associate Editor, </w:t>
      </w:r>
      <w:proofErr w:type="spellStart"/>
      <w:r w:rsidRPr="00BC178C">
        <w:t>Microbiome</w:t>
      </w:r>
      <w:proofErr w:type="spellEnd"/>
      <w:r w:rsidRPr="00BC178C">
        <w:t> </w:t>
      </w:r>
    </w:p>
    <w:p w14:paraId="244D5816" w14:textId="2CB19F23" w:rsidR="002E4FB4" w:rsidRPr="009B37FD" w:rsidRDefault="002E4FB4" w:rsidP="001122B3">
      <w:pPr>
        <w:pStyle w:val="DataField11pt-Single"/>
        <w:jc w:val="both"/>
        <w:rPr>
          <w:b/>
        </w:rPr>
      </w:pPr>
    </w:p>
    <w:p w14:paraId="46391105" w14:textId="77777777" w:rsidR="002E4FB4" w:rsidRPr="009B37FD" w:rsidRDefault="002E4FB4" w:rsidP="001122B3">
      <w:pPr>
        <w:pStyle w:val="DataField11pt-Single"/>
        <w:jc w:val="both"/>
        <w:rPr>
          <w:b/>
        </w:rPr>
      </w:pPr>
      <w:r w:rsidRPr="009B37FD">
        <w:rPr>
          <w:b/>
        </w:rPr>
        <w:t>Honors</w:t>
      </w:r>
    </w:p>
    <w:p w14:paraId="77ED506C" w14:textId="77777777" w:rsidR="00EF027B" w:rsidRDefault="00EF027B" w:rsidP="00EF027B">
      <w:pPr>
        <w:pStyle w:val="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pPr>
      <w:r w:rsidRPr="00EF027B">
        <w:rPr>
          <w:b/>
        </w:rPr>
        <w:t>2005</w:t>
      </w:r>
      <w:r>
        <w:tab/>
      </w:r>
      <w:r>
        <w:tab/>
      </w:r>
      <w:r>
        <w:tab/>
      </w:r>
      <w:proofErr w:type="spellStart"/>
      <w:r>
        <w:t>Schulich</w:t>
      </w:r>
      <w:proofErr w:type="spellEnd"/>
      <w:r>
        <w:t xml:space="preserve"> School of Medicine Teaching Award</w:t>
      </w:r>
    </w:p>
    <w:p w14:paraId="66334547" w14:textId="77777777" w:rsidR="00EF027B" w:rsidRDefault="00EF027B" w:rsidP="00EF027B">
      <w:pPr>
        <w:pStyle w:val="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pPr>
      <w:r w:rsidRPr="00EF027B">
        <w:rPr>
          <w:b/>
        </w:rPr>
        <w:t>2007</w:t>
      </w:r>
      <w:r w:rsidRPr="00EF027B">
        <w:rPr>
          <w:b/>
        </w:rPr>
        <w:tab/>
      </w:r>
      <w:r>
        <w:tab/>
      </w:r>
      <w:r>
        <w:tab/>
        <w:t>University Student's Council Teaching Honor Roll</w:t>
      </w:r>
    </w:p>
    <w:p w14:paraId="76537FBF" w14:textId="77777777" w:rsidR="00EF027B" w:rsidRDefault="00EF027B" w:rsidP="00EF027B">
      <w:pPr>
        <w:pStyle w:val="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pPr>
      <w:r w:rsidRPr="00EF027B">
        <w:rPr>
          <w:b/>
        </w:rPr>
        <w:t>2009</w:t>
      </w:r>
      <w:r w:rsidRPr="00EF027B">
        <w:rPr>
          <w:b/>
        </w:rPr>
        <w:tab/>
      </w:r>
      <w:r>
        <w:tab/>
      </w:r>
      <w:r>
        <w:tab/>
        <w:t>University Student's Council Teaching Honor Roll</w:t>
      </w:r>
    </w:p>
    <w:p w14:paraId="7C58AF67" w14:textId="5A70CC5E" w:rsidR="00EF027B" w:rsidRDefault="00EF027B" w:rsidP="00EF027B">
      <w:pPr>
        <w:pStyle w:val="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pPr>
      <w:r w:rsidRPr="00EF027B">
        <w:rPr>
          <w:b/>
        </w:rPr>
        <w:t>20</w:t>
      </w:r>
      <w:r>
        <w:rPr>
          <w:b/>
        </w:rPr>
        <w:t>11</w:t>
      </w:r>
      <w:r w:rsidRPr="00EF027B">
        <w:rPr>
          <w:b/>
        </w:rPr>
        <w:tab/>
      </w:r>
      <w:r>
        <w:tab/>
      </w:r>
      <w:r>
        <w:tab/>
        <w:t>University Student's Council Teaching Honor Roll</w:t>
      </w:r>
    </w:p>
    <w:p w14:paraId="07EE2F28" w14:textId="4B63B78B" w:rsidR="00EF027B" w:rsidRDefault="00EF027B" w:rsidP="00EF027B">
      <w:pPr>
        <w:pStyle w:val="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pPr>
      <w:r w:rsidRPr="00EF027B">
        <w:rPr>
          <w:b/>
        </w:rPr>
        <w:t>2011-2013</w:t>
      </w:r>
      <w:r w:rsidR="00835F13">
        <w:t xml:space="preserve">      </w:t>
      </w:r>
      <w:r>
        <w:t>Faculty Scholar</w:t>
      </w:r>
    </w:p>
    <w:p w14:paraId="1FA6807F" w14:textId="77777777" w:rsidR="000D1787" w:rsidRPr="009B37FD" w:rsidRDefault="000D1787" w:rsidP="001122B3">
      <w:pPr>
        <w:pStyle w:val="DataField11pt-Single"/>
        <w:jc w:val="both"/>
        <w:rPr>
          <w:b/>
        </w:rPr>
      </w:pPr>
    </w:p>
    <w:p w14:paraId="519C4E32" w14:textId="35240190" w:rsidR="002E4FB4" w:rsidRPr="009B37FD" w:rsidRDefault="00100E60" w:rsidP="0011175F">
      <w:pPr>
        <w:pStyle w:val="DataField11pt-Single"/>
        <w:spacing w:after="120"/>
        <w:jc w:val="both"/>
        <w:rPr>
          <w:b/>
        </w:rPr>
      </w:pPr>
      <w:r w:rsidRPr="009B37FD">
        <w:rPr>
          <w:b/>
        </w:rPr>
        <w:t>C</w:t>
      </w:r>
      <w:r w:rsidR="001327B6" w:rsidRPr="009B37FD">
        <w:rPr>
          <w:b/>
        </w:rPr>
        <w:t xml:space="preserve">.  </w:t>
      </w:r>
      <w:r w:rsidR="00DE32E6">
        <w:rPr>
          <w:b/>
        </w:rPr>
        <w:t>Peer</w:t>
      </w:r>
      <w:r w:rsidR="002E4FB4" w:rsidRPr="009B37FD">
        <w:rPr>
          <w:b/>
        </w:rPr>
        <w:t xml:space="preserve"> reviewed Publications (</w:t>
      </w:r>
      <w:r w:rsidR="00A302EA">
        <w:rPr>
          <w:b/>
        </w:rPr>
        <w:t>last 3 years</w:t>
      </w:r>
      <w:r w:rsidR="002E4FB4" w:rsidRPr="009B37FD">
        <w:rPr>
          <w:b/>
        </w:rPr>
        <w:t>)</w:t>
      </w:r>
    </w:p>
    <w:p w14:paraId="79D8A772" w14:textId="77777777" w:rsidR="00C61F7A" w:rsidRPr="00C61F7A" w:rsidRDefault="00C61F7A" w:rsidP="00C61F7A">
      <w:pPr>
        <w:pStyle w:val="DataField11pt-Single"/>
        <w:jc w:val="both"/>
        <w:rPr>
          <w:bCs/>
          <w:szCs w:val="22"/>
        </w:rPr>
      </w:pPr>
      <w:proofErr w:type="gramStart"/>
      <w:r w:rsidRPr="00C61F7A">
        <w:rPr>
          <w:bCs/>
          <w:i/>
          <w:iCs/>
          <w:szCs w:val="22"/>
        </w:rPr>
        <w:t>1)  </w:t>
      </w:r>
      <w:r w:rsidRPr="00C61F7A">
        <w:rPr>
          <w:bCs/>
          <w:szCs w:val="22"/>
        </w:rPr>
        <w:t>Gregory</w:t>
      </w:r>
      <w:proofErr w:type="gramEnd"/>
      <w:r w:rsidRPr="00C61F7A">
        <w:rPr>
          <w:bCs/>
          <w:szCs w:val="22"/>
        </w:rPr>
        <w:t xml:space="preserve"> B Gloor, Jean M </w:t>
      </w:r>
      <w:proofErr w:type="spellStart"/>
      <w:r w:rsidRPr="00C61F7A">
        <w:rPr>
          <w:bCs/>
          <w:szCs w:val="22"/>
        </w:rPr>
        <w:t>Macklaim</w:t>
      </w:r>
      <w:proofErr w:type="spellEnd"/>
      <w:r w:rsidRPr="00C61F7A">
        <w:rPr>
          <w:bCs/>
          <w:szCs w:val="22"/>
        </w:rPr>
        <w:t xml:space="preserve">, Michael Vu, and Andrew D </w:t>
      </w:r>
      <w:proofErr w:type="spellStart"/>
      <w:r w:rsidRPr="00C61F7A">
        <w:rPr>
          <w:bCs/>
          <w:szCs w:val="22"/>
        </w:rPr>
        <w:t>Fernandes</w:t>
      </w:r>
      <w:proofErr w:type="spellEnd"/>
      <w:r w:rsidRPr="00C61F7A">
        <w:rPr>
          <w:bCs/>
          <w:szCs w:val="22"/>
        </w:rPr>
        <w:t xml:space="preserve">. Compositional </w:t>
      </w:r>
      <w:proofErr w:type="spellStart"/>
      <w:r w:rsidRPr="00C61F7A">
        <w:rPr>
          <w:bCs/>
          <w:szCs w:val="22"/>
        </w:rPr>
        <w:t>uncer</w:t>
      </w:r>
      <w:proofErr w:type="spellEnd"/>
      <w:r w:rsidRPr="00C61F7A">
        <w:rPr>
          <w:bCs/>
          <w:szCs w:val="22"/>
        </w:rPr>
        <w:t xml:space="preserve">- </w:t>
      </w:r>
      <w:proofErr w:type="spellStart"/>
      <w:r w:rsidRPr="00C61F7A">
        <w:rPr>
          <w:bCs/>
          <w:szCs w:val="22"/>
        </w:rPr>
        <w:t>tainty</w:t>
      </w:r>
      <w:proofErr w:type="spellEnd"/>
      <w:r w:rsidRPr="00C61F7A">
        <w:rPr>
          <w:bCs/>
          <w:szCs w:val="22"/>
        </w:rPr>
        <w:t xml:space="preserve"> should not be ignored in high-throughput sequencing data analysis. </w:t>
      </w:r>
      <w:r w:rsidRPr="00C61F7A">
        <w:rPr>
          <w:bCs/>
          <w:i/>
          <w:iCs/>
          <w:szCs w:val="22"/>
        </w:rPr>
        <w:t>Austrian Journal of Statistics</w:t>
      </w:r>
      <w:r w:rsidRPr="00C61F7A">
        <w:rPr>
          <w:bCs/>
          <w:szCs w:val="22"/>
        </w:rPr>
        <w:t>, accepted, 2016.  </w:t>
      </w:r>
    </w:p>
    <w:p w14:paraId="079CC0FF" w14:textId="77777777" w:rsidR="00C61F7A" w:rsidRPr="00C61F7A" w:rsidRDefault="00C61F7A" w:rsidP="00C61F7A">
      <w:pPr>
        <w:pStyle w:val="DataField11pt-Single"/>
        <w:jc w:val="both"/>
        <w:rPr>
          <w:bCs/>
          <w:szCs w:val="22"/>
        </w:rPr>
      </w:pPr>
      <w:proofErr w:type="gramStart"/>
      <w:r w:rsidRPr="00C61F7A">
        <w:rPr>
          <w:bCs/>
          <w:i/>
          <w:iCs/>
          <w:szCs w:val="22"/>
        </w:rPr>
        <w:t>2)  </w:t>
      </w:r>
      <w:r w:rsidRPr="00C61F7A">
        <w:rPr>
          <w:bCs/>
          <w:szCs w:val="22"/>
        </w:rPr>
        <w:t>Gregory</w:t>
      </w:r>
      <w:proofErr w:type="gramEnd"/>
      <w:r w:rsidRPr="00C61F7A">
        <w:rPr>
          <w:bCs/>
          <w:szCs w:val="22"/>
        </w:rPr>
        <w:t xml:space="preserve"> B Gloor and </w:t>
      </w:r>
      <w:proofErr w:type="spellStart"/>
      <w:r w:rsidRPr="00C61F7A">
        <w:rPr>
          <w:bCs/>
          <w:szCs w:val="22"/>
        </w:rPr>
        <w:t>Gregor</w:t>
      </w:r>
      <w:proofErr w:type="spellEnd"/>
      <w:r w:rsidRPr="00C61F7A">
        <w:rPr>
          <w:bCs/>
          <w:szCs w:val="22"/>
        </w:rPr>
        <w:t xml:space="preserve"> Reid. Compositional analysis: a valid approach to analyze </w:t>
      </w:r>
      <w:proofErr w:type="spellStart"/>
      <w:r w:rsidRPr="00C61F7A">
        <w:rPr>
          <w:bCs/>
          <w:szCs w:val="22"/>
        </w:rPr>
        <w:t>microbiome</w:t>
      </w:r>
      <w:proofErr w:type="spellEnd"/>
      <w:r w:rsidRPr="00C61F7A">
        <w:rPr>
          <w:bCs/>
          <w:szCs w:val="22"/>
        </w:rPr>
        <w:t xml:space="preserve"> high-throughput sequencing data. </w:t>
      </w:r>
      <w:r w:rsidRPr="00C61F7A">
        <w:rPr>
          <w:bCs/>
          <w:i/>
          <w:iCs/>
          <w:szCs w:val="22"/>
        </w:rPr>
        <w:t xml:space="preserve">Can J </w:t>
      </w:r>
      <w:proofErr w:type="spellStart"/>
      <w:r w:rsidRPr="00C61F7A">
        <w:rPr>
          <w:bCs/>
          <w:i/>
          <w:iCs/>
          <w:szCs w:val="22"/>
        </w:rPr>
        <w:t>Microbiol</w:t>
      </w:r>
      <w:proofErr w:type="spellEnd"/>
      <w:r w:rsidRPr="00C61F7A">
        <w:rPr>
          <w:bCs/>
          <w:szCs w:val="22"/>
        </w:rPr>
        <w:t>, pages 1–12, Apr 2016.  </w:t>
      </w:r>
    </w:p>
    <w:p w14:paraId="23A49E6D" w14:textId="77777777" w:rsidR="00C61F7A" w:rsidRPr="00C61F7A" w:rsidRDefault="00C61F7A" w:rsidP="00C61F7A">
      <w:pPr>
        <w:pStyle w:val="DataField11pt-Single"/>
        <w:jc w:val="both"/>
        <w:rPr>
          <w:bCs/>
          <w:szCs w:val="22"/>
        </w:rPr>
      </w:pPr>
      <w:proofErr w:type="gramStart"/>
      <w:r w:rsidRPr="00C61F7A">
        <w:rPr>
          <w:bCs/>
          <w:i/>
          <w:iCs/>
          <w:szCs w:val="22"/>
        </w:rPr>
        <w:t>3)  </w:t>
      </w:r>
      <w:r w:rsidRPr="00C61F7A">
        <w:rPr>
          <w:bCs/>
          <w:szCs w:val="22"/>
        </w:rPr>
        <w:t>GregoryBGloor,JiaRongWu,VeraPawlowsky</w:t>
      </w:r>
      <w:proofErr w:type="gramEnd"/>
      <w:r w:rsidRPr="00C61F7A">
        <w:rPr>
          <w:bCs/>
          <w:szCs w:val="22"/>
        </w:rPr>
        <w:t xml:space="preserve">-Glahn,andJuanJoséEgozcue.It’sallrelative:ana- </w:t>
      </w:r>
      <w:proofErr w:type="spellStart"/>
      <w:r w:rsidRPr="00C61F7A">
        <w:rPr>
          <w:bCs/>
          <w:szCs w:val="22"/>
        </w:rPr>
        <w:t>lyzing</w:t>
      </w:r>
      <w:proofErr w:type="spellEnd"/>
      <w:r w:rsidRPr="00C61F7A">
        <w:rPr>
          <w:bCs/>
          <w:szCs w:val="22"/>
        </w:rPr>
        <w:t xml:space="preserve"> </w:t>
      </w:r>
      <w:proofErr w:type="spellStart"/>
      <w:r w:rsidRPr="00C61F7A">
        <w:rPr>
          <w:bCs/>
          <w:szCs w:val="22"/>
        </w:rPr>
        <w:t>microbiome</w:t>
      </w:r>
      <w:proofErr w:type="spellEnd"/>
      <w:r w:rsidRPr="00C61F7A">
        <w:rPr>
          <w:bCs/>
          <w:szCs w:val="22"/>
        </w:rPr>
        <w:t xml:space="preserve"> data as compositions. </w:t>
      </w:r>
      <w:r w:rsidRPr="00C61F7A">
        <w:rPr>
          <w:bCs/>
          <w:i/>
          <w:iCs/>
          <w:szCs w:val="22"/>
        </w:rPr>
        <w:t xml:space="preserve">Ann </w:t>
      </w:r>
      <w:proofErr w:type="spellStart"/>
      <w:r w:rsidRPr="00C61F7A">
        <w:rPr>
          <w:bCs/>
          <w:i/>
          <w:iCs/>
          <w:szCs w:val="22"/>
        </w:rPr>
        <w:t>Epidemiol</w:t>
      </w:r>
      <w:proofErr w:type="spellEnd"/>
      <w:r w:rsidRPr="00C61F7A">
        <w:rPr>
          <w:bCs/>
          <w:szCs w:val="22"/>
        </w:rPr>
        <w:t>, 26(5)</w:t>
      </w:r>
      <w:proofErr w:type="gramStart"/>
      <w:r w:rsidRPr="00C61F7A">
        <w:rPr>
          <w:bCs/>
          <w:szCs w:val="22"/>
        </w:rPr>
        <w:t>:322</w:t>
      </w:r>
      <w:proofErr w:type="gramEnd"/>
      <w:r w:rsidRPr="00C61F7A">
        <w:rPr>
          <w:bCs/>
          <w:szCs w:val="22"/>
        </w:rPr>
        <w:t>–9, May 2016.  </w:t>
      </w:r>
    </w:p>
    <w:p w14:paraId="7D5E8061" w14:textId="77777777" w:rsidR="00C61F7A" w:rsidRPr="00C61F7A" w:rsidRDefault="00C61F7A" w:rsidP="00C61F7A">
      <w:pPr>
        <w:pStyle w:val="DataField11pt-Single"/>
        <w:jc w:val="both"/>
        <w:rPr>
          <w:bCs/>
          <w:szCs w:val="22"/>
        </w:rPr>
      </w:pPr>
      <w:proofErr w:type="gramStart"/>
      <w:r w:rsidRPr="00C61F7A">
        <w:rPr>
          <w:bCs/>
          <w:i/>
          <w:iCs/>
          <w:szCs w:val="22"/>
        </w:rPr>
        <w:t>4)  </w:t>
      </w:r>
      <w:r w:rsidRPr="00C61F7A">
        <w:rPr>
          <w:bCs/>
          <w:szCs w:val="22"/>
        </w:rPr>
        <w:t>Sarah</w:t>
      </w:r>
      <w:proofErr w:type="gramEnd"/>
      <w:r w:rsidRPr="00C61F7A">
        <w:rPr>
          <w:bCs/>
          <w:szCs w:val="22"/>
        </w:rPr>
        <w:t xml:space="preserve"> Lynn Martz, Mabel Guzman-Rodriguez, </w:t>
      </w:r>
      <w:proofErr w:type="spellStart"/>
      <w:r w:rsidRPr="00C61F7A">
        <w:rPr>
          <w:bCs/>
          <w:szCs w:val="22"/>
        </w:rPr>
        <w:t>Shu</w:t>
      </w:r>
      <w:proofErr w:type="spellEnd"/>
      <w:r w:rsidRPr="00C61F7A">
        <w:rPr>
          <w:bCs/>
          <w:szCs w:val="22"/>
        </w:rPr>
        <w:t xml:space="preserve">-Mei He, Curtis </w:t>
      </w:r>
      <w:proofErr w:type="spellStart"/>
      <w:r w:rsidRPr="00C61F7A">
        <w:rPr>
          <w:bCs/>
          <w:szCs w:val="22"/>
        </w:rPr>
        <w:t>Noordhof</w:t>
      </w:r>
      <w:proofErr w:type="spellEnd"/>
      <w:r w:rsidRPr="00C61F7A">
        <w:rPr>
          <w:bCs/>
          <w:szCs w:val="22"/>
        </w:rPr>
        <w:t xml:space="preserve">, David John </w:t>
      </w:r>
      <w:proofErr w:type="spellStart"/>
      <w:r w:rsidRPr="00C61F7A">
        <w:rPr>
          <w:bCs/>
          <w:szCs w:val="22"/>
        </w:rPr>
        <w:t>Hurlbut</w:t>
      </w:r>
      <w:proofErr w:type="spellEnd"/>
      <w:r w:rsidRPr="00C61F7A">
        <w:rPr>
          <w:bCs/>
          <w:szCs w:val="22"/>
        </w:rPr>
        <w:t xml:space="preserve">, Gregory Brian Gloor, Christian Carlucci, Scott </w:t>
      </w:r>
      <w:proofErr w:type="spellStart"/>
      <w:r w:rsidRPr="00C61F7A">
        <w:rPr>
          <w:bCs/>
          <w:szCs w:val="22"/>
        </w:rPr>
        <w:t>Weese</w:t>
      </w:r>
      <w:proofErr w:type="spellEnd"/>
      <w:r w:rsidRPr="00C61F7A">
        <w:rPr>
          <w:bCs/>
          <w:szCs w:val="22"/>
        </w:rPr>
        <w:t>, Emma Allen-</w:t>
      </w:r>
      <w:proofErr w:type="spellStart"/>
      <w:r w:rsidRPr="00C61F7A">
        <w:rPr>
          <w:bCs/>
          <w:szCs w:val="22"/>
        </w:rPr>
        <w:t>Vercoe</w:t>
      </w:r>
      <w:proofErr w:type="spellEnd"/>
      <w:r w:rsidRPr="00C61F7A">
        <w:rPr>
          <w:bCs/>
          <w:szCs w:val="22"/>
        </w:rPr>
        <w:t xml:space="preserve">, Jun Sun, Erika </w:t>
      </w:r>
      <w:proofErr w:type="spellStart"/>
      <w:r w:rsidRPr="00C61F7A">
        <w:rPr>
          <w:bCs/>
          <w:szCs w:val="22"/>
        </w:rPr>
        <w:t>Chiong</w:t>
      </w:r>
      <w:proofErr w:type="spellEnd"/>
      <w:r w:rsidRPr="00C61F7A">
        <w:rPr>
          <w:bCs/>
          <w:szCs w:val="22"/>
        </w:rPr>
        <w:t xml:space="preserve"> </w:t>
      </w:r>
      <w:proofErr w:type="spellStart"/>
      <w:r w:rsidRPr="00C61F7A">
        <w:rPr>
          <w:bCs/>
          <w:szCs w:val="22"/>
        </w:rPr>
        <w:t>Claud</w:t>
      </w:r>
      <w:proofErr w:type="spellEnd"/>
      <w:r w:rsidRPr="00C61F7A">
        <w:rPr>
          <w:bCs/>
          <w:szCs w:val="22"/>
        </w:rPr>
        <w:t xml:space="preserve">, and Elaine Olga </w:t>
      </w:r>
      <w:proofErr w:type="spellStart"/>
      <w:r w:rsidRPr="00C61F7A">
        <w:rPr>
          <w:bCs/>
          <w:szCs w:val="22"/>
        </w:rPr>
        <w:t>Petrof</w:t>
      </w:r>
      <w:proofErr w:type="spellEnd"/>
      <w:r w:rsidRPr="00C61F7A">
        <w:rPr>
          <w:bCs/>
          <w:szCs w:val="22"/>
        </w:rPr>
        <w:t xml:space="preserve">. A human gut ecosystem protects against c. </w:t>
      </w:r>
      <w:proofErr w:type="spellStart"/>
      <w:r w:rsidRPr="00C61F7A">
        <w:rPr>
          <w:bCs/>
          <w:szCs w:val="22"/>
        </w:rPr>
        <w:t>difficile</w:t>
      </w:r>
      <w:proofErr w:type="spellEnd"/>
      <w:r w:rsidRPr="00C61F7A">
        <w:rPr>
          <w:bCs/>
          <w:szCs w:val="22"/>
        </w:rPr>
        <w:t xml:space="preserve"> disease by targeting </w:t>
      </w:r>
      <w:proofErr w:type="spellStart"/>
      <w:r w:rsidRPr="00C61F7A">
        <w:rPr>
          <w:bCs/>
          <w:szCs w:val="22"/>
        </w:rPr>
        <w:t>tcda</w:t>
      </w:r>
      <w:proofErr w:type="spellEnd"/>
      <w:r w:rsidRPr="00C61F7A">
        <w:rPr>
          <w:bCs/>
          <w:szCs w:val="22"/>
        </w:rPr>
        <w:t xml:space="preserve">. </w:t>
      </w:r>
      <w:r w:rsidRPr="00C61F7A">
        <w:rPr>
          <w:bCs/>
          <w:i/>
          <w:iCs/>
          <w:szCs w:val="22"/>
        </w:rPr>
        <w:t xml:space="preserve">J </w:t>
      </w:r>
      <w:proofErr w:type="spellStart"/>
      <w:r w:rsidRPr="00C61F7A">
        <w:rPr>
          <w:bCs/>
          <w:i/>
          <w:iCs/>
          <w:szCs w:val="22"/>
        </w:rPr>
        <w:t>Gastroenterol</w:t>
      </w:r>
      <w:proofErr w:type="spellEnd"/>
      <w:r w:rsidRPr="00C61F7A">
        <w:rPr>
          <w:bCs/>
          <w:szCs w:val="22"/>
        </w:rPr>
        <w:t>, Jun 2016.  </w:t>
      </w:r>
    </w:p>
    <w:p w14:paraId="2D6FFFB4" w14:textId="77777777" w:rsidR="00C61F7A" w:rsidRPr="00C61F7A" w:rsidRDefault="00C61F7A" w:rsidP="00C61F7A">
      <w:pPr>
        <w:pStyle w:val="DataField11pt-Single"/>
        <w:jc w:val="both"/>
        <w:rPr>
          <w:bCs/>
          <w:szCs w:val="22"/>
        </w:rPr>
      </w:pPr>
      <w:proofErr w:type="gramStart"/>
      <w:r w:rsidRPr="00C61F7A">
        <w:rPr>
          <w:bCs/>
          <w:i/>
          <w:iCs/>
          <w:szCs w:val="22"/>
        </w:rPr>
        <w:t>5)  </w:t>
      </w:r>
      <w:r w:rsidRPr="00C61F7A">
        <w:rPr>
          <w:bCs/>
          <w:szCs w:val="22"/>
        </w:rPr>
        <w:t>CamillaUrbaniak,GregoryBGloor,MurielBrackstone,LeslieScott,MarkTangney,andGregorReid</w:t>
      </w:r>
      <w:proofErr w:type="gramEnd"/>
      <w:r w:rsidRPr="00C61F7A">
        <w:rPr>
          <w:bCs/>
          <w:szCs w:val="22"/>
        </w:rPr>
        <w:t xml:space="preserve">. </w:t>
      </w:r>
      <w:proofErr w:type="gramStart"/>
      <w:r w:rsidRPr="00C61F7A">
        <w:rPr>
          <w:bCs/>
          <w:szCs w:val="22"/>
        </w:rPr>
        <w:t xml:space="preserve">The </w:t>
      </w:r>
      <w:proofErr w:type="spellStart"/>
      <w:r w:rsidRPr="00C61F7A">
        <w:rPr>
          <w:bCs/>
          <w:szCs w:val="22"/>
        </w:rPr>
        <w:t>microbiota</w:t>
      </w:r>
      <w:proofErr w:type="spellEnd"/>
      <w:r w:rsidRPr="00C61F7A">
        <w:rPr>
          <w:bCs/>
          <w:szCs w:val="22"/>
        </w:rPr>
        <w:t xml:space="preserve"> of breast tissue and its association with </w:t>
      </w:r>
      <w:proofErr w:type="spellStart"/>
      <w:r w:rsidRPr="00C61F7A">
        <w:rPr>
          <w:bCs/>
          <w:szCs w:val="22"/>
        </w:rPr>
        <w:t>tumours</w:t>
      </w:r>
      <w:proofErr w:type="spellEnd"/>
      <w:r w:rsidRPr="00C61F7A">
        <w:rPr>
          <w:bCs/>
          <w:szCs w:val="22"/>
        </w:rPr>
        <w:t>.</w:t>
      </w:r>
      <w:proofErr w:type="gramEnd"/>
      <w:r w:rsidRPr="00C61F7A">
        <w:rPr>
          <w:bCs/>
          <w:szCs w:val="22"/>
        </w:rPr>
        <w:t xml:space="preserve"> </w:t>
      </w:r>
      <w:proofErr w:type="spellStart"/>
      <w:r w:rsidRPr="00C61F7A">
        <w:rPr>
          <w:bCs/>
          <w:i/>
          <w:iCs/>
          <w:szCs w:val="22"/>
        </w:rPr>
        <w:t>Appl</w:t>
      </w:r>
      <w:proofErr w:type="spellEnd"/>
      <w:r w:rsidRPr="00C61F7A">
        <w:rPr>
          <w:bCs/>
          <w:i/>
          <w:iCs/>
          <w:szCs w:val="22"/>
        </w:rPr>
        <w:t xml:space="preserve"> Environ </w:t>
      </w:r>
      <w:proofErr w:type="spellStart"/>
      <w:r w:rsidRPr="00C61F7A">
        <w:rPr>
          <w:bCs/>
          <w:i/>
          <w:iCs/>
          <w:szCs w:val="22"/>
        </w:rPr>
        <w:t>Microbiol</w:t>
      </w:r>
      <w:proofErr w:type="spellEnd"/>
      <w:r w:rsidRPr="00C61F7A">
        <w:rPr>
          <w:bCs/>
          <w:szCs w:val="22"/>
        </w:rPr>
        <w:t>, Jun 2016.  </w:t>
      </w:r>
    </w:p>
    <w:p w14:paraId="3CB1569C" w14:textId="77777777" w:rsidR="00C61F7A" w:rsidRPr="00C61F7A" w:rsidRDefault="00C61F7A" w:rsidP="00C61F7A">
      <w:pPr>
        <w:pStyle w:val="DataField11pt-Single"/>
        <w:jc w:val="both"/>
        <w:rPr>
          <w:bCs/>
          <w:szCs w:val="22"/>
        </w:rPr>
      </w:pPr>
      <w:proofErr w:type="gramStart"/>
      <w:r w:rsidRPr="00C61F7A">
        <w:rPr>
          <w:bCs/>
          <w:i/>
          <w:iCs/>
          <w:szCs w:val="22"/>
        </w:rPr>
        <w:t>6)  </w:t>
      </w:r>
      <w:r w:rsidRPr="00C61F7A">
        <w:rPr>
          <w:bCs/>
          <w:szCs w:val="22"/>
        </w:rPr>
        <w:t>JordanEBisanz,PraemaSuppiah,WMurrayThomson,TrudyMilne,NigelYeoh,AnitaNolan,Grace</w:t>
      </w:r>
      <w:proofErr w:type="gramEnd"/>
      <w:r w:rsidRPr="00C61F7A">
        <w:rPr>
          <w:bCs/>
          <w:szCs w:val="22"/>
        </w:rPr>
        <w:t xml:space="preserve">  </w:t>
      </w:r>
      <w:proofErr w:type="spellStart"/>
      <w:r w:rsidRPr="00C61F7A">
        <w:rPr>
          <w:bCs/>
          <w:szCs w:val="22"/>
        </w:rPr>
        <w:t>Ettinger</w:t>
      </w:r>
      <w:proofErr w:type="spellEnd"/>
      <w:r w:rsidRPr="00C61F7A">
        <w:rPr>
          <w:bCs/>
          <w:szCs w:val="22"/>
        </w:rPr>
        <w:t xml:space="preserve">, </w:t>
      </w:r>
      <w:proofErr w:type="spellStart"/>
      <w:r w:rsidRPr="00C61F7A">
        <w:rPr>
          <w:bCs/>
          <w:szCs w:val="22"/>
        </w:rPr>
        <w:t>Gregor</w:t>
      </w:r>
      <w:proofErr w:type="spellEnd"/>
      <w:r w:rsidRPr="00C61F7A">
        <w:rPr>
          <w:bCs/>
          <w:szCs w:val="22"/>
        </w:rPr>
        <w:t xml:space="preserve"> Reid, Gregory B Gloor, Jeremy P Burton, Mary P </w:t>
      </w:r>
      <w:proofErr w:type="spellStart"/>
      <w:r w:rsidRPr="00C61F7A">
        <w:rPr>
          <w:bCs/>
          <w:szCs w:val="22"/>
        </w:rPr>
        <w:t>Cullinan</w:t>
      </w:r>
      <w:proofErr w:type="spellEnd"/>
      <w:r w:rsidRPr="00C61F7A">
        <w:rPr>
          <w:bCs/>
          <w:szCs w:val="22"/>
        </w:rPr>
        <w:t xml:space="preserve">, and Simon M </w:t>
      </w:r>
      <w:proofErr w:type="spellStart"/>
      <w:r w:rsidRPr="00C61F7A">
        <w:rPr>
          <w:bCs/>
          <w:szCs w:val="22"/>
        </w:rPr>
        <w:t>Stebbings</w:t>
      </w:r>
      <w:proofErr w:type="spellEnd"/>
      <w:r w:rsidRPr="00C61F7A">
        <w:rPr>
          <w:bCs/>
          <w:szCs w:val="22"/>
        </w:rPr>
        <w:t xml:space="preserve">. The oral </w:t>
      </w:r>
      <w:proofErr w:type="spellStart"/>
      <w:r w:rsidRPr="00C61F7A">
        <w:rPr>
          <w:bCs/>
          <w:szCs w:val="22"/>
        </w:rPr>
        <w:t>microbiome</w:t>
      </w:r>
      <w:proofErr w:type="spellEnd"/>
      <w:r w:rsidRPr="00C61F7A">
        <w:rPr>
          <w:bCs/>
          <w:szCs w:val="22"/>
        </w:rPr>
        <w:t xml:space="preserve"> of patients with axial </w:t>
      </w:r>
      <w:proofErr w:type="spellStart"/>
      <w:r w:rsidRPr="00C61F7A">
        <w:rPr>
          <w:bCs/>
          <w:szCs w:val="22"/>
        </w:rPr>
        <w:t>spondyloarthritis</w:t>
      </w:r>
      <w:proofErr w:type="spellEnd"/>
      <w:r w:rsidRPr="00C61F7A">
        <w:rPr>
          <w:bCs/>
          <w:szCs w:val="22"/>
        </w:rPr>
        <w:t xml:space="preserve"> compared to healthy individuals. </w:t>
      </w:r>
      <w:proofErr w:type="spellStart"/>
      <w:proofErr w:type="gramStart"/>
      <w:r w:rsidRPr="00C61F7A">
        <w:rPr>
          <w:bCs/>
          <w:i/>
          <w:iCs/>
          <w:szCs w:val="22"/>
        </w:rPr>
        <w:t>PeerJ</w:t>
      </w:r>
      <w:proofErr w:type="spellEnd"/>
      <w:r w:rsidRPr="00C61F7A">
        <w:rPr>
          <w:bCs/>
          <w:szCs w:val="22"/>
        </w:rPr>
        <w:t>, 4:e2095, 2016.</w:t>
      </w:r>
      <w:proofErr w:type="gramEnd"/>
      <w:r w:rsidRPr="00C61F7A">
        <w:rPr>
          <w:bCs/>
          <w:szCs w:val="22"/>
        </w:rPr>
        <w:t xml:space="preserve">  </w:t>
      </w:r>
    </w:p>
    <w:p w14:paraId="7A547DAD" w14:textId="77777777" w:rsidR="00C61F7A" w:rsidRPr="00C61F7A" w:rsidRDefault="00C61F7A" w:rsidP="00C61F7A">
      <w:pPr>
        <w:pStyle w:val="DataField11pt-Single"/>
        <w:jc w:val="both"/>
        <w:rPr>
          <w:bCs/>
          <w:szCs w:val="22"/>
        </w:rPr>
      </w:pPr>
      <w:proofErr w:type="gramStart"/>
      <w:r w:rsidRPr="00C61F7A">
        <w:rPr>
          <w:bCs/>
          <w:i/>
          <w:iCs/>
          <w:szCs w:val="22"/>
        </w:rPr>
        <w:t>7)  </w:t>
      </w:r>
      <w:r w:rsidRPr="00C61F7A">
        <w:rPr>
          <w:bCs/>
          <w:szCs w:val="22"/>
        </w:rPr>
        <w:t>Camilla</w:t>
      </w:r>
      <w:proofErr w:type="gramEnd"/>
      <w:r w:rsidRPr="00C61F7A">
        <w:rPr>
          <w:bCs/>
          <w:szCs w:val="22"/>
        </w:rPr>
        <w:t xml:space="preserve"> </w:t>
      </w:r>
      <w:proofErr w:type="spellStart"/>
      <w:r w:rsidRPr="00C61F7A">
        <w:rPr>
          <w:bCs/>
          <w:szCs w:val="22"/>
        </w:rPr>
        <w:t>Urbaniak</w:t>
      </w:r>
      <w:proofErr w:type="spellEnd"/>
      <w:r w:rsidRPr="00C61F7A">
        <w:rPr>
          <w:bCs/>
          <w:szCs w:val="22"/>
        </w:rPr>
        <w:t xml:space="preserve">, Michelle </w:t>
      </w:r>
      <w:proofErr w:type="spellStart"/>
      <w:r w:rsidRPr="00C61F7A">
        <w:rPr>
          <w:bCs/>
          <w:szCs w:val="22"/>
        </w:rPr>
        <w:t>Angelini</w:t>
      </w:r>
      <w:proofErr w:type="spellEnd"/>
      <w:r w:rsidRPr="00C61F7A">
        <w:rPr>
          <w:bCs/>
          <w:szCs w:val="22"/>
        </w:rPr>
        <w:t xml:space="preserve">, Gregory B Gloor, and </w:t>
      </w:r>
      <w:proofErr w:type="spellStart"/>
      <w:r w:rsidRPr="00C61F7A">
        <w:rPr>
          <w:bCs/>
          <w:szCs w:val="22"/>
        </w:rPr>
        <w:t>Gregor</w:t>
      </w:r>
      <w:proofErr w:type="spellEnd"/>
      <w:r w:rsidRPr="00C61F7A">
        <w:rPr>
          <w:bCs/>
          <w:szCs w:val="22"/>
        </w:rPr>
        <w:t xml:space="preserve"> Reid. </w:t>
      </w:r>
      <w:proofErr w:type="gramStart"/>
      <w:r w:rsidRPr="00C61F7A">
        <w:rPr>
          <w:bCs/>
          <w:szCs w:val="22"/>
        </w:rPr>
        <w:t xml:space="preserve">Human milk </w:t>
      </w:r>
      <w:proofErr w:type="spellStart"/>
      <w:r w:rsidRPr="00C61F7A">
        <w:rPr>
          <w:bCs/>
          <w:szCs w:val="22"/>
        </w:rPr>
        <w:t>microbiota</w:t>
      </w:r>
      <w:proofErr w:type="spellEnd"/>
      <w:r w:rsidRPr="00C61F7A">
        <w:rPr>
          <w:bCs/>
          <w:szCs w:val="22"/>
        </w:rPr>
        <w:t xml:space="preserve"> profiles in relation to birthing method, gestation and infant gender.</w:t>
      </w:r>
      <w:proofErr w:type="gramEnd"/>
      <w:r w:rsidRPr="00C61F7A">
        <w:rPr>
          <w:bCs/>
          <w:szCs w:val="22"/>
        </w:rPr>
        <w:t xml:space="preserve"> </w:t>
      </w:r>
      <w:proofErr w:type="spellStart"/>
      <w:proofErr w:type="gramStart"/>
      <w:r w:rsidRPr="00C61F7A">
        <w:rPr>
          <w:bCs/>
          <w:i/>
          <w:iCs/>
          <w:szCs w:val="22"/>
        </w:rPr>
        <w:t>Microbiome</w:t>
      </w:r>
      <w:proofErr w:type="spellEnd"/>
      <w:r w:rsidRPr="00C61F7A">
        <w:rPr>
          <w:bCs/>
          <w:szCs w:val="22"/>
        </w:rPr>
        <w:t>, 4:1, 2016.</w:t>
      </w:r>
      <w:proofErr w:type="gramEnd"/>
      <w:r w:rsidRPr="00C61F7A">
        <w:rPr>
          <w:bCs/>
          <w:szCs w:val="22"/>
        </w:rPr>
        <w:t xml:space="preserve">  </w:t>
      </w:r>
    </w:p>
    <w:p w14:paraId="16666257" w14:textId="77777777" w:rsidR="00C61F7A" w:rsidRPr="00C61F7A" w:rsidRDefault="00C61F7A" w:rsidP="00C61F7A">
      <w:pPr>
        <w:pStyle w:val="DataField11pt-Single"/>
        <w:jc w:val="both"/>
        <w:rPr>
          <w:bCs/>
          <w:szCs w:val="22"/>
        </w:rPr>
      </w:pPr>
      <w:r w:rsidRPr="00C61F7A">
        <w:rPr>
          <w:bCs/>
          <w:i/>
          <w:iCs/>
          <w:szCs w:val="22"/>
        </w:rPr>
        <w:t>8)  </w:t>
      </w:r>
      <w:r w:rsidRPr="00C61F7A">
        <w:rPr>
          <w:bCs/>
          <w:szCs w:val="22"/>
        </w:rPr>
        <w:t xml:space="preserve">Gregory B. Gloor, Jean M. </w:t>
      </w:r>
      <w:proofErr w:type="spellStart"/>
      <w:r w:rsidRPr="00C61F7A">
        <w:rPr>
          <w:bCs/>
          <w:szCs w:val="22"/>
        </w:rPr>
        <w:t>Macklaim</w:t>
      </w:r>
      <w:proofErr w:type="spellEnd"/>
      <w:r w:rsidRPr="00C61F7A">
        <w:rPr>
          <w:bCs/>
          <w:szCs w:val="22"/>
        </w:rPr>
        <w:t xml:space="preserve">, and Andrew D. </w:t>
      </w:r>
      <w:proofErr w:type="spellStart"/>
      <w:r w:rsidRPr="00C61F7A">
        <w:rPr>
          <w:bCs/>
          <w:szCs w:val="22"/>
        </w:rPr>
        <w:t>Fernandes</w:t>
      </w:r>
      <w:proofErr w:type="spellEnd"/>
      <w:r w:rsidRPr="00C61F7A">
        <w:rPr>
          <w:bCs/>
          <w:szCs w:val="22"/>
        </w:rPr>
        <w:t xml:space="preserve">. Displaying variation in large datasets: a visual summary of effect sizes. </w:t>
      </w:r>
      <w:r w:rsidRPr="00C61F7A">
        <w:rPr>
          <w:bCs/>
          <w:i/>
          <w:iCs/>
          <w:szCs w:val="22"/>
        </w:rPr>
        <w:t>Journal of Computational and Graphical Statistics</w:t>
      </w:r>
      <w:r w:rsidRPr="00C61F7A">
        <w:rPr>
          <w:bCs/>
          <w:szCs w:val="22"/>
        </w:rPr>
        <w:t>, http://dx.doi.org/10.1080/10618600.2015.1131161, 2016.  </w:t>
      </w:r>
    </w:p>
    <w:p w14:paraId="70D76D42" w14:textId="77777777" w:rsidR="00C61F7A" w:rsidRPr="00C61F7A" w:rsidRDefault="00C61F7A" w:rsidP="00C61F7A">
      <w:pPr>
        <w:pStyle w:val="DataField11pt-Single"/>
        <w:jc w:val="both"/>
        <w:rPr>
          <w:bCs/>
          <w:szCs w:val="22"/>
        </w:rPr>
      </w:pPr>
      <w:proofErr w:type="gramStart"/>
      <w:r w:rsidRPr="00C61F7A">
        <w:rPr>
          <w:bCs/>
          <w:i/>
          <w:iCs/>
          <w:szCs w:val="22"/>
        </w:rPr>
        <w:t>9)  </w:t>
      </w:r>
      <w:r w:rsidRPr="00C61F7A">
        <w:rPr>
          <w:bCs/>
          <w:szCs w:val="22"/>
        </w:rPr>
        <w:t>AmyMcMillan,StephenRulisa,MarkSumarah,JeanM.Macklaim,JustinRenaud,JordanE.Bisanz</w:t>
      </w:r>
      <w:proofErr w:type="gramEnd"/>
      <w:r w:rsidRPr="00C61F7A">
        <w:rPr>
          <w:bCs/>
          <w:szCs w:val="22"/>
        </w:rPr>
        <w:t xml:space="preserve">, Gregory B. Gloor, and </w:t>
      </w:r>
      <w:proofErr w:type="spellStart"/>
      <w:r w:rsidRPr="00C61F7A">
        <w:rPr>
          <w:bCs/>
          <w:szCs w:val="22"/>
        </w:rPr>
        <w:t>Gregor</w:t>
      </w:r>
      <w:proofErr w:type="spellEnd"/>
      <w:r w:rsidRPr="00C61F7A">
        <w:rPr>
          <w:bCs/>
          <w:szCs w:val="22"/>
        </w:rPr>
        <w:t xml:space="preserve"> Reid. A multi-platform metabolomics approach identifies highly </w:t>
      </w:r>
      <w:proofErr w:type="spellStart"/>
      <w:r w:rsidRPr="00C61F7A">
        <w:rPr>
          <w:bCs/>
          <w:szCs w:val="22"/>
        </w:rPr>
        <w:t>spe</w:t>
      </w:r>
      <w:proofErr w:type="spellEnd"/>
      <w:r w:rsidRPr="00C61F7A">
        <w:rPr>
          <w:bCs/>
          <w:szCs w:val="22"/>
        </w:rPr>
        <w:t xml:space="preserve">- </w:t>
      </w:r>
      <w:proofErr w:type="spellStart"/>
      <w:r w:rsidRPr="00C61F7A">
        <w:rPr>
          <w:bCs/>
          <w:szCs w:val="22"/>
        </w:rPr>
        <w:t>cific</w:t>
      </w:r>
      <w:proofErr w:type="spellEnd"/>
      <w:r w:rsidRPr="00C61F7A">
        <w:rPr>
          <w:bCs/>
          <w:szCs w:val="22"/>
        </w:rPr>
        <w:t xml:space="preserve"> biomarkers of bacterial diversity in the vagina of pregnant and non-pregnant women. </w:t>
      </w:r>
      <w:proofErr w:type="gramStart"/>
      <w:r w:rsidRPr="00C61F7A">
        <w:rPr>
          <w:bCs/>
          <w:i/>
          <w:iCs/>
          <w:szCs w:val="22"/>
        </w:rPr>
        <w:t>Scientific Reports</w:t>
      </w:r>
      <w:r w:rsidRPr="00C61F7A">
        <w:rPr>
          <w:bCs/>
          <w:szCs w:val="22"/>
        </w:rPr>
        <w:t>, 5:14174 EP –, 09 2015.</w:t>
      </w:r>
      <w:proofErr w:type="gramEnd"/>
      <w:r w:rsidRPr="00C61F7A">
        <w:rPr>
          <w:bCs/>
          <w:szCs w:val="22"/>
        </w:rPr>
        <w:t xml:space="preserve">  </w:t>
      </w:r>
    </w:p>
    <w:p w14:paraId="13876C06" w14:textId="77777777" w:rsidR="00C61F7A" w:rsidRPr="00C61F7A" w:rsidRDefault="00C61F7A" w:rsidP="00C61F7A">
      <w:pPr>
        <w:pStyle w:val="DataField11pt-Single"/>
        <w:jc w:val="both"/>
        <w:rPr>
          <w:bCs/>
          <w:szCs w:val="22"/>
        </w:rPr>
      </w:pPr>
      <w:r w:rsidRPr="00C61F7A">
        <w:rPr>
          <w:bCs/>
          <w:i/>
          <w:iCs/>
          <w:szCs w:val="22"/>
        </w:rPr>
        <w:t>10</w:t>
      </w:r>
      <w:proofErr w:type="gramStart"/>
      <w:r w:rsidRPr="00C61F7A">
        <w:rPr>
          <w:bCs/>
          <w:i/>
          <w:iCs/>
          <w:szCs w:val="22"/>
        </w:rPr>
        <w:t>)  </w:t>
      </w:r>
      <w:r w:rsidRPr="00C61F7A">
        <w:rPr>
          <w:bCs/>
          <w:szCs w:val="22"/>
        </w:rPr>
        <w:t>Jordan</w:t>
      </w:r>
      <w:proofErr w:type="gramEnd"/>
      <w:r w:rsidRPr="00C61F7A">
        <w:rPr>
          <w:bCs/>
          <w:szCs w:val="22"/>
        </w:rPr>
        <w:t xml:space="preserve"> E </w:t>
      </w:r>
      <w:proofErr w:type="spellStart"/>
      <w:r w:rsidRPr="00C61F7A">
        <w:rPr>
          <w:bCs/>
          <w:szCs w:val="22"/>
        </w:rPr>
        <w:t>Bisanz</w:t>
      </w:r>
      <w:proofErr w:type="spellEnd"/>
      <w:r w:rsidRPr="00C61F7A">
        <w:rPr>
          <w:bCs/>
          <w:szCs w:val="22"/>
        </w:rPr>
        <w:t xml:space="preserve">, Megan K </w:t>
      </w:r>
      <w:proofErr w:type="spellStart"/>
      <w:r w:rsidRPr="00C61F7A">
        <w:rPr>
          <w:bCs/>
          <w:szCs w:val="22"/>
        </w:rPr>
        <w:t>Enos</w:t>
      </w:r>
      <w:proofErr w:type="spellEnd"/>
      <w:r w:rsidRPr="00C61F7A">
        <w:rPr>
          <w:bCs/>
          <w:szCs w:val="22"/>
        </w:rPr>
        <w:t xml:space="preserve">, George </w:t>
      </w:r>
      <w:proofErr w:type="spellStart"/>
      <w:r w:rsidRPr="00C61F7A">
        <w:rPr>
          <w:bCs/>
          <w:szCs w:val="22"/>
        </w:rPr>
        <w:t>PrayGod</w:t>
      </w:r>
      <w:proofErr w:type="spellEnd"/>
      <w:r w:rsidRPr="00C61F7A">
        <w:rPr>
          <w:bCs/>
          <w:szCs w:val="22"/>
        </w:rPr>
        <w:t xml:space="preserve">, Shannon </w:t>
      </w:r>
      <w:proofErr w:type="spellStart"/>
      <w:r w:rsidRPr="00C61F7A">
        <w:rPr>
          <w:bCs/>
          <w:szCs w:val="22"/>
        </w:rPr>
        <w:t>Seney</w:t>
      </w:r>
      <w:proofErr w:type="spellEnd"/>
      <w:r w:rsidRPr="00C61F7A">
        <w:rPr>
          <w:bCs/>
          <w:szCs w:val="22"/>
        </w:rPr>
        <w:t xml:space="preserve">, Jean M </w:t>
      </w:r>
      <w:proofErr w:type="spellStart"/>
      <w:r w:rsidRPr="00C61F7A">
        <w:rPr>
          <w:bCs/>
          <w:szCs w:val="22"/>
        </w:rPr>
        <w:t>Macklaim</w:t>
      </w:r>
      <w:proofErr w:type="spellEnd"/>
      <w:r w:rsidRPr="00C61F7A">
        <w:rPr>
          <w:bCs/>
          <w:szCs w:val="22"/>
        </w:rPr>
        <w:t xml:space="preserve">, Stephanie Chilton, Dana </w:t>
      </w:r>
      <w:proofErr w:type="spellStart"/>
      <w:r w:rsidRPr="00C61F7A">
        <w:rPr>
          <w:bCs/>
          <w:szCs w:val="22"/>
        </w:rPr>
        <w:t>Willner</w:t>
      </w:r>
      <w:proofErr w:type="spellEnd"/>
      <w:r w:rsidRPr="00C61F7A">
        <w:rPr>
          <w:bCs/>
          <w:szCs w:val="22"/>
        </w:rPr>
        <w:t xml:space="preserve">, Rob Knight, </w:t>
      </w:r>
      <w:proofErr w:type="spellStart"/>
      <w:r w:rsidRPr="00C61F7A">
        <w:rPr>
          <w:bCs/>
          <w:szCs w:val="22"/>
        </w:rPr>
        <w:t>Christoph</w:t>
      </w:r>
      <w:proofErr w:type="spellEnd"/>
      <w:r w:rsidRPr="00C61F7A">
        <w:rPr>
          <w:bCs/>
          <w:szCs w:val="22"/>
        </w:rPr>
        <w:t xml:space="preserve"> </w:t>
      </w:r>
      <w:proofErr w:type="spellStart"/>
      <w:r w:rsidRPr="00C61F7A">
        <w:rPr>
          <w:bCs/>
          <w:szCs w:val="22"/>
        </w:rPr>
        <w:t>Fusch</w:t>
      </w:r>
      <w:proofErr w:type="spellEnd"/>
      <w:r w:rsidRPr="00C61F7A">
        <w:rPr>
          <w:bCs/>
          <w:szCs w:val="22"/>
        </w:rPr>
        <w:t xml:space="preserve">, Gerhard </w:t>
      </w:r>
      <w:proofErr w:type="spellStart"/>
      <w:r w:rsidRPr="00C61F7A">
        <w:rPr>
          <w:bCs/>
          <w:szCs w:val="22"/>
        </w:rPr>
        <w:t>Fusch</w:t>
      </w:r>
      <w:proofErr w:type="spellEnd"/>
      <w:r w:rsidRPr="00C61F7A">
        <w:rPr>
          <w:bCs/>
          <w:szCs w:val="22"/>
        </w:rPr>
        <w:t xml:space="preserve">, Gregory B Gloor, Jeremy P Bur- ton, and </w:t>
      </w:r>
      <w:proofErr w:type="spellStart"/>
      <w:r w:rsidRPr="00C61F7A">
        <w:rPr>
          <w:bCs/>
          <w:szCs w:val="22"/>
        </w:rPr>
        <w:t>Gregor</w:t>
      </w:r>
      <w:proofErr w:type="spellEnd"/>
      <w:r w:rsidRPr="00C61F7A">
        <w:rPr>
          <w:bCs/>
          <w:szCs w:val="22"/>
        </w:rPr>
        <w:t xml:space="preserve"> Reid. </w:t>
      </w:r>
      <w:proofErr w:type="spellStart"/>
      <w:r w:rsidRPr="00C61F7A">
        <w:rPr>
          <w:bCs/>
          <w:szCs w:val="22"/>
        </w:rPr>
        <w:t>Microbiota</w:t>
      </w:r>
      <w:proofErr w:type="spellEnd"/>
      <w:r w:rsidRPr="00C61F7A">
        <w:rPr>
          <w:bCs/>
          <w:szCs w:val="22"/>
        </w:rPr>
        <w:t xml:space="preserve"> at multiple body sites during pregnancy in a rural </w:t>
      </w:r>
      <w:proofErr w:type="spellStart"/>
      <w:proofErr w:type="gramStart"/>
      <w:r w:rsidRPr="00C61F7A">
        <w:rPr>
          <w:bCs/>
          <w:szCs w:val="22"/>
        </w:rPr>
        <w:t>tanzanian</w:t>
      </w:r>
      <w:proofErr w:type="spellEnd"/>
      <w:proofErr w:type="gramEnd"/>
      <w:r w:rsidRPr="00C61F7A">
        <w:rPr>
          <w:bCs/>
          <w:szCs w:val="22"/>
        </w:rPr>
        <w:t xml:space="preserve"> </w:t>
      </w:r>
      <w:proofErr w:type="spellStart"/>
      <w:r w:rsidRPr="00C61F7A">
        <w:rPr>
          <w:bCs/>
          <w:szCs w:val="22"/>
        </w:rPr>
        <w:t>popu</w:t>
      </w:r>
      <w:proofErr w:type="spellEnd"/>
      <w:r w:rsidRPr="00C61F7A">
        <w:rPr>
          <w:bCs/>
          <w:szCs w:val="22"/>
        </w:rPr>
        <w:t xml:space="preserve">- </w:t>
      </w:r>
      <w:proofErr w:type="spellStart"/>
      <w:r w:rsidRPr="00C61F7A">
        <w:rPr>
          <w:bCs/>
          <w:szCs w:val="22"/>
        </w:rPr>
        <w:t>lation</w:t>
      </w:r>
      <w:proofErr w:type="spellEnd"/>
      <w:r w:rsidRPr="00C61F7A">
        <w:rPr>
          <w:bCs/>
          <w:szCs w:val="22"/>
        </w:rPr>
        <w:t xml:space="preserve"> and effects of </w:t>
      </w:r>
      <w:proofErr w:type="spellStart"/>
      <w:r w:rsidRPr="00C61F7A">
        <w:rPr>
          <w:bCs/>
          <w:szCs w:val="22"/>
        </w:rPr>
        <w:t>moringa</w:t>
      </w:r>
      <w:proofErr w:type="spellEnd"/>
      <w:r w:rsidRPr="00C61F7A">
        <w:rPr>
          <w:bCs/>
          <w:szCs w:val="22"/>
        </w:rPr>
        <w:t xml:space="preserve">-supplemented probiotic yogurt. </w:t>
      </w:r>
      <w:proofErr w:type="spellStart"/>
      <w:r w:rsidRPr="00C61F7A">
        <w:rPr>
          <w:bCs/>
          <w:i/>
          <w:iCs/>
          <w:szCs w:val="22"/>
        </w:rPr>
        <w:t>Appl</w:t>
      </w:r>
      <w:proofErr w:type="spellEnd"/>
      <w:r w:rsidRPr="00C61F7A">
        <w:rPr>
          <w:bCs/>
          <w:i/>
          <w:iCs/>
          <w:szCs w:val="22"/>
        </w:rPr>
        <w:t xml:space="preserve"> Environ </w:t>
      </w:r>
      <w:proofErr w:type="spellStart"/>
      <w:r w:rsidRPr="00C61F7A">
        <w:rPr>
          <w:bCs/>
          <w:i/>
          <w:iCs/>
          <w:szCs w:val="22"/>
        </w:rPr>
        <w:t>Microbiol</w:t>
      </w:r>
      <w:proofErr w:type="spellEnd"/>
      <w:r w:rsidRPr="00C61F7A">
        <w:rPr>
          <w:bCs/>
          <w:szCs w:val="22"/>
        </w:rPr>
        <w:t>, 81(15)</w:t>
      </w:r>
      <w:proofErr w:type="gramStart"/>
      <w:r w:rsidRPr="00C61F7A">
        <w:rPr>
          <w:bCs/>
          <w:szCs w:val="22"/>
        </w:rPr>
        <w:t>:4965</w:t>
      </w:r>
      <w:proofErr w:type="gramEnd"/>
      <w:r w:rsidRPr="00C61F7A">
        <w:rPr>
          <w:bCs/>
          <w:szCs w:val="22"/>
        </w:rPr>
        <w:t>–75, Aug 2015.  </w:t>
      </w:r>
    </w:p>
    <w:p w14:paraId="4D47DD26" w14:textId="77777777" w:rsidR="00C61F7A" w:rsidRPr="00C61F7A" w:rsidRDefault="00C61F7A" w:rsidP="00C61F7A">
      <w:pPr>
        <w:pStyle w:val="DataField11pt-Single"/>
        <w:jc w:val="both"/>
        <w:rPr>
          <w:bCs/>
          <w:szCs w:val="22"/>
        </w:rPr>
      </w:pPr>
      <w:r w:rsidRPr="00C61F7A">
        <w:rPr>
          <w:bCs/>
          <w:i/>
          <w:iCs/>
          <w:szCs w:val="22"/>
        </w:rPr>
        <w:t>11</w:t>
      </w:r>
      <w:proofErr w:type="gramStart"/>
      <w:r w:rsidRPr="00C61F7A">
        <w:rPr>
          <w:bCs/>
          <w:i/>
          <w:iCs/>
          <w:szCs w:val="22"/>
        </w:rPr>
        <w:t>)  </w:t>
      </w:r>
      <w:r w:rsidRPr="00C61F7A">
        <w:rPr>
          <w:bCs/>
          <w:szCs w:val="22"/>
        </w:rPr>
        <w:t>Lee</w:t>
      </w:r>
      <w:proofErr w:type="gramEnd"/>
      <w:r w:rsidRPr="00C61F7A">
        <w:rPr>
          <w:bCs/>
          <w:szCs w:val="22"/>
        </w:rPr>
        <w:t xml:space="preserve"> W </w:t>
      </w:r>
      <w:proofErr w:type="spellStart"/>
      <w:r w:rsidRPr="00C61F7A">
        <w:rPr>
          <w:bCs/>
          <w:szCs w:val="22"/>
        </w:rPr>
        <w:t>Goneau</w:t>
      </w:r>
      <w:proofErr w:type="spellEnd"/>
      <w:r w:rsidRPr="00C61F7A">
        <w:rPr>
          <w:bCs/>
          <w:szCs w:val="22"/>
        </w:rPr>
        <w:t xml:space="preserve">, Thomas J </w:t>
      </w:r>
      <w:proofErr w:type="spellStart"/>
      <w:r w:rsidRPr="00C61F7A">
        <w:rPr>
          <w:bCs/>
          <w:szCs w:val="22"/>
        </w:rPr>
        <w:t>Hannan</w:t>
      </w:r>
      <w:proofErr w:type="spellEnd"/>
      <w:r w:rsidRPr="00C61F7A">
        <w:rPr>
          <w:bCs/>
          <w:szCs w:val="22"/>
        </w:rPr>
        <w:t xml:space="preserve">, Roderick A </w:t>
      </w:r>
      <w:proofErr w:type="spellStart"/>
      <w:r w:rsidRPr="00C61F7A">
        <w:rPr>
          <w:bCs/>
          <w:szCs w:val="22"/>
        </w:rPr>
        <w:t>MacPhee</w:t>
      </w:r>
      <w:proofErr w:type="spellEnd"/>
      <w:r w:rsidRPr="00C61F7A">
        <w:rPr>
          <w:bCs/>
          <w:szCs w:val="22"/>
        </w:rPr>
        <w:t xml:space="preserve">, Drew J Schwartz, Jean M </w:t>
      </w:r>
      <w:proofErr w:type="spellStart"/>
      <w:r w:rsidRPr="00C61F7A">
        <w:rPr>
          <w:bCs/>
          <w:szCs w:val="22"/>
        </w:rPr>
        <w:t>Macklaim</w:t>
      </w:r>
      <w:proofErr w:type="spellEnd"/>
      <w:r w:rsidRPr="00C61F7A">
        <w:rPr>
          <w:bCs/>
          <w:szCs w:val="22"/>
        </w:rPr>
        <w:t xml:space="preserve">, </w:t>
      </w:r>
      <w:proofErr w:type="spellStart"/>
      <w:r w:rsidRPr="00C61F7A">
        <w:rPr>
          <w:bCs/>
          <w:szCs w:val="22"/>
        </w:rPr>
        <w:t>Gre</w:t>
      </w:r>
      <w:proofErr w:type="spellEnd"/>
      <w:r w:rsidRPr="00C61F7A">
        <w:rPr>
          <w:bCs/>
          <w:szCs w:val="22"/>
        </w:rPr>
        <w:t xml:space="preserve">- gory B Gloor, Hassan </w:t>
      </w:r>
      <w:proofErr w:type="spellStart"/>
      <w:r w:rsidRPr="00C61F7A">
        <w:rPr>
          <w:bCs/>
          <w:szCs w:val="22"/>
        </w:rPr>
        <w:t>Razvi</w:t>
      </w:r>
      <w:proofErr w:type="spellEnd"/>
      <w:r w:rsidRPr="00C61F7A">
        <w:rPr>
          <w:bCs/>
          <w:szCs w:val="22"/>
        </w:rPr>
        <w:t xml:space="preserve">, </w:t>
      </w:r>
      <w:proofErr w:type="spellStart"/>
      <w:r w:rsidRPr="00C61F7A">
        <w:rPr>
          <w:bCs/>
          <w:szCs w:val="22"/>
        </w:rPr>
        <w:t>Gregor</w:t>
      </w:r>
      <w:proofErr w:type="spellEnd"/>
      <w:r w:rsidRPr="00C61F7A">
        <w:rPr>
          <w:bCs/>
          <w:szCs w:val="22"/>
        </w:rPr>
        <w:t xml:space="preserve"> Reid, Scott J </w:t>
      </w:r>
      <w:proofErr w:type="spellStart"/>
      <w:r w:rsidRPr="00C61F7A">
        <w:rPr>
          <w:bCs/>
          <w:szCs w:val="22"/>
        </w:rPr>
        <w:t>Hultgren</w:t>
      </w:r>
      <w:proofErr w:type="spellEnd"/>
      <w:r w:rsidRPr="00C61F7A">
        <w:rPr>
          <w:bCs/>
          <w:szCs w:val="22"/>
        </w:rPr>
        <w:t xml:space="preserve">, and Jeremy P Burton. </w:t>
      </w:r>
      <w:proofErr w:type="spellStart"/>
      <w:r w:rsidRPr="00C61F7A">
        <w:rPr>
          <w:bCs/>
          <w:szCs w:val="22"/>
        </w:rPr>
        <w:t>Subinhibitory</w:t>
      </w:r>
      <w:proofErr w:type="spellEnd"/>
      <w:r w:rsidRPr="00C61F7A">
        <w:rPr>
          <w:bCs/>
          <w:szCs w:val="22"/>
        </w:rPr>
        <w:t xml:space="preserve"> an- </w:t>
      </w:r>
      <w:proofErr w:type="spellStart"/>
      <w:r w:rsidRPr="00C61F7A">
        <w:rPr>
          <w:bCs/>
          <w:szCs w:val="22"/>
        </w:rPr>
        <w:t>tibiotic</w:t>
      </w:r>
      <w:proofErr w:type="spellEnd"/>
      <w:r w:rsidRPr="00C61F7A">
        <w:rPr>
          <w:bCs/>
          <w:szCs w:val="22"/>
        </w:rPr>
        <w:t xml:space="preserve"> therapy alters recurrent urinary tract infection pathogenesis through modulation of bacterial virulence and host immunity. </w:t>
      </w:r>
      <w:proofErr w:type="spellStart"/>
      <w:proofErr w:type="gramStart"/>
      <w:r w:rsidRPr="00C61F7A">
        <w:rPr>
          <w:bCs/>
          <w:i/>
          <w:iCs/>
          <w:szCs w:val="22"/>
        </w:rPr>
        <w:t>MBio</w:t>
      </w:r>
      <w:proofErr w:type="spellEnd"/>
      <w:r w:rsidRPr="00C61F7A">
        <w:rPr>
          <w:bCs/>
          <w:szCs w:val="22"/>
        </w:rPr>
        <w:t>, 6(2), 2015.</w:t>
      </w:r>
      <w:proofErr w:type="gramEnd"/>
      <w:r w:rsidRPr="00C61F7A">
        <w:rPr>
          <w:bCs/>
          <w:szCs w:val="22"/>
        </w:rPr>
        <w:t xml:space="preserve">  </w:t>
      </w:r>
    </w:p>
    <w:p w14:paraId="58FBD2C5" w14:textId="77777777" w:rsidR="00C61F7A" w:rsidRPr="00C61F7A" w:rsidRDefault="00C61F7A" w:rsidP="00C61F7A">
      <w:pPr>
        <w:pStyle w:val="DataField11pt-Single"/>
        <w:jc w:val="both"/>
        <w:rPr>
          <w:bCs/>
          <w:szCs w:val="22"/>
        </w:rPr>
      </w:pPr>
      <w:r w:rsidRPr="00C61F7A">
        <w:rPr>
          <w:bCs/>
          <w:i/>
          <w:iCs/>
          <w:szCs w:val="22"/>
        </w:rPr>
        <w:t>12</w:t>
      </w:r>
      <w:proofErr w:type="gramStart"/>
      <w:r w:rsidRPr="00C61F7A">
        <w:rPr>
          <w:bCs/>
          <w:i/>
          <w:iCs/>
          <w:szCs w:val="22"/>
        </w:rPr>
        <w:t>)  </w:t>
      </w:r>
      <w:r w:rsidRPr="00C61F7A">
        <w:rPr>
          <w:bCs/>
          <w:szCs w:val="22"/>
        </w:rPr>
        <w:t>Jean</w:t>
      </w:r>
      <w:proofErr w:type="gramEnd"/>
      <w:r w:rsidRPr="00C61F7A">
        <w:rPr>
          <w:bCs/>
          <w:szCs w:val="22"/>
        </w:rPr>
        <w:t xml:space="preserve"> M </w:t>
      </w:r>
      <w:proofErr w:type="spellStart"/>
      <w:r w:rsidRPr="00C61F7A">
        <w:rPr>
          <w:bCs/>
          <w:szCs w:val="22"/>
        </w:rPr>
        <w:t>Macklaim</w:t>
      </w:r>
      <w:proofErr w:type="spellEnd"/>
      <w:r w:rsidRPr="00C61F7A">
        <w:rPr>
          <w:bCs/>
          <w:szCs w:val="22"/>
        </w:rPr>
        <w:t xml:space="preserve">, Jose C Clemente, Rob Knight, Gregory B Gloor, and </w:t>
      </w:r>
      <w:proofErr w:type="spellStart"/>
      <w:r w:rsidRPr="00C61F7A">
        <w:rPr>
          <w:bCs/>
          <w:szCs w:val="22"/>
        </w:rPr>
        <w:t>Gregor</w:t>
      </w:r>
      <w:proofErr w:type="spellEnd"/>
      <w:r w:rsidRPr="00C61F7A">
        <w:rPr>
          <w:bCs/>
          <w:szCs w:val="22"/>
        </w:rPr>
        <w:t xml:space="preserve"> Reid. </w:t>
      </w:r>
      <w:proofErr w:type="gramStart"/>
      <w:r w:rsidRPr="00C61F7A">
        <w:rPr>
          <w:bCs/>
          <w:szCs w:val="22"/>
        </w:rPr>
        <w:t xml:space="preserve">Changes in vaginal </w:t>
      </w:r>
      <w:proofErr w:type="spellStart"/>
      <w:r w:rsidRPr="00C61F7A">
        <w:rPr>
          <w:bCs/>
          <w:szCs w:val="22"/>
        </w:rPr>
        <w:t>microbiota</w:t>
      </w:r>
      <w:proofErr w:type="spellEnd"/>
      <w:r w:rsidRPr="00C61F7A">
        <w:rPr>
          <w:bCs/>
          <w:szCs w:val="22"/>
        </w:rPr>
        <w:t xml:space="preserve"> following antimicrobial and probiotic therapy.</w:t>
      </w:r>
      <w:proofErr w:type="gramEnd"/>
      <w:r w:rsidRPr="00C61F7A">
        <w:rPr>
          <w:bCs/>
          <w:szCs w:val="22"/>
        </w:rPr>
        <w:t xml:space="preserve"> </w:t>
      </w:r>
      <w:proofErr w:type="spellStart"/>
      <w:r w:rsidRPr="00C61F7A">
        <w:rPr>
          <w:bCs/>
          <w:i/>
          <w:iCs/>
          <w:szCs w:val="22"/>
        </w:rPr>
        <w:t>Microb</w:t>
      </w:r>
      <w:proofErr w:type="spellEnd"/>
      <w:r w:rsidRPr="00C61F7A">
        <w:rPr>
          <w:bCs/>
          <w:i/>
          <w:iCs/>
          <w:szCs w:val="22"/>
        </w:rPr>
        <w:t xml:space="preserve"> </w:t>
      </w:r>
      <w:proofErr w:type="spellStart"/>
      <w:r w:rsidRPr="00C61F7A">
        <w:rPr>
          <w:bCs/>
          <w:i/>
          <w:iCs/>
          <w:szCs w:val="22"/>
        </w:rPr>
        <w:t>Ecol</w:t>
      </w:r>
      <w:proofErr w:type="spellEnd"/>
      <w:r w:rsidRPr="00C61F7A">
        <w:rPr>
          <w:bCs/>
          <w:i/>
          <w:iCs/>
          <w:szCs w:val="22"/>
        </w:rPr>
        <w:t xml:space="preserve"> Health Dis</w:t>
      </w:r>
      <w:r w:rsidRPr="00C61F7A">
        <w:rPr>
          <w:bCs/>
          <w:szCs w:val="22"/>
        </w:rPr>
        <w:t>, 26:27799, 2015.  </w:t>
      </w:r>
    </w:p>
    <w:p w14:paraId="4FD1B2D9" w14:textId="77777777" w:rsidR="00C61F7A" w:rsidRPr="00C61F7A" w:rsidRDefault="00C61F7A" w:rsidP="00C61F7A">
      <w:pPr>
        <w:pStyle w:val="DataField11pt-Single"/>
        <w:jc w:val="both"/>
        <w:rPr>
          <w:bCs/>
          <w:szCs w:val="22"/>
        </w:rPr>
      </w:pPr>
      <w:r w:rsidRPr="00C61F7A">
        <w:rPr>
          <w:bCs/>
          <w:i/>
          <w:iCs/>
          <w:szCs w:val="22"/>
        </w:rPr>
        <w:t>13</w:t>
      </w:r>
      <w:proofErr w:type="gramStart"/>
      <w:r w:rsidRPr="00C61F7A">
        <w:rPr>
          <w:bCs/>
          <w:i/>
          <w:iCs/>
          <w:szCs w:val="22"/>
        </w:rPr>
        <w:t>)  </w:t>
      </w:r>
      <w:r w:rsidRPr="00C61F7A">
        <w:rPr>
          <w:bCs/>
          <w:szCs w:val="22"/>
        </w:rPr>
        <w:t>NStDenis,MGabriel,JPTurowec,GBGloor,SS</w:t>
      </w:r>
      <w:proofErr w:type="gramEnd"/>
      <w:r w:rsidRPr="00C61F7A">
        <w:rPr>
          <w:bCs/>
          <w:szCs w:val="22"/>
        </w:rPr>
        <w:t xml:space="preserve">-CLi,A-CGingras,andDWLitchfield.Systematic investigation of hierarchical phosphorylation by protein kinase CK2. </w:t>
      </w:r>
      <w:r w:rsidRPr="00C61F7A">
        <w:rPr>
          <w:bCs/>
          <w:i/>
          <w:iCs/>
          <w:szCs w:val="22"/>
        </w:rPr>
        <w:t>J Proteomics</w:t>
      </w:r>
      <w:r w:rsidRPr="00C61F7A">
        <w:rPr>
          <w:bCs/>
          <w:szCs w:val="22"/>
        </w:rPr>
        <w:t>, 118(6)</w:t>
      </w:r>
      <w:proofErr w:type="gramStart"/>
      <w:r w:rsidRPr="00C61F7A">
        <w:rPr>
          <w:bCs/>
          <w:szCs w:val="22"/>
        </w:rPr>
        <w:t>:49</w:t>
      </w:r>
      <w:proofErr w:type="gramEnd"/>
      <w:r w:rsidRPr="00C61F7A">
        <w:rPr>
          <w:bCs/>
          <w:szCs w:val="22"/>
        </w:rPr>
        <w:t>–62, Nov 2014.  </w:t>
      </w:r>
    </w:p>
    <w:p w14:paraId="3AC6FC29" w14:textId="77777777" w:rsidR="00C61F7A" w:rsidRPr="00C61F7A" w:rsidRDefault="00C61F7A" w:rsidP="00C61F7A">
      <w:pPr>
        <w:pStyle w:val="DataField11pt-Single"/>
        <w:jc w:val="both"/>
        <w:rPr>
          <w:bCs/>
          <w:szCs w:val="22"/>
        </w:rPr>
      </w:pPr>
      <w:r w:rsidRPr="00C61F7A">
        <w:rPr>
          <w:bCs/>
          <w:i/>
          <w:iCs/>
          <w:szCs w:val="22"/>
        </w:rPr>
        <w:t>14</w:t>
      </w:r>
      <w:proofErr w:type="gramStart"/>
      <w:r w:rsidRPr="00C61F7A">
        <w:rPr>
          <w:bCs/>
          <w:i/>
          <w:iCs/>
          <w:szCs w:val="22"/>
        </w:rPr>
        <w:t>)  </w:t>
      </w:r>
      <w:r w:rsidRPr="00C61F7A">
        <w:rPr>
          <w:bCs/>
          <w:szCs w:val="22"/>
        </w:rPr>
        <w:t>ChantalleBrace,GregoryBGloor,MarkRopeleski,EmmaAllen</w:t>
      </w:r>
      <w:proofErr w:type="gramEnd"/>
      <w:r w:rsidRPr="00C61F7A">
        <w:rPr>
          <w:bCs/>
          <w:szCs w:val="22"/>
        </w:rPr>
        <w:t xml:space="preserve">-Vercoe,andElaineOPetrof.Micro- </w:t>
      </w:r>
      <w:proofErr w:type="spellStart"/>
      <w:r w:rsidRPr="00C61F7A">
        <w:rPr>
          <w:bCs/>
          <w:szCs w:val="22"/>
        </w:rPr>
        <w:t>bial</w:t>
      </w:r>
      <w:proofErr w:type="spellEnd"/>
      <w:r w:rsidRPr="00C61F7A">
        <w:rPr>
          <w:bCs/>
          <w:szCs w:val="22"/>
        </w:rPr>
        <w:t xml:space="preserve"> composition analysis of </w:t>
      </w:r>
      <w:r w:rsidRPr="00C61F7A">
        <w:rPr>
          <w:bCs/>
          <w:i/>
          <w:iCs/>
          <w:szCs w:val="22"/>
        </w:rPr>
        <w:t xml:space="preserve">Clostridium </w:t>
      </w:r>
      <w:proofErr w:type="spellStart"/>
      <w:r w:rsidRPr="00C61F7A">
        <w:rPr>
          <w:bCs/>
          <w:i/>
          <w:iCs/>
          <w:szCs w:val="22"/>
        </w:rPr>
        <w:t>difficile</w:t>
      </w:r>
      <w:proofErr w:type="spellEnd"/>
      <w:r w:rsidRPr="00C61F7A">
        <w:rPr>
          <w:bCs/>
          <w:i/>
          <w:iCs/>
          <w:szCs w:val="22"/>
        </w:rPr>
        <w:t xml:space="preserve"> </w:t>
      </w:r>
      <w:r w:rsidRPr="00C61F7A">
        <w:rPr>
          <w:bCs/>
          <w:szCs w:val="22"/>
        </w:rPr>
        <w:t xml:space="preserve">infections in an ulcerative colitis patient treated with multiple fecal </w:t>
      </w:r>
      <w:proofErr w:type="spellStart"/>
      <w:r w:rsidRPr="00C61F7A">
        <w:rPr>
          <w:bCs/>
          <w:szCs w:val="22"/>
        </w:rPr>
        <w:t>microbiota</w:t>
      </w:r>
      <w:proofErr w:type="spellEnd"/>
      <w:r w:rsidRPr="00C61F7A">
        <w:rPr>
          <w:bCs/>
          <w:szCs w:val="22"/>
        </w:rPr>
        <w:t xml:space="preserve"> transplantations. </w:t>
      </w:r>
      <w:r w:rsidRPr="00C61F7A">
        <w:rPr>
          <w:bCs/>
          <w:i/>
          <w:iCs/>
          <w:szCs w:val="22"/>
        </w:rPr>
        <w:t xml:space="preserve">J </w:t>
      </w:r>
      <w:proofErr w:type="spellStart"/>
      <w:r w:rsidRPr="00C61F7A">
        <w:rPr>
          <w:bCs/>
          <w:i/>
          <w:iCs/>
          <w:szCs w:val="22"/>
        </w:rPr>
        <w:t>Crohns</w:t>
      </w:r>
      <w:proofErr w:type="spellEnd"/>
      <w:r w:rsidRPr="00C61F7A">
        <w:rPr>
          <w:bCs/>
          <w:i/>
          <w:iCs/>
          <w:szCs w:val="22"/>
        </w:rPr>
        <w:t xml:space="preserve"> Colitis</w:t>
      </w:r>
      <w:r w:rsidRPr="00C61F7A">
        <w:rPr>
          <w:bCs/>
          <w:szCs w:val="22"/>
        </w:rPr>
        <w:t>, 8:1113–7, Feb 2014.  </w:t>
      </w:r>
    </w:p>
    <w:p w14:paraId="7EC475C0" w14:textId="05BB4884" w:rsidR="00C61F7A" w:rsidRPr="00C61F7A" w:rsidRDefault="00C61F7A" w:rsidP="00C61F7A">
      <w:pPr>
        <w:pStyle w:val="DataField11pt-Single"/>
        <w:jc w:val="both"/>
        <w:rPr>
          <w:bCs/>
          <w:szCs w:val="22"/>
        </w:rPr>
      </w:pPr>
      <w:r w:rsidRPr="00C61F7A">
        <w:rPr>
          <w:bCs/>
          <w:szCs w:val="22"/>
        </w:rPr>
        <w:drawing>
          <wp:inline distT="0" distB="0" distL="0" distR="0" wp14:anchorId="04967D62" wp14:editId="6CFB74C3">
            <wp:extent cx="4038600" cy="12700"/>
            <wp:effectExtent l="0" t="0" r="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12700"/>
                    </a:xfrm>
                    <a:prstGeom prst="rect">
                      <a:avLst/>
                    </a:prstGeom>
                    <a:noFill/>
                    <a:ln>
                      <a:noFill/>
                    </a:ln>
                  </pic:spPr>
                </pic:pic>
              </a:graphicData>
            </a:graphic>
          </wp:inline>
        </w:drawing>
      </w:r>
    </w:p>
    <w:p w14:paraId="51E6442E" w14:textId="77777777" w:rsidR="00C61F7A" w:rsidRPr="00C61F7A" w:rsidRDefault="00C61F7A" w:rsidP="00C61F7A">
      <w:pPr>
        <w:pStyle w:val="DataField11pt-Single"/>
        <w:jc w:val="both"/>
        <w:rPr>
          <w:bCs/>
          <w:szCs w:val="22"/>
        </w:rPr>
      </w:pPr>
      <w:r w:rsidRPr="00C61F7A">
        <w:rPr>
          <w:bCs/>
          <w:szCs w:val="22"/>
        </w:rPr>
        <w:t xml:space="preserve">3 </w:t>
      </w:r>
    </w:p>
    <w:p w14:paraId="09D27540" w14:textId="77777777" w:rsidR="00C61F7A" w:rsidRPr="00C61F7A" w:rsidRDefault="00C61F7A" w:rsidP="00C61F7A">
      <w:pPr>
        <w:pStyle w:val="DataField11pt-Single"/>
        <w:jc w:val="both"/>
        <w:rPr>
          <w:bCs/>
          <w:szCs w:val="22"/>
        </w:rPr>
      </w:pPr>
      <w:r w:rsidRPr="00C61F7A">
        <w:rPr>
          <w:bCs/>
          <w:szCs w:val="22"/>
        </w:rPr>
        <w:t xml:space="preserve">GB Gloor Curriculum Vitae June 28, 2016 </w:t>
      </w:r>
    </w:p>
    <w:p w14:paraId="69E8D83D" w14:textId="598F96A3" w:rsidR="00C61F7A" w:rsidRPr="00C61F7A" w:rsidRDefault="00C61F7A" w:rsidP="00C61F7A">
      <w:pPr>
        <w:pStyle w:val="DataField11pt-Single"/>
        <w:jc w:val="both"/>
        <w:rPr>
          <w:bCs/>
          <w:szCs w:val="22"/>
        </w:rPr>
      </w:pPr>
      <w:r w:rsidRPr="00C61F7A">
        <w:rPr>
          <w:bCs/>
          <w:szCs w:val="22"/>
        </w:rPr>
        <w:drawing>
          <wp:inline distT="0" distB="0" distL="0" distR="0" wp14:anchorId="1C54BCB8" wp14:editId="5ACF30CA">
            <wp:extent cx="4038600" cy="12700"/>
            <wp:effectExtent l="0" t="0" r="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12700"/>
                    </a:xfrm>
                    <a:prstGeom prst="rect">
                      <a:avLst/>
                    </a:prstGeom>
                    <a:noFill/>
                    <a:ln>
                      <a:noFill/>
                    </a:ln>
                  </pic:spPr>
                </pic:pic>
              </a:graphicData>
            </a:graphic>
          </wp:inline>
        </w:drawing>
      </w:r>
    </w:p>
    <w:p w14:paraId="24BC7AA6" w14:textId="77777777" w:rsidR="00C61F7A" w:rsidRPr="00C61F7A" w:rsidRDefault="00C61F7A" w:rsidP="00C61F7A">
      <w:pPr>
        <w:pStyle w:val="DataField11pt-Single"/>
        <w:jc w:val="both"/>
        <w:rPr>
          <w:bCs/>
          <w:szCs w:val="22"/>
        </w:rPr>
      </w:pPr>
      <w:r w:rsidRPr="00C61F7A">
        <w:rPr>
          <w:bCs/>
          <w:i/>
          <w:iCs/>
          <w:szCs w:val="22"/>
        </w:rPr>
        <w:t>15</w:t>
      </w:r>
      <w:proofErr w:type="gramStart"/>
      <w:r w:rsidRPr="00C61F7A">
        <w:rPr>
          <w:bCs/>
          <w:i/>
          <w:iCs/>
          <w:szCs w:val="22"/>
        </w:rPr>
        <w:t>)  </w:t>
      </w:r>
      <w:r w:rsidRPr="00C61F7A">
        <w:rPr>
          <w:bCs/>
          <w:szCs w:val="22"/>
        </w:rPr>
        <w:t>Thomas</w:t>
      </w:r>
      <w:proofErr w:type="gramEnd"/>
      <w:r w:rsidRPr="00C61F7A">
        <w:rPr>
          <w:bCs/>
          <w:szCs w:val="22"/>
        </w:rPr>
        <w:t xml:space="preserve"> A </w:t>
      </w:r>
      <w:proofErr w:type="spellStart"/>
      <w:r w:rsidRPr="00C61F7A">
        <w:rPr>
          <w:bCs/>
          <w:szCs w:val="22"/>
        </w:rPr>
        <w:t>McMurrough</w:t>
      </w:r>
      <w:proofErr w:type="spellEnd"/>
      <w:r w:rsidRPr="00C61F7A">
        <w:rPr>
          <w:bCs/>
          <w:szCs w:val="22"/>
        </w:rPr>
        <w:t xml:space="preserve">, Russell J Dickson, Stephanie M F </w:t>
      </w:r>
      <w:proofErr w:type="spellStart"/>
      <w:r w:rsidRPr="00C61F7A">
        <w:rPr>
          <w:bCs/>
          <w:szCs w:val="22"/>
        </w:rPr>
        <w:t>Thibert</w:t>
      </w:r>
      <w:proofErr w:type="spellEnd"/>
      <w:r w:rsidRPr="00C61F7A">
        <w:rPr>
          <w:bCs/>
          <w:szCs w:val="22"/>
        </w:rPr>
        <w:t xml:space="preserve">, Gregory B Gloor, and David R </w:t>
      </w:r>
      <w:proofErr w:type="spellStart"/>
      <w:r w:rsidRPr="00C61F7A">
        <w:rPr>
          <w:bCs/>
          <w:szCs w:val="22"/>
        </w:rPr>
        <w:t>Edgell</w:t>
      </w:r>
      <w:proofErr w:type="spellEnd"/>
      <w:r w:rsidRPr="00C61F7A">
        <w:rPr>
          <w:bCs/>
          <w:szCs w:val="22"/>
        </w:rPr>
        <w:t xml:space="preserve">. </w:t>
      </w:r>
      <w:proofErr w:type="gramStart"/>
      <w:r w:rsidRPr="00C61F7A">
        <w:rPr>
          <w:bCs/>
          <w:szCs w:val="22"/>
        </w:rPr>
        <w:t xml:space="preserve">Control of catalytic efficiency by a coevolving network of catalytic and </w:t>
      </w:r>
      <w:proofErr w:type="spellStart"/>
      <w:r w:rsidRPr="00C61F7A">
        <w:rPr>
          <w:bCs/>
          <w:szCs w:val="22"/>
        </w:rPr>
        <w:t>noncatalytic</w:t>
      </w:r>
      <w:proofErr w:type="spellEnd"/>
      <w:r w:rsidRPr="00C61F7A">
        <w:rPr>
          <w:bCs/>
          <w:szCs w:val="22"/>
        </w:rPr>
        <w:t xml:space="preserve"> residues.</w:t>
      </w:r>
      <w:proofErr w:type="gramEnd"/>
      <w:r w:rsidRPr="00C61F7A">
        <w:rPr>
          <w:bCs/>
          <w:szCs w:val="22"/>
        </w:rPr>
        <w:t xml:space="preserve"> </w:t>
      </w:r>
      <w:proofErr w:type="spellStart"/>
      <w:r w:rsidRPr="00C61F7A">
        <w:rPr>
          <w:bCs/>
          <w:i/>
          <w:iCs/>
          <w:szCs w:val="22"/>
        </w:rPr>
        <w:t>Proc</w:t>
      </w:r>
      <w:proofErr w:type="spellEnd"/>
      <w:r w:rsidRPr="00C61F7A">
        <w:rPr>
          <w:bCs/>
          <w:i/>
          <w:iCs/>
          <w:szCs w:val="22"/>
        </w:rPr>
        <w:t xml:space="preserve"> </w:t>
      </w:r>
      <w:proofErr w:type="spellStart"/>
      <w:r w:rsidRPr="00C61F7A">
        <w:rPr>
          <w:bCs/>
          <w:i/>
          <w:iCs/>
          <w:szCs w:val="22"/>
        </w:rPr>
        <w:t>Natl</w:t>
      </w:r>
      <w:proofErr w:type="spellEnd"/>
      <w:r w:rsidRPr="00C61F7A">
        <w:rPr>
          <w:bCs/>
          <w:i/>
          <w:iCs/>
          <w:szCs w:val="22"/>
        </w:rPr>
        <w:t xml:space="preserve"> </w:t>
      </w:r>
      <w:proofErr w:type="spellStart"/>
      <w:r w:rsidRPr="00C61F7A">
        <w:rPr>
          <w:bCs/>
          <w:i/>
          <w:iCs/>
          <w:szCs w:val="22"/>
        </w:rPr>
        <w:t>Acad</w:t>
      </w:r>
      <w:proofErr w:type="spellEnd"/>
      <w:r w:rsidRPr="00C61F7A">
        <w:rPr>
          <w:bCs/>
          <w:i/>
          <w:iCs/>
          <w:szCs w:val="22"/>
        </w:rPr>
        <w:t xml:space="preserve"> </w:t>
      </w:r>
      <w:proofErr w:type="spellStart"/>
      <w:r w:rsidRPr="00C61F7A">
        <w:rPr>
          <w:bCs/>
          <w:i/>
          <w:iCs/>
          <w:szCs w:val="22"/>
        </w:rPr>
        <w:t>Sci</w:t>
      </w:r>
      <w:proofErr w:type="spellEnd"/>
      <w:r w:rsidRPr="00C61F7A">
        <w:rPr>
          <w:bCs/>
          <w:i/>
          <w:iCs/>
          <w:szCs w:val="22"/>
        </w:rPr>
        <w:t xml:space="preserve"> U S A</w:t>
      </w:r>
      <w:r w:rsidRPr="00C61F7A">
        <w:rPr>
          <w:bCs/>
          <w:szCs w:val="22"/>
        </w:rPr>
        <w:t>, 111(23)</w:t>
      </w:r>
      <w:proofErr w:type="gramStart"/>
      <w:r w:rsidRPr="00C61F7A">
        <w:rPr>
          <w:bCs/>
          <w:szCs w:val="22"/>
        </w:rPr>
        <w:t>:E2376</w:t>
      </w:r>
      <w:proofErr w:type="gramEnd"/>
      <w:r w:rsidRPr="00C61F7A">
        <w:rPr>
          <w:bCs/>
          <w:szCs w:val="22"/>
        </w:rPr>
        <w:t>–83, Jun 2014.  </w:t>
      </w:r>
    </w:p>
    <w:p w14:paraId="6DB9E7A7" w14:textId="77777777" w:rsidR="00C61F7A" w:rsidRPr="00C61F7A" w:rsidRDefault="00C61F7A" w:rsidP="00C61F7A">
      <w:pPr>
        <w:pStyle w:val="DataField11pt-Single"/>
        <w:jc w:val="both"/>
        <w:rPr>
          <w:bCs/>
          <w:szCs w:val="22"/>
        </w:rPr>
      </w:pPr>
      <w:r w:rsidRPr="00C61F7A">
        <w:rPr>
          <w:bCs/>
          <w:i/>
          <w:iCs/>
          <w:szCs w:val="22"/>
        </w:rPr>
        <w:t>16</w:t>
      </w:r>
      <w:proofErr w:type="gramStart"/>
      <w:r w:rsidRPr="00C61F7A">
        <w:rPr>
          <w:bCs/>
          <w:i/>
          <w:iCs/>
          <w:szCs w:val="22"/>
        </w:rPr>
        <w:t>)  </w:t>
      </w:r>
      <w:r w:rsidRPr="00C61F7A">
        <w:rPr>
          <w:bCs/>
          <w:szCs w:val="22"/>
        </w:rPr>
        <w:t>Kristin</w:t>
      </w:r>
      <w:proofErr w:type="gramEnd"/>
      <w:r w:rsidRPr="00C61F7A">
        <w:rPr>
          <w:bCs/>
          <w:szCs w:val="22"/>
        </w:rPr>
        <w:t xml:space="preserve"> D </w:t>
      </w:r>
      <w:proofErr w:type="spellStart"/>
      <w:r w:rsidRPr="00C61F7A">
        <w:rPr>
          <w:bCs/>
          <w:szCs w:val="22"/>
        </w:rPr>
        <w:t>Kernohan</w:t>
      </w:r>
      <w:proofErr w:type="spellEnd"/>
      <w:r w:rsidRPr="00C61F7A">
        <w:rPr>
          <w:bCs/>
          <w:szCs w:val="22"/>
        </w:rPr>
        <w:t xml:space="preserve">, Douglas </w:t>
      </w:r>
      <w:proofErr w:type="spellStart"/>
      <w:r w:rsidRPr="00C61F7A">
        <w:rPr>
          <w:bCs/>
          <w:szCs w:val="22"/>
        </w:rPr>
        <w:t>Vernimmen</w:t>
      </w:r>
      <w:proofErr w:type="spellEnd"/>
      <w:r w:rsidRPr="00C61F7A">
        <w:rPr>
          <w:bCs/>
          <w:szCs w:val="22"/>
        </w:rPr>
        <w:t xml:space="preserve">, Gregory B Gloor, and Nathalie G </w:t>
      </w:r>
      <w:proofErr w:type="spellStart"/>
      <w:r w:rsidRPr="00C61F7A">
        <w:rPr>
          <w:bCs/>
          <w:szCs w:val="22"/>
        </w:rPr>
        <w:t>Bérubé</w:t>
      </w:r>
      <w:proofErr w:type="spellEnd"/>
      <w:r w:rsidRPr="00C61F7A">
        <w:rPr>
          <w:bCs/>
          <w:szCs w:val="22"/>
        </w:rPr>
        <w:t xml:space="preserve">. Analysis of neonatal brain lacking ATRX or MeCP2 reveals changes in nucleosome density, CTCF binding and chromatin looping. </w:t>
      </w:r>
      <w:r w:rsidRPr="00C61F7A">
        <w:rPr>
          <w:bCs/>
          <w:i/>
          <w:iCs/>
          <w:szCs w:val="22"/>
        </w:rPr>
        <w:t>Nucleic Acids Res</w:t>
      </w:r>
      <w:r w:rsidRPr="00C61F7A">
        <w:rPr>
          <w:bCs/>
          <w:szCs w:val="22"/>
        </w:rPr>
        <w:t>, 42(13)</w:t>
      </w:r>
      <w:proofErr w:type="gramStart"/>
      <w:r w:rsidRPr="00C61F7A">
        <w:rPr>
          <w:bCs/>
          <w:szCs w:val="22"/>
        </w:rPr>
        <w:t>:8356</w:t>
      </w:r>
      <w:proofErr w:type="gramEnd"/>
      <w:r w:rsidRPr="00C61F7A">
        <w:rPr>
          <w:bCs/>
          <w:szCs w:val="22"/>
        </w:rPr>
        <w:t>–68, 2014.  </w:t>
      </w:r>
    </w:p>
    <w:p w14:paraId="0FF8D819" w14:textId="77777777" w:rsidR="00C61F7A" w:rsidRPr="00C61F7A" w:rsidRDefault="00C61F7A" w:rsidP="00C61F7A">
      <w:pPr>
        <w:pStyle w:val="DataField11pt-Single"/>
        <w:jc w:val="both"/>
        <w:rPr>
          <w:bCs/>
          <w:szCs w:val="22"/>
        </w:rPr>
      </w:pPr>
      <w:r w:rsidRPr="00C61F7A">
        <w:rPr>
          <w:bCs/>
          <w:i/>
          <w:iCs/>
          <w:szCs w:val="22"/>
        </w:rPr>
        <w:t>17</w:t>
      </w:r>
      <w:proofErr w:type="gramStart"/>
      <w:r w:rsidRPr="00C61F7A">
        <w:rPr>
          <w:bCs/>
          <w:i/>
          <w:iCs/>
          <w:szCs w:val="22"/>
        </w:rPr>
        <w:t>)  </w:t>
      </w:r>
      <w:r w:rsidRPr="00C61F7A">
        <w:rPr>
          <w:bCs/>
          <w:szCs w:val="22"/>
        </w:rPr>
        <w:t>GregorReid,NicholasNduti,WilbertSybesma,RemcoKort,TobiasRKollmann,RodAdam,Hamadi</w:t>
      </w:r>
      <w:proofErr w:type="gramEnd"/>
      <w:r w:rsidRPr="00C61F7A">
        <w:rPr>
          <w:bCs/>
          <w:szCs w:val="22"/>
        </w:rPr>
        <w:t xml:space="preserve"> </w:t>
      </w:r>
      <w:proofErr w:type="spellStart"/>
      <w:r w:rsidRPr="00C61F7A">
        <w:rPr>
          <w:bCs/>
          <w:szCs w:val="22"/>
        </w:rPr>
        <w:t>Boga</w:t>
      </w:r>
      <w:proofErr w:type="spellEnd"/>
      <w:r w:rsidRPr="00C61F7A">
        <w:rPr>
          <w:bCs/>
          <w:szCs w:val="22"/>
        </w:rPr>
        <w:t xml:space="preserve">, Eric M Brown, Alexandra </w:t>
      </w:r>
      <w:proofErr w:type="spellStart"/>
      <w:r w:rsidRPr="00C61F7A">
        <w:rPr>
          <w:bCs/>
          <w:szCs w:val="22"/>
        </w:rPr>
        <w:t>Einerhand</w:t>
      </w:r>
      <w:proofErr w:type="spellEnd"/>
      <w:r w:rsidRPr="00C61F7A">
        <w:rPr>
          <w:bCs/>
          <w:szCs w:val="22"/>
        </w:rPr>
        <w:t>, Hani El-</w:t>
      </w:r>
      <w:proofErr w:type="spellStart"/>
      <w:r w:rsidRPr="00C61F7A">
        <w:rPr>
          <w:bCs/>
          <w:szCs w:val="22"/>
        </w:rPr>
        <w:t>Nezami</w:t>
      </w:r>
      <w:proofErr w:type="spellEnd"/>
      <w:r w:rsidRPr="00C61F7A">
        <w:rPr>
          <w:bCs/>
          <w:szCs w:val="22"/>
        </w:rPr>
        <w:t xml:space="preserve">, Gregory B Gloor, Irene I </w:t>
      </w:r>
      <w:proofErr w:type="spellStart"/>
      <w:r w:rsidRPr="00C61F7A">
        <w:rPr>
          <w:bCs/>
          <w:szCs w:val="22"/>
        </w:rPr>
        <w:t>Kavere</w:t>
      </w:r>
      <w:proofErr w:type="spellEnd"/>
      <w:r w:rsidRPr="00C61F7A">
        <w:rPr>
          <w:bCs/>
          <w:szCs w:val="22"/>
        </w:rPr>
        <w:t xml:space="preserve">, Johanna </w:t>
      </w:r>
      <w:proofErr w:type="spellStart"/>
      <w:r w:rsidRPr="00C61F7A">
        <w:rPr>
          <w:bCs/>
          <w:szCs w:val="22"/>
        </w:rPr>
        <w:t>Lindahl</w:t>
      </w:r>
      <w:proofErr w:type="spellEnd"/>
      <w:r w:rsidRPr="00C61F7A">
        <w:rPr>
          <w:bCs/>
          <w:szCs w:val="22"/>
        </w:rPr>
        <w:t xml:space="preserve">, </w:t>
      </w:r>
      <w:proofErr w:type="spellStart"/>
      <w:r w:rsidRPr="00C61F7A">
        <w:rPr>
          <w:bCs/>
          <w:szCs w:val="22"/>
        </w:rPr>
        <w:t>Amee</w:t>
      </w:r>
      <w:proofErr w:type="spellEnd"/>
      <w:r w:rsidRPr="00C61F7A">
        <w:rPr>
          <w:bCs/>
          <w:szCs w:val="22"/>
        </w:rPr>
        <w:t xml:space="preserve"> </w:t>
      </w:r>
      <w:proofErr w:type="spellStart"/>
      <w:r w:rsidRPr="00C61F7A">
        <w:rPr>
          <w:bCs/>
          <w:szCs w:val="22"/>
        </w:rPr>
        <w:t>Manges</w:t>
      </w:r>
      <w:proofErr w:type="spellEnd"/>
      <w:r w:rsidRPr="00C61F7A">
        <w:rPr>
          <w:bCs/>
          <w:szCs w:val="22"/>
        </w:rPr>
        <w:t xml:space="preserve">, </w:t>
      </w:r>
      <w:proofErr w:type="spellStart"/>
      <w:r w:rsidRPr="00C61F7A">
        <w:rPr>
          <w:bCs/>
          <w:szCs w:val="22"/>
        </w:rPr>
        <w:t>Wondu</w:t>
      </w:r>
      <w:proofErr w:type="spellEnd"/>
      <w:r w:rsidRPr="00C61F7A">
        <w:rPr>
          <w:bCs/>
          <w:szCs w:val="22"/>
        </w:rPr>
        <w:t xml:space="preserve"> </w:t>
      </w:r>
      <w:proofErr w:type="spellStart"/>
      <w:r w:rsidRPr="00C61F7A">
        <w:rPr>
          <w:bCs/>
          <w:szCs w:val="22"/>
        </w:rPr>
        <w:t>Mamo</w:t>
      </w:r>
      <w:proofErr w:type="spellEnd"/>
      <w:r w:rsidRPr="00C61F7A">
        <w:rPr>
          <w:bCs/>
          <w:szCs w:val="22"/>
        </w:rPr>
        <w:t xml:space="preserve">, </w:t>
      </w:r>
      <w:proofErr w:type="spellStart"/>
      <w:r w:rsidRPr="00C61F7A">
        <w:rPr>
          <w:bCs/>
          <w:szCs w:val="22"/>
        </w:rPr>
        <w:t>Rocio</w:t>
      </w:r>
      <w:proofErr w:type="spellEnd"/>
      <w:r w:rsidRPr="00C61F7A">
        <w:rPr>
          <w:bCs/>
          <w:szCs w:val="22"/>
        </w:rPr>
        <w:t xml:space="preserve"> Martin, Amy McMillan, </w:t>
      </w:r>
      <w:proofErr w:type="spellStart"/>
      <w:r w:rsidRPr="00C61F7A">
        <w:rPr>
          <w:bCs/>
          <w:szCs w:val="22"/>
        </w:rPr>
        <w:t>Jael</w:t>
      </w:r>
      <w:proofErr w:type="spellEnd"/>
      <w:r w:rsidRPr="00C61F7A">
        <w:rPr>
          <w:bCs/>
          <w:szCs w:val="22"/>
        </w:rPr>
        <w:t xml:space="preserve"> </w:t>
      </w:r>
      <w:proofErr w:type="spellStart"/>
      <w:r w:rsidRPr="00C61F7A">
        <w:rPr>
          <w:bCs/>
          <w:szCs w:val="22"/>
        </w:rPr>
        <w:t>Obiero</w:t>
      </w:r>
      <w:proofErr w:type="spellEnd"/>
      <w:r w:rsidRPr="00C61F7A">
        <w:rPr>
          <w:bCs/>
          <w:szCs w:val="22"/>
        </w:rPr>
        <w:t xml:space="preserve">, Pamela A </w:t>
      </w:r>
      <w:proofErr w:type="spellStart"/>
      <w:r w:rsidRPr="00C61F7A">
        <w:rPr>
          <w:bCs/>
          <w:szCs w:val="22"/>
        </w:rPr>
        <w:t>Ochieng</w:t>
      </w:r>
      <w:proofErr w:type="spellEnd"/>
      <w:r w:rsidRPr="00C61F7A">
        <w:rPr>
          <w:bCs/>
          <w:szCs w:val="22"/>
        </w:rPr>
        <w:t xml:space="preserve">, Arnold </w:t>
      </w:r>
      <w:proofErr w:type="spellStart"/>
      <w:r w:rsidRPr="00C61F7A">
        <w:rPr>
          <w:bCs/>
          <w:szCs w:val="22"/>
        </w:rPr>
        <w:t>Onyango</w:t>
      </w:r>
      <w:proofErr w:type="spellEnd"/>
      <w:r w:rsidRPr="00C61F7A">
        <w:rPr>
          <w:bCs/>
          <w:szCs w:val="22"/>
        </w:rPr>
        <w:t xml:space="preserve">, Stephen </w:t>
      </w:r>
      <w:proofErr w:type="spellStart"/>
      <w:r w:rsidRPr="00C61F7A">
        <w:rPr>
          <w:bCs/>
          <w:szCs w:val="22"/>
        </w:rPr>
        <w:t>Rulisa</w:t>
      </w:r>
      <w:proofErr w:type="spellEnd"/>
      <w:r w:rsidRPr="00C61F7A">
        <w:rPr>
          <w:bCs/>
          <w:szCs w:val="22"/>
        </w:rPr>
        <w:t xml:space="preserve">, </w:t>
      </w:r>
      <w:proofErr w:type="spellStart"/>
      <w:r w:rsidRPr="00C61F7A">
        <w:rPr>
          <w:bCs/>
          <w:szCs w:val="22"/>
        </w:rPr>
        <w:t>Eeva</w:t>
      </w:r>
      <w:proofErr w:type="spellEnd"/>
      <w:r w:rsidRPr="00C61F7A">
        <w:rPr>
          <w:bCs/>
          <w:szCs w:val="22"/>
        </w:rPr>
        <w:t xml:space="preserve"> </w:t>
      </w:r>
      <w:proofErr w:type="spellStart"/>
      <w:r w:rsidRPr="00C61F7A">
        <w:rPr>
          <w:bCs/>
          <w:szCs w:val="22"/>
        </w:rPr>
        <w:t>Salminen</w:t>
      </w:r>
      <w:proofErr w:type="spellEnd"/>
      <w:r w:rsidRPr="00C61F7A">
        <w:rPr>
          <w:bCs/>
          <w:szCs w:val="22"/>
        </w:rPr>
        <w:t xml:space="preserve">, </w:t>
      </w:r>
      <w:proofErr w:type="spellStart"/>
      <w:r w:rsidRPr="00C61F7A">
        <w:rPr>
          <w:bCs/>
          <w:szCs w:val="22"/>
        </w:rPr>
        <w:t>Seppo</w:t>
      </w:r>
      <w:proofErr w:type="spellEnd"/>
      <w:r w:rsidRPr="00C61F7A">
        <w:rPr>
          <w:bCs/>
          <w:szCs w:val="22"/>
        </w:rPr>
        <w:t xml:space="preserve"> </w:t>
      </w:r>
      <w:proofErr w:type="spellStart"/>
      <w:r w:rsidRPr="00C61F7A">
        <w:rPr>
          <w:bCs/>
          <w:szCs w:val="22"/>
        </w:rPr>
        <w:t>Salminen</w:t>
      </w:r>
      <w:proofErr w:type="spellEnd"/>
      <w:r w:rsidRPr="00C61F7A">
        <w:rPr>
          <w:bCs/>
          <w:szCs w:val="22"/>
        </w:rPr>
        <w:t xml:space="preserve">, Antony </w:t>
      </w:r>
      <w:proofErr w:type="spellStart"/>
      <w:r w:rsidRPr="00C61F7A">
        <w:rPr>
          <w:bCs/>
          <w:szCs w:val="22"/>
        </w:rPr>
        <w:t>Sije</w:t>
      </w:r>
      <w:proofErr w:type="spellEnd"/>
      <w:r w:rsidRPr="00C61F7A">
        <w:rPr>
          <w:bCs/>
          <w:szCs w:val="22"/>
        </w:rPr>
        <w:t xml:space="preserve">, Jonathan R Swann, William van </w:t>
      </w:r>
      <w:proofErr w:type="spellStart"/>
      <w:r w:rsidRPr="00C61F7A">
        <w:rPr>
          <w:bCs/>
          <w:szCs w:val="22"/>
        </w:rPr>
        <w:t>Treuren</w:t>
      </w:r>
      <w:proofErr w:type="spellEnd"/>
      <w:r w:rsidRPr="00C61F7A">
        <w:rPr>
          <w:bCs/>
          <w:szCs w:val="22"/>
        </w:rPr>
        <w:t xml:space="preserve">, Daniel </w:t>
      </w:r>
      <w:proofErr w:type="spellStart"/>
      <w:r w:rsidRPr="00C61F7A">
        <w:rPr>
          <w:bCs/>
          <w:szCs w:val="22"/>
        </w:rPr>
        <w:t>Waweru</w:t>
      </w:r>
      <w:proofErr w:type="spellEnd"/>
      <w:r w:rsidRPr="00C61F7A">
        <w:rPr>
          <w:bCs/>
          <w:szCs w:val="22"/>
        </w:rPr>
        <w:t xml:space="preserve">, and Steve J Kemp. Harnessing </w:t>
      </w:r>
      <w:proofErr w:type="spellStart"/>
      <w:r w:rsidRPr="00C61F7A">
        <w:rPr>
          <w:bCs/>
          <w:szCs w:val="22"/>
        </w:rPr>
        <w:t>microbiome</w:t>
      </w:r>
      <w:proofErr w:type="spellEnd"/>
      <w:r w:rsidRPr="00C61F7A">
        <w:rPr>
          <w:bCs/>
          <w:szCs w:val="22"/>
        </w:rPr>
        <w:t xml:space="preserve"> and probiotic re- search in sub-Saharan Africa: recommendations from an African workshop. </w:t>
      </w:r>
      <w:proofErr w:type="spellStart"/>
      <w:r w:rsidRPr="00C61F7A">
        <w:rPr>
          <w:bCs/>
          <w:i/>
          <w:iCs/>
          <w:szCs w:val="22"/>
        </w:rPr>
        <w:t>Microbiome</w:t>
      </w:r>
      <w:proofErr w:type="spellEnd"/>
      <w:r w:rsidRPr="00C61F7A">
        <w:rPr>
          <w:bCs/>
          <w:szCs w:val="22"/>
        </w:rPr>
        <w:t>, 2(1)</w:t>
      </w:r>
      <w:proofErr w:type="gramStart"/>
      <w:r w:rsidRPr="00C61F7A">
        <w:rPr>
          <w:bCs/>
          <w:szCs w:val="22"/>
        </w:rPr>
        <w:t>:12</w:t>
      </w:r>
      <w:proofErr w:type="gramEnd"/>
      <w:r w:rsidRPr="00C61F7A">
        <w:rPr>
          <w:bCs/>
          <w:szCs w:val="22"/>
        </w:rPr>
        <w:t>, Apr 2014.  </w:t>
      </w:r>
    </w:p>
    <w:p w14:paraId="5886F63F" w14:textId="77777777" w:rsidR="00C61F7A" w:rsidRPr="00C61F7A" w:rsidRDefault="00C61F7A" w:rsidP="00C61F7A">
      <w:pPr>
        <w:pStyle w:val="DataField11pt-Single"/>
        <w:jc w:val="both"/>
        <w:rPr>
          <w:bCs/>
          <w:szCs w:val="22"/>
        </w:rPr>
      </w:pPr>
      <w:r w:rsidRPr="00C61F7A">
        <w:rPr>
          <w:bCs/>
          <w:i/>
          <w:iCs/>
          <w:szCs w:val="22"/>
        </w:rPr>
        <w:t>18</w:t>
      </w:r>
      <w:proofErr w:type="gramStart"/>
      <w:r w:rsidRPr="00C61F7A">
        <w:rPr>
          <w:bCs/>
          <w:i/>
          <w:iCs/>
          <w:szCs w:val="22"/>
        </w:rPr>
        <w:t>)  </w:t>
      </w:r>
      <w:r w:rsidRPr="00C61F7A">
        <w:rPr>
          <w:bCs/>
          <w:szCs w:val="22"/>
        </w:rPr>
        <w:t>AndrewDFernandes,JenniferNsReid,JeanMMacklaim,ThomasAMcMurrough,DavidREdgell</w:t>
      </w:r>
      <w:proofErr w:type="gramEnd"/>
      <w:r w:rsidRPr="00C61F7A">
        <w:rPr>
          <w:bCs/>
          <w:szCs w:val="22"/>
        </w:rPr>
        <w:t xml:space="preserve">, and Gregory B Gloor. Unifying the analysis of high-throughput sequencing datasets: </w:t>
      </w:r>
      <w:proofErr w:type="spellStart"/>
      <w:r w:rsidRPr="00C61F7A">
        <w:rPr>
          <w:bCs/>
          <w:szCs w:val="22"/>
        </w:rPr>
        <w:t>characteriz</w:t>
      </w:r>
      <w:proofErr w:type="spellEnd"/>
      <w:r w:rsidRPr="00C61F7A">
        <w:rPr>
          <w:bCs/>
          <w:szCs w:val="22"/>
        </w:rPr>
        <w:t xml:space="preserve">- </w:t>
      </w:r>
      <w:proofErr w:type="spellStart"/>
      <w:r w:rsidRPr="00C61F7A">
        <w:rPr>
          <w:bCs/>
          <w:szCs w:val="22"/>
        </w:rPr>
        <w:t>ing</w:t>
      </w:r>
      <w:proofErr w:type="spellEnd"/>
      <w:r w:rsidRPr="00C61F7A">
        <w:rPr>
          <w:bCs/>
          <w:szCs w:val="22"/>
        </w:rPr>
        <w:t xml:space="preserve"> RNA-</w:t>
      </w:r>
      <w:proofErr w:type="spellStart"/>
      <w:r w:rsidRPr="00C61F7A">
        <w:rPr>
          <w:bCs/>
          <w:szCs w:val="22"/>
        </w:rPr>
        <w:t>seq</w:t>
      </w:r>
      <w:proofErr w:type="spellEnd"/>
      <w:r w:rsidRPr="00C61F7A">
        <w:rPr>
          <w:bCs/>
          <w:szCs w:val="22"/>
        </w:rPr>
        <w:t xml:space="preserve">, 16s </w:t>
      </w:r>
      <w:proofErr w:type="spellStart"/>
      <w:r w:rsidRPr="00C61F7A">
        <w:rPr>
          <w:bCs/>
          <w:szCs w:val="22"/>
        </w:rPr>
        <w:t>rRNA</w:t>
      </w:r>
      <w:proofErr w:type="spellEnd"/>
      <w:r w:rsidRPr="00C61F7A">
        <w:rPr>
          <w:bCs/>
          <w:szCs w:val="22"/>
        </w:rPr>
        <w:t xml:space="preserve"> gene sequencing and selective growth experiments by compositional data analysis. </w:t>
      </w:r>
      <w:proofErr w:type="spellStart"/>
      <w:proofErr w:type="gramStart"/>
      <w:r w:rsidRPr="00C61F7A">
        <w:rPr>
          <w:bCs/>
          <w:i/>
          <w:iCs/>
          <w:szCs w:val="22"/>
        </w:rPr>
        <w:t>Microbiome</w:t>
      </w:r>
      <w:proofErr w:type="spellEnd"/>
      <w:r w:rsidRPr="00C61F7A">
        <w:rPr>
          <w:bCs/>
          <w:szCs w:val="22"/>
        </w:rPr>
        <w:t>, 2:15.1–15.13, 2014.</w:t>
      </w:r>
      <w:proofErr w:type="gramEnd"/>
      <w:r w:rsidRPr="00C61F7A">
        <w:rPr>
          <w:bCs/>
          <w:szCs w:val="22"/>
        </w:rPr>
        <w:t xml:space="preserve">  </w:t>
      </w:r>
    </w:p>
    <w:p w14:paraId="4CA1AD72" w14:textId="77777777" w:rsidR="00C61F7A" w:rsidRPr="00C61F7A" w:rsidRDefault="00C61F7A" w:rsidP="00C61F7A">
      <w:pPr>
        <w:pStyle w:val="DataField11pt-Single"/>
        <w:jc w:val="both"/>
        <w:rPr>
          <w:bCs/>
          <w:szCs w:val="22"/>
        </w:rPr>
      </w:pPr>
      <w:r w:rsidRPr="00C61F7A">
        <w:rPr>
          <w:bCs/>
          <w:i/>
          <w:iCs/>
          <w:szCs w:val="22"/>
        </w:rPr>
        <w:t>19</w:t>
      </w:r>
      <w:proofErr w:type="gramStart"/>
      <w:r w:rsidRPr="00C61F7A">
        <w:rPr>
          <w:bCs/>
          <w:i/>
          <w:iCs/>
          <w:szCs w:val="22"/>
        </w:rPr>
        <w:t>)  </w:t>
      </w:r>
      <w:r w:rsidRPr="00C61F7A">
        <w:rPr>
          <w:bCs/>
          <w:szCs w:val="22"/>
        </w:rPr>
        <w:t>Camilla</w:t>
      </w:r>
      <w:proofErr w:type="gramEnd"/>
      <w:r w:rsidRPr="00C61F7A">
        <w:rPr>
          <w:bCs/>
          <w:szCs w:val="22"/>
        </w:rPr>
        <w:t xml:space="preserve"> </w:t>
      </w:r>
      <w:proofErr w:type="spellStart"/>
      <w:r w:rsidRPr="00C61F7A">
        <w:rPr>
          <w:bCs/>
          <w:szCs w:val="22"/>
        </w:rPr>
        <w:t>Urbaniak</w:t>
      </w:r>
      <w:proofErr w:type="spellEnd"/>
      <w:r w:rsidRPr="00C61F7A">
        <w:rPr>
          <w:bCs/>
          <w:szCs w:val="22"/>
        </w:rPr>
        <w:t xml:space="preserve">, Amy McMillan, Michelle </w:t>
      </w:r>
      <w:proofErr w:type="spellStart"/>
      <w:r w:rsidRPr="00C61F7A">
        <w:rPr>
          <w:bCs/>
          <w:szCs w:val="22"/>
        </w:rPr>
        <w:t>Angelini</w:t>
      </w:r>
      <w:proofErr w:type="spellEnd"/>
      <w:r w:rsidRPr="00C61F7A">
        <w:rPr>
          <w:bCs/>
          <w:szCs w:val="22"/>
        </w:rPr>
        <w:t xml:space="preserve">, Gregory B Gloor, Mark </w:t>
      </w:r>
      <w:proofErr w:type="spellStart"/>
      <w:r w:rsidRPr="00C61F7A">
        <w:rPr>
          <w:bCs/>
          <w:szCs w:val="22"/>
        </w:rPr>
        <w:t>Sumarah</w:t>
      </w:r>
      <w:proofErr w:type="spellEnd"/>
      <w:r w:rsidRPr="00C61F7A">
        <w:rPr>
          <w:bCs/>
          <w:szCs w:val="22"/>
        </w:rPr>
        <w:t xml:space="preserve">, Jeremy P Burton, and </w:t>
      </w:r>
      <w:proofErr w:type="spellStart"/>
      <w:r w:rsidRPr="00C61F7A">
        <w:rPr>
          <w:bCs/>
          <w:szCs w:val="22"/>
        </w:rPr>
        <w:t>Gregor</w:t>
      </w:r>
      <w:proofErr w:type="spellEnd"/>
      <w:r w:rsidRPr="00C61F7A">
        <w:rPr>
          <w:bCs/>
          <w:szCs w:val="22"/>
        </w:rPr>
        <w:t xml:space="preserve"> Reid. </w:t>
      </w:r>
      <w:proofErr w:type="gramStart"/>
      <w:r w:rsidRPr="00C61F7A">
        <w:rPr>
          <w:bCs/>
          <w:szCs w:val="22"/>
        </w:rPr>
        <w:t xml:space="preserve">Effect of chemotherapy on the </w:t>
      </w:r>
      <w:proofErr w:type="spellStart"/>
      <w:r w:rsidRPr="00C61F7A">
        <w:rPr>
          <w:bCs/>
          <w:szCs w:val="22"/>
        </w:rPr>
        <w:t>microbiota</w:t>
      </w:r>
      <w:proofErr w:type="spellEnd"/>
      <w:r w:rsidRPr="00C61F7A">
        <w:rPr>
          <w:bCs/>
          <w:szCs w:val="22"/>
        </w:rPr>
        <w:t xml:space="preserve"> and </w:t>
      </w:r>
      <w:proofErr w:type="spellStart"/>
      <w:r w:rsidRPr="00C61F7A">
        <w:rPr>
          <w:bCs/>
          <w:szCs w:val="22"/>
        </w:rPr>
        <w:t>metabolome</w:t>
      </w:r>
      <w:proofErr w:type="spellEnd"/>
      <w:r w:rsidRPr="00C61F7A">
        <w:rPr>
          <w:bCs/>
          <w:szCs w:val="22"/>
        </w:rPr>
        <w:t xml:space="preserve"> of human milk, a case report.</w:t>
      </w:r>
      <w:proofErr w:type="gramEnd"/>
      <w:r w:rsidRPr="00C61F7A">
        <w:rPr>
          <w:bCs/>
          <w:szCs w:val="22"/>
        </w:rPr>
        <w:t xml:space="preserve"> </w:t>
      </w:r>
      <w:proofErr w:type="spellStart"/>
      <w:proofErr w:type="gramStart"/>
      <w:r w:rsidRPr="00C61F7A">
        <w:rPr>
          <w:bCs/>
          <w:i/>
          <w:iCs/>
          <w:szCs w:val="22"/>
        </w:rPr>
        <w:t>Microbiome</w:t>
      </w:r>
      <w:proofErr w:type="spellEnd"/>
      <w:r w:rsidRPr="00C61F7A">
        <w:rPr>
          <w:bCs/>
          <w:szCs w:val="22"/>
        </w:rPr>
        <w:t>, 2:24, 2014.</w:t>
      </w:r>
      <w:proofErr w:type="gramEnd"/>
      <w:r w:rsidRPr="00C61F7A">
        <w:rPr>
          <w:bCs/>
          <w:szCs w:val="22"/>
        </w:rPr>
        <w:t xml:space="preserve">  </w:t>
      </w:r>
    </w:p>
    <w:p w14:paraId="7187D118" w14:textId="77777777" w:rsidR="00C61F7A" w:rsidRPr="00C61F7A" w:rsidRDefault="00C61F7A" w:rsidP="00C61F7A">
      <w:pPr>
        <w:pStyle w:val="DataField11pt-Single"/>
        <w:jc w:val="both"/>
        <w:rPr>
          <w:bCs/>
          <w:szCs w:val="22"/>
        </w:rPr>
      </w:pPr>
      <w:r w:rsidRPr="00C61F7A">
        <w:rPr>
          <w:bCs/>
          <w:i/>
          <w:iCs/>
          <w:szCs w:val="22"/>
        </w:rPr>
        <w:t>20</w:t>
      </w:r>
      <w:proofErr w:type="gramStart"/>
      <w:r w:rsidRPr="00C61F7A">
        <w:rPr>
          <w:bCs/>
          <w:i/>
          <w:iCs/>
          <w:szCs w:val="22"/>
        </w:rPr>
        <w:t>)  </w:t>
      </w:r>
      <w:r w:rsidRPr="00C61F7A">
        <w:rPr>
          <w:bCs/>
          <w:szCs w:val="22"/>
        </w:rPr>
        <w:t>SRahat</w:t>
      </w:r>
      <w:proofErr w:type="gramEnd"/>
      <w:r w:rsidRPr="00C61F7A">
        <w:rPr>
          <w:bCs/>
          <w:szCs w:val="22"/>
        </w:rPr>
        <w:t xml:space="preserve">-Rozenbloom,JFernandes,GBGloor,andTMSWolever.Evidenceforgreaterproductionof colonic short chain fatty acids in overweight than lean humans. </w:t>
      </w:r>
      <w:proofErr w:type="spellStart"/>
      <w:r w:rsidRPr="00C61F7A">
        <w:rPr>
          <w:bCs/>
          <w:i/>
          <w:iCs/>
          <w:szCs w:val="22"/>
        </w:rPr>
        <w:t>Int</w:t>
      </w:r>
      <w:proofErr w:type="spellEnd"/>
      <w:r w:rsidRPr="00C61F7A">
        <w:rPr>
          <w:bCs/>
          <w:i/>
          <w:iCs/>
          <w:szCs w:val="22"/>
        </w:rPr>
        <w:t xml:space="preserve"> J </w:t>
      </w:r>
      <w:proofErr w:type="spellStart"/>
      <w:r w:rsidRPr="00C61F7A">
        <w:rPr>
          <w:bCs/>
          <w:i/>
          <w:iCs/>
          <w:szCs w:val="22"/>
        </w:rPr>
        <w:t>Obes</w:t>
      </w:r>
      <w:proofErr w:type="spellEnd"/>
      <w:r w:rsidRPr="00C61F7A">
        <w:rPr>
          <w:bCs/>
          <w:i/>
          <w:iCs/>
          <w:szCs w:val="22"/>
        </w:rPr>
        <w:t xml:space="preserve"> (</w:t>
      </w:r>
      <w:proofErr w:type="spellStart"/>
      <w:r w:rsidRPr="00C61F7A">
        <w:rPr>
          <w:bCs/>
          <w:i/>
          <w:iCs/>
          <w:szCs w:val="22"/>
        </w:rPr>
        <w:t>Lond</w:t>
      </w:r>
      <w:proofErr w:type="spellEnd"/>
      <w:r w:rsidRPr="00C61F7A">
        <w:rPr>
          <w:bCs/>
          <w:i/>
          <w:iCs/>
          <w:szCs w:val="22"/>
        </w:rPr>
        <w:t>)</w:t>
      </w:r>
      <w:r w:rsidRPr="00C61F7A">
        <w:rPr>
          <w:bCs/>
          <w:szCs w:val="22"/>
        </w:rPr>
        <w:t>, Mar 2014.  </w:t>
      </w:r>
    </w:p>
    <w:p w14:paraId="026D6807" w14:textId="77777777" w:rsidR="00C61F7A" w:rsidRPr="00C61F7A" w:rsidRDefault="00C61F7A" w:rsidP="00C61F7A">
      <w:pPr>
        <w:pStyle w:val="DataField11pt-Single"/>
        <w:jc w:val="both"/>
        <w:rPr>
          <w:bCs/>
          <w:szCs w:val="22"/>
        </w:rPr>
      </w:pPr>
      <w:r w:rsidRPr="00C61F7A">
        <w:rPr>
          <w:bCs/>
          <w:i/>
          <w:iCs/>
          <w:szCs w:val="22"/>
        </w:rPr>
        <w:t>21</w:t>
      </w:r>
      <w:proofErr w:type="gramStart"/>
      <w:r w:rsidRPr="00C61F7A">
        <w:rPr>
          <w:bCs/>
          <w:i/>
          <w:iCs/>
          <w:szCs w:val="22"/>
        </w:rPr>
        <w:t>)  </w:t>
      </w:r>
      <w:proofErr w:type="spellStart"/>
      <w:r w:rsidRPr="00C61F7A">
        <w:rPr>
          <w:bCs/>
          <w:szCs w:val="22"/>
        </w:rPr>
        <w:t>Xiaohong</w:t>
      </w:r>
      <w:proofErr w:type="spellEnd"/>
      <w:proofErr w:type="gramEnd"/>
      <w:r w:rsidRPr="00C61F7A">
        <w:rPr>
          <w:bCs/>
          <w:szCs w:val="22"/>
        </w:rPr>
        <w:t xml:space="preserve"> Tracey </w:t>
      </w:r>
      <w:proofErr w:type="spellStart"/>
      <w:r w:rsidRPr="00C61F7A">
        <w:rPr>
          <w:bCs/>
          <w:szCs w:val="22"/>
        </w:rPr>
        <w:t>Gan</w:t>
      </w:r>
      <w:proofErr w:type="spellEnd"/>
      <w:r w:rsidRPr="00C61F7A">
        <w:rPr>
          <w:bCs/>
          <w:szCs w:val="22"/>
        </w:rPr>
        <w:t xml:space="preserve">, Grace </w:t>
      </w:r>
      <w:proofErr w:type="spellStart"/>
      <w:r w:rsidRPr="00C61F7A">
        <w:rPr>
          <w:bCs/>
          <w:szCs w:val="22"/>
        </w:rPr>
        <w:t>Ettinger</w:t>
      </w:r>
      <w:proofErr w:type="spellEnd"/>
      <w:r w:rsidRPr="00C61F7A">
        <w:rPr>
          <w:bCs/>
          <w:szCs w:val="22"/>
        </w:rPr>
        <w:t xml:space="preserve">, Cathy X Huang, Jeremy P Burton, James V </w:t>
      </w:r>
      <w:proofErr w:type="spellStart"/>
      <w:r w:rsidRPr="00C61F7A">
        <w:rPr>
          <w:bCs/>
          <w:szCs w:val="22"/>
        </w:rPr>
        <w:t>Haist</w:t>
      </w:r>
      <w:proofErr w:type="spellEnd"/>
      <w:r w:rsidRPr="00C61F7A">
        <w:rPr>
          <w:bCs/>
          <w:szCs w:val="22"/>
        </w:rPr>
        <w:t xml:space="preserve">, </w:t>
      </w:r>
      <w:proofErr w:type="spellStart"/>
      <w:r w:rsidRPr="00C61F7A">
        <w:rPr>
          <w:bCs/>
          <w:szCs w:val="22"/>
        </w:rPr>
        <w:t>Venkatesh</w:t>
      </w:r>
      <w:proofErr w:type="spellEnd"/>
      <w:r w:rsidRPr="00C61F7A">
        <w:rPr>
          <w:bCs/>
          <w:szCs w:val="22"/>
        </w:rPr>
        <w:t xml:space="preserve"> </w:t>
      </w:r>
      <w:proofErr w:type="spellStart"/>
      <w:r w:rsidRPr="00C61F7A">
        <w:rPr>
          <w:bCs/>
          <w:szCs w:val="22"/>
        </w:rPr>
        <w:t>Rajapurohitam</w:t>
      </w:r>
      <w:proofErr w:type="spellEnd"/>
      <w:r w:rsidRPr="00C61F7A">
        <w:rPr>
          <w:bCs/>
          <w:szCs w:val="22"/>
        </w:rPr>
        <w:t xml:space="preserve">, James E </w:t>
      </w:r>
      <w:proofErr w:type="spellStart"/>
      <w:r w:rsidRPr="00C61F7A">
        <w:rPr>
          <w:bCs/>
          <w:szCs w:val="22"/>
        </w:rPr>
        <w:t>Sidaway</w:t>
      </w:r>
      <w:proofErr w:type="spellEnd"/>
      <w:r w:rsidRPr="00C61F7A">
        <w:rPr>
          <w:bCs/>
          <w:szCs w:val="22"/>
        </w:rPr>
        <w:t xml:space="preserve">, Glynn Martin, Gregory B Gloor, Jonathan R Swann, </w:t>
      </w:r>
      <w:proofErr w:type="spellStart"/>
      <w:r w:rsidRPr="00C61F7A">
        <w:rPr>
          <w:bCs/>
          <w:szCs w:val="22"/>
        </w:rPr>
        <w:t>Gregor</w:t>
      </w:r>
      <w:proofErr w:type="spellEnd"/>
      <w:r w:rsidRPr="00C61F7A">
        <w:rPr>
          <w:bCs/>
          <w:szCs w:val="22"/>
        </w:rPr>
        <w:t xml:space="preserve"> Reid, and Morris </w:t>
      </w:r>
      <w:proofErr w:type="spellStart"/>
      <w:r w:rsidRPr="00C61F7A">
        <w:rPr>
          <w:bCs/>
          <w:szCs w:val="22"/>
        </w:rPr>
        <w:t>Karmazyn</w:t>
      </w:r>
      <w:proofErr w:type="spellEnd"/>
      <w:r w:rsidRPr="00C61F7A">
        <w:rPr>
          <w:bCs/>
          <w:szCs w:val="22"/>
        </w:rPr>
        <w:t xml:space="preserve">. Probiotic administration attenuates myocardial hypertrophy and heart failure after myocardial infarction in the rat. </w:t>
      </w:r>
      <w:proofErr w:type="spellStart"/>
      <w:r w:rsidRPr="00C61F7A">
        <w:rPr>
          <w:bCs/>
          <w:i/>
          <w:iCs/>
          <w:szCs w:val="22"/>
        </w:rPr>
        <w:t>Circ</w:t>
      </w:r>
      <w:proofErr w:type="spellEnd"/>
      <w:r w:rsidRPr="00C61F7A">
        <w:rPr>
          <w:bCs/>
          <w:i/>
          <w:iCs/>
          <w:szCs w:val="22"/>
        </w:rPr>
        <w:t xml:space="preserve"> Heart Fail</w:t>
      </w:r>
      <w:r w:rsidRPr="00C61F7A">
        <w:rPr>
          <w:bCs/>
          <w:szCs w:val="22"/>
        </w:rPr>
        <w:t>, 7(3)</w:t>
      </w:r>
      <w:proofErr w:type="gramStart"/>
      <w:r w:rsidRPr="00C61F7A">
        <w:rPr>
          <w:bCs/>
          <w:szCs w:val="22"/>
        </w:rPr>
        <w:t>:491</w:t>
      </w:r>
      <w:proofErr w:type="gramEnd"/>
      <w:r w:rsidRPr="00C61F7A">
        <w:rPr>
          <w:bCs/>
          <w:szCs w:val="22"/>
        </w:rPr>
        <w:t>–9, May 2014.  </w:t>
      </w:r>
    </w:p>
    <w:p w14:paraId="3A3C9402" w14:textId="77777777" w:rsidR="00C61F7A" w:rsidRPr="00C61F7A" w:rsidRDefault="00C61F7A" w:rsidP="00C61F7A">
      <w:pPr>
        <w:pStyle w:val="DataField11pt-Single"/>
        <w:jc w:val="both"/>
        <w:rPr>
          <w:bCs/>
          <w:szCs w:val="22"/>
        </w:rPr>
      </w:pPr>
      <w:r w:rsidRPr="00C61F7A">
        <w:rPr>
          <w:bCs/>
          <w:i/>
          <w:iCs/>
          <w:szCs w:val="22"/>
        </w:rPr>
        <w:t>22</w:t>
      </w:r>
      <w:proofErr w:type="gramStart"/>
      <w:r w:rsidRPr="00C61F7A">
        <w:rPr>
          <w:bCs/>
          <w:i/>
          <w:iCs/>
          <w:szCs w:val="22"/>
        </w:rPr>
        <w:t>)  </w:t>
      </w:r>
      <w:r w:rsidRPr="00C61F7A">
        <w:rPr>
          <w:bCs/>
          <w:szCs w:val="22"/>
        </w:rPr>
        <w:t>Mariana</w:t>
      </w:r>
      <w:proofErr w:type="gramEnd"/>
      <w:r w:rsidRPr="00C61F7A">
        <w:rPr>
          <w:bCs/>
          <w:szCs w:val="22"/>
        </w:rPr>
        <w:t xml:space="preserve"> Rosenthal, Allison E Aiello, Carol Chenoweth, Deborah Goldberg, Elaine Larson, Gregory Gloor, and Betsy </w:t>
      </w:r>
      <w:proofErr w:type="spellStart"/>
      <w:r w:rsidRPr="00C61F7A">
        <w:rPr>
          <w:bCs/>
          <w:szCs w:val="22"/>
        </w:rPr>
        <w:t>Foxman</w:t>
      </w:r>
      <w:proofErr w:type="spellEnd"/>
      <w:r w:rsidRPr="00C61F7A">
        <w:rPr>
          <w:bCs/>
          <w:szCs w:val="22"/>
        </w:rPr>
        <w:t xml:space="preserve">. </w:t>
      </w:r>
      <w:proofErr w:type="gramStart"/>
      <w:r w:rsidRPr="00C61F7A">
        <w:rPr>
          <w:bCs/>
          <w:szCs w:val="22"/>
        </w:rPr>
        <w:t xml:space="preserve">Impact of technical sources of variation on the hand </w:t>
      </w:r>
      <w:proofErr w:type="spellStart"/>
      <w:r w:rsidRPr="00C61F7A">
        <w:rPr>
          <w:bCs/>
          <w:szCs w:val="22"/>
        </w:rPr>
        <w:t>microbiome</w:t>
      </w:r>
      <w:proofErr w:type="spellEnd"/>
      <w:r w:rsidRPr="00C61F7A">
        <w:rPr>
          <w:bCs/>
          <w:szCs w:val="22"/>
        </w:rPr>
        <w:t xml:space="preserve"> dynamics of healthcare workers.</w:t>
      </w:r>
      <w:proofErr w:type="gramEnd"/>
      <w:r w:rsidRPr="00C61F7A">
        <w:rPr>
          <w:bCs/>
          <w:szCs w:val="22"/>
        </w:rPr>
        <w:t xml:space="preserve"> </w:t>
      </w:r>
      <w:proofErr w:type="spellStart"/>
      <w:r w:rsidRPr="00C61F7A">
        <w:rPr>
          <w:bCs/>
          <w:i/>
          <w:iCs/>
          <w:szCs w:val="22"/>
        </w:rPr>
        <w:t>PLoS</w:t>
      </w:r>
      <w:proofErr w:type="spellEnd"/>
      <w:r w:rsidRPr="00C61F7A">
        <w:rPr>
          <w:bCs/>
          <w:i/>
          <w:iCs/>
          <w:szCs w:val="22"/>
        </w:rPr>
        <w:t xml:space="preserve"> One</w:t>
      </w:r>
      <w:r w:rsidRPr="00C61F7A">
        <w:rPr>
          <w:bCs/>
          <w:szCs w:val="22"/>
        </w:rPr>
        <w:t>, 9(2)</w:t>
      </w:r>
      <w:proofErr w:type="gramStart"/>
      <w:r w:rsidRPr="00C61F7A">
        <w:rPr>
          <w:bCs/>
          <w:szCs w:val="22"/>
        </w:rPr>
        <w:t>:e88999</w:t>
      </w:r>
      <w:proofErr w:type="gramEnd"/>
      <w:r w:rsidRPr="00C61F7A">
        <w:rPr>
          <w:bCs/>
          <w:szCs w:val="22"/>
        </w:rPr>
        <w:t>, 2014.  </w:t>
      </w:r>
    </w:p>
    <w:p w14:paraId="4106E4CC" w14:textId="77777777" w:rsidR="00C61F7A" w:rsidRPr="00C61F7A" w:rsidRDefault="00C61F7A" w:rsidP="00C61F7A">
      <w:pPr>
        <w:pStyle w:val="DataField11pt-Single"/>
        <w:jc w:val="both"/>
        <w:rPr>
          <w:bCs/>
          <w:szCs w:val="22"/>
        </w:rPr>
      </w:pPr>
      <w:r w:rsidRPr="00C61F7A">
        <w:rPr>
          <w:bCs/>
          <w:i/>
          <w:iCs/>
          <w:szCs w:val="22"/>
        </w:rPr>
        <w:t>23</w:t>
      </w:r>
      <w:proofErr w:type="gramStart"/>
      <w:r w:rsidRPr="00C61F7A">
        <w:rPr>
          <w:bCs/>
          <w:i/>
          <w:iCs/>
          <w:szCs w:val="22"/>
        </w:rPr>
        <w:t>)  </w:t>
      </w:r>
      <w:r w:rsidRPr="00C61F7A">
        <w:rPr>
          <w:bCs/>
          <w:szCs w:val="22"/>
        </w:rPr>
        <w:t>RussellJDicksonandGregoryBGloor.Bioinformaticsidentificationofcoevolvingresidues.</w:t>
      </w:r>
      <w:r w:rsidRPr="00C61F7A">
        <w:rPr>
          <w:bCs/>
          <w:i/>
          <w:iCs/>
          <w:szCs w:val="22"/>
        </w:rPr>
        <w:t>Methods</w:t>
      </w:r>
      <w:proofErr w:type="gramEnd"/>
      <w:r w:rsidRPr="00C61F7A">
        <w:rPr>
          <w:bCs/>
          <w:i/>
          <w:iCs/>
          <w:szCs w:val="22"/>
        </w:rPr>
        <w:t xml:space="preserve"> </w:t>
      </w:r>
      <w:proofErr w:type="spellStart"/>
      <w:r w:rsidRPr="00C61F7A">
        <w:rPr>
          <w:bCs/>
          <w:i/>
          <w:iCs/>
          <w:szCs w:val="22"/>
        </w:rPr>
        <w:t>Mol</w:t>
      </w:r>
      <w:proofErr w:type="spellEnd"/>
      <w:r w:rsidRPr="00C61F7A">
        <w:rPr>
          <w:bCs/>
          <w:i/>
          <w:iCs/>
          <w:szCs w:val="22"/>
        </w:rPr>
        <w:t xml:space="preserve"> </w:t>
      </w:r>
      <w:proofErr w:type="spellStart"/>
      <w:r w:rsidRPr="00C61F7A">
        <w:rPr>
          <w:bCs/>
          <w:i/>
          <w:iCs/>
          <w:szCs w:val="22"/>
        </w:rPr>
        <w:t>Biol</w:t>
      </w:r>
      <w:proofErr w:type="spellEnd"/>
      <w:r w:rsidRPr="00C61F7A">
        <w:rPr>
          <w:bCs/>
          <w:szCs w:val="22"/>
        </w:rPr>
        <w:t>, 1123:223–43, 2014.  </w:t>
      </w:r>
    </w:p>
    <w:p w14:paraId="40844F4F" w14:textId="77777777" w:rsidR="00C61F7A" w:rsidRPr="00C61F7A" w:rsidRDefault="00C61F7A" w:rsidP="00C61F7A">
      <w:pPr>
        <w:pStyle w:val="DataField11pt-Single"/>
        <w:jc w:val="both"/>
        <w:rPr>
          <w:bCs/>
          <w:szCs w:val="22"/>
        </w:rPr>
      </w:pPr>
      <w:r w:rsidRPr="00C61F7A">
        <w:rPr>
          <w:bCs/>
          <w:i/>
          <w:iCs/>
          <w:szCs w:val="22"/>
        </w:rPr>
        <w:t>24</w:t>
      </w:r>
      <w:proofErr w:type="gramStart"/>
      <w:r w:rsidRPr="00C61F7A">
        <w:rPr>
          <w:bCs/>
          <w:i/>
          <w:iCs/>
          <w:szCs w:val="22"/>
        </w:rPr>
        <w:t>)  </w:t>
      </w:r>
      <w:r w:rsidRPr="00C61F7A">
        <w:rPr>
          <w:bCs/>
          <w:szCs w:val="22"/>
        </w:rPr>
        <w:t>Jordan</w:t>
      </w:r>
      <w:proofErr w:type="gramEnd"/>
      <w:r w:rsidRPr="00C61F7A">
        <w:rPr>
          <w:bCs/>
          <w:szCs w:val="22"/>
        </w:rPr>
        <w:t xml:space="preserve"> E </w:t>
      </w:r>
      <w:proofErr w:type="spellStart"/>
      <w:r w:rsidRPr="00C61F7A">
        <w:rPr>
          <w:bCs/>
          <w:szCs w:val="22"/>
        </w:rPr>
        <w:t>Bisanz</w:t>
      </w:r>
      <w:proofErr w:type="spellEnd"/>
      <w:r w:rsidRPr="00C61F7A">
        <w:rPr>
          <w:bCs/>
          <w:szCs w:val="22"/>
        </w:rPr>
        <w:t xml:space="preserve">, Shannon </w:t>
      </w:r>
      <w:proofErr w:type="spellStart"/>
      <w:r w:rsidRPr="00C61F7A">
        <w:rPr>
          <w:bCs/>
          <w:szCs w:val="22"/>
        </w:rPr>
        <w:t>Seney</w:t>
      </w:r>
      <w:proofErr w:type="spellEnd"/>
      <w:r w:rsidRPr="00C61F7A">
        <w:rPr>
          <w:bCs/>
          <w:szCs w:val="22"/>
        </w:rPr>
        <w:t xml:space="preserve">, Amy McMillan, Rebecca </w:t>
      </w:r>
      <w:proofErr w:type="spellStart"/>
      <w:r w:rsidRPr="00C61F7A">
        <w:rPr>
          <w:bCs/>
          <w:szCs w:val="22"/>
        </w:rPr>
        <w:t>Vongsa</w:t>
      </w:r>
      <w:proofErr w:type="spellEnd"/>
      <w:r w:rsidRPr="00C61F7A">
        <w:rPr>
          <w:bCs/>
          <w:szCs w:val="22"/>
        </w:rPr>
        <w:t xml:space="preserve">, David Koenig, </w:t>
      </w:r>
      <w:proofErr w:type="spellStart"/>
      <w:r w:rsidRPr="00C61F7A">
        <w:rPr>
          <w:bCs/>
          <w:szCs w:val="22"/>
        </w:rPr>
        <w:t>LungFai</w:t>
      </w:r>
      <w:proofErr w:type="spellEnd"/>
      <w:r w:rsidRPr="00C61F7A">
        <w:rPr>
          <w:bCs/>
          <w:szCs w:val="22"/>
        </w:rPr>
        <w:t xml:space="preserve"> Wong, Barbara </w:t>
      </w:r>
      <w:proofErr w:type="spellStart"/>
      <w:r w:rsidRPr="00C61F7A">
        <w:rPr>
          <w:bCs/>
          <w:szCs w:val="22"/>
        </w:rPr>
        <w:t>Dvoracek</w:t>
      </w:r>
      <w:proofErr w:type="spellEnd"/>
      <w:r w:rsidRPr="00C61F7A">
        <w:rPr>
          <w:bCs/>
          <w:szCs w:val="22"/>
        </w:rPr>
        <w:t xml:space="preserve">, Gregory B Gloor, Mark </w:t>
      </w:r>
      <w:proofErr w:type="spellStart"/>
      <w:r w:rsidRPr="00C61F7A">
        <w:rPr>
          <w:bCs/>
          <w:szCs w:val="22"/>
        </w:rPr>
        <w:t>Sumarah</w:t>
      </w:r>
      <w:proofErr w:type="spellEnd"/>
      <w:r w:rsidRPr="00C61F7A">
        <w:rPr>
          <w:bCs/>
          <w:szCs w:val="22"/>
        </w:rPr>
        <w:t xml:space="preserve">, Brenda Ford, </w:t>
      </w:r>
      <w:proofErr w:type="spellStart"/>
      <w:r w:rsidRPr="00C61F7A">
        <w:rPr>
          <w:bCs/>
          <w:szCs w:val="22"/>
        </w:rPr>
        <w:t>Dorli</w:t>
      </w:r>
      <w:proofErr w:type="spellEnd"/>
      <w:r w:rsidRPr="00C61F7A">
        <w:rPr>
          <w:bCs/>
          <w:szCs w:val="22"/>
        </w:rPr>
        <w:t xml:space="preserve"> Herman, Jeremy P Burton, and </w:t>
      </w:r>
      <w:proofErr w:type="spellStart"/>
      <w:r w:rsidRPr="00C61F7A">
        <w:rPr>
          <w:bCs/>
          <w:szCs w:val="22"/>
        </w:rPr>
        <w:t>Gregor</w:t>
      </w:r>
      <w:proofErr w:type="spellEnd"/>
      <w:r w:rsidRPr="00C61F7A">
        <w:rPr>
          <w:bCs/>
          <w:szCs w:val="22"/>
        </w:rPr>
        <w:t xml:space="preserve"> Reid. A systems biology approach investigating the effect of probiotics on the vaginal </w:t>
      </w:r>
      <w:proofErr w:type="spellStart"/>
      <w:r w:rsidRPr="00C61F7A">
        <w:rPr>
          <w:bCs/>
          <w:szCs w:val="22"/>
        </w:rPr>
        <w:t>microbiome</w:t>
      </w:r>
      <w:proofErr w:type="spellEnd"/>
      <w:r w:rsidRPr="00C61F7A">
        <w:rPr>
          <w:bCs/>
          <w:szCs w:val="22"/>
        </w:rPr>
        <w:t xml:space="preserve"> and host responses in a double blind, placebo-controlled clinical trial of post-menopausal women. </w:t>
      </w:r>
      <w:proofErr w:type="spellStart"/>
      <w:r w:rsidRPr="00C61F7A">
        <w:rPr>
          <w:bCs/>
          <w:i/>
          <w:iCs/>
          <w:szCs w:val="22"/>
        </w:rPr>
        <w:t>PLoS</w:t>
      </w:r>
      <w:proofErr w:type="spellEnd"/>
      <w:r w:rsidRPr="00C61F7A">
        <w:rPr>
          <w:bCs/>
          <w:i/>
          <w:iCs/>
          <w:szCs w:val="22"/>
        </w:rPr>
        <w:t xml:space="preserve"> One</w:t>
      </w:r>
      <w:r w:rsidRPr="00C61F7A">
        <w:rPr>
          <w:bCs/>
          <w:szCs w:val="22"/>
        </w:rPr>
        <w:t>, 9(8)</w:t>
      </w:r>
      <w:proofErr w:type="gramStart"/>
      <w:r w:rsidRPr="00C61F7A">
        <w:rPr>
          <w:bCs/>
          <w:szCs w:val="22"/>
        </w:rPr>
        <w:t>:e104511</w:t>
      </w:r>
      <w:proofErr w:type="gramEnd"/>
      <w:r w:rsidRPr="00C61F7A">
        <w:rPr>
          <w:bCs/>
          <w:szCs w:val="22"/>
        </w:rPr>
        <w:t>, 2014.  </w:t>
      </w:r>
    </w:p>
    <w:p w14:paraId="2EE36470" w14:textId="77777777" w:rsidR="00C61F7A" w:rsidRPr="00C61F7A" w:rsidRDefault="00C61F7A" w:rsidP="00C61F7A">
      <w:pPr>
        <w:pStyle w:val="DataField11pt-Single"/>
        <w:jc w:val="both"/>
        <w:rPr>
          <w:bCs/>
          <w:szCs w:val="22"/>
        </w:rPr>
      </w:pPr>
      <w:r w:rsidRPr="00C61F7A">
        <w:rPr>
          <w:bCs/>
          <w:i/>
          <w:iCs/>
          <w:szCs w:val="22"/>
        </w:rPr>
        <w:t>25</w:t>
      </w:r>
      <w:proofErr w:type="gramStart"/>
      <w:r w:rsidRPr="00C61F7A">
        <w:rPr>
          <w:bCs/>
          <w:i/>
          <w:iCs/>
          <w:szCs w:val="22"/>
        </w:rPr>
        <w:t>)  </w:t>
      </w:r>
      <w:r w:rsidRPr="00C61F7A">
        <w:rPr>
          <w:bCs/>
          <w:szCs w:val="22"/>
        </w:rPr>
        <w:t>Jordan</w:t>
      </w:r>
      <w:proofErr w:type="gramEnd"/>
      <w:r w:rsidRPr="00C61F7A">
        <w:rPr>
          <w:bCs/>
          <w:szCs w:val="22"/>
        </w:rPr>
        <w:t xml:space="preserve"> E </w:t>
      </w:r>
      <w:proofErr w:type="spellStart"/>
      <w:r w:rsidRPr="00C61F7A">
        <w:rPr>
          <w:bCs/>
          <w:szCs w:val="22"/>
        </w:rPr>
        <w:t>Bisanz</w:t>
      </w:r>
      <w:proofErr w:type="spellEnd"/>
      <w:r w:rsidRPr="00C61F7A">
        <w:rPr>
          <w:bCs/>
          <w:szCs w:val="22"/>
        </w:rPr>
        <w:t xml:space="preserve">, Megan K </w:t>
      </w:r>
      <w:proofErr w:type="spellStart"/>
      <w:r w:rsidRPr="00C61F7A">
        <w:rPr>
          <w:bCs/>
          <w:szCs w:val="22"/>
        </w:rPr>
        <w:t>Enos</w:t>
      </w:r>
      <w:proofErr w:type="spellEnd"/>
      <w:r w:rsidRPr="00C61F7A">
        <w:rPr>
          <w:bCs/>
          <w:szCs w:val="22"/>
        </w:rPr>
        <w:t xml:space="preserve">, Joseph R </w:t>
      </w:r>
      <w:proofErr w:type="spellStart"/>
      <w:r w:rsidRPr="00C61F7A">
        <w:rPr>
          <w:bCs/>
          <w:szCs w:val="22"/>
        </w:rPr>
        <w:t>Mwanga</w:t>
      </w:r>
      <w:proofErr w:type="spellEnd"/>
      <w:r w:rsidRPr="00C61F7A">
        <w:rPr>
          <w:bCs/>
          <w:szCs w:val="22"/>
        </w:rPr>
        <w:t xml:space="preserve">, John </w:t>
      </w:r>
      <w:proofErr w:type="spellStart"/>
      <w:r w:rsidRPr="00C61F7A">
        <w:rPr>
          <w:bCs/>
          <w:szCs w:val="22"/>
        </w:rPr>
        <w:t>Changalucha</w:t>
      </w:r>
      <w:proofErr w:type="spellEnd"/>
      <w:r w:rsidRPr="00C61F7A">
        <w:rPr>
          <w:bCs/>
          <w:szCs w:val="22"/>
        </w:rPr>
        <w:t xml:space="preserve">, Jeremy P Burton, Gregory B Gloor, and </w:t>
      </w:r>
      <w:proofErr w:type="spellStart"/>
      <w:r w:rsidRPr="00C61F7A">
        <w:rPr>
          <w:bCs/>
          <w:szCs w:val="22"/>
        </w:rPr>
        <w:t>Gregor</w:t>
      </w:r>
      <w:proofErr w:type="spellEnd"/>
      <w:r w:rsidRPr="00C61F7A">
        <w:rPr>
          <w:bCs/>
          <w:szCs w:val="22"/>
        </w:rPr>
        <w:t xml:space="preserve"> Reid. Randomized open-label pilot study of the influence of probiotics and the gut </w:t>
      </w:r>
      <w:proofErr w:type="spellStart"/>
      <w:r w:rsidRPr="00C61F7A">
        <w:rPr>
          <w:bCs/>
          <w:szCs w:val="22"/>
        </w:rPr>
        <w:t>microbiome</w:t>
      </w:r>
      <w:proofErr w:type="spellEnd"/>
      <w:r w:rsidRPr="00C61F7A">
        <w:rPr>
          <w:bCs/>
          <w:szCs w:val="22"/>
        </w:rPr>
        <w:t xml:space="preserve"> on toxic metal levels in Tanzanian pregnant women and school children. </w:t>
      </w:r>
      <w:proofErr w:type="spellStart"/>
      <w:r w:rsidRPr="00C61F7A">
        <w:rPr>
          <w:bCs/>
          <w:i/>
          <w:iCs/>
          <w:szCs w:val="22"/>
        </w:rPr>
        <w:t>MBio</w:t>
      </w:r>
      <w:proofErr w:type="spellEnd"/>
      <w:r w:rsidRPr="00C61F7A">
        <w:rPr>
          <w:bCs/>
          <w:szCs w:val="22"/>
        </w:rPr>
        <w:t>, 5(5)</w:t>
      </w:r>
      <w:proofErr w:type="gramStart"/>
      <w:r w:rsidRPr="00C61F7A">
        <w:rPr>
          <w:bCs/>
          <w:szCs w:val="22"/>
        </w:rPr>
        <w:t>:e01580</w:t>
      </w:r>
      <w:proofErr w:type="gramEnd"/>
      <w:r w:rsidRPr="00C61F7A">
        <w:rPr>
          <w:bCs/>
          <w:szCs w:val="22"/>
        </w:rPr>
        <w:t>–14, 2014.  </w:t>
      </w:r>
    </w:p>
    <w:p w14:paraId="29409734" w14:textId="77777777" w:rsidR="00C61F7A" w:rsidRDefault="00C61F7A" w:rsidP="00BF4433">
      <w:pPr>
        <w:pStyle w:val="DataField11pt-Single"/>
        <w:jc w:val="both"/>
        <w:rPr>
          <w:b/>
          <w:szCs w:val="22"/>
        </w:rPr>
      </w:pPr>
    </w:p>
    <w:p w14:paraId="7E43FE2F" w14:textId="4023E269" w:rsidR="00935168" w:rsidRDefault="00935168" w:rsidP="00BF4433">
      <w:pPr>
        <w:pStyle w:val="DataField11pt-Single"/>
        <w:jc w:val="both"/>
        <w:rPr>
          <w:b/>
          <w:szCs w:val="22"/>
        </w:rPr>
      </w:pPr>
      <w:r>
        <w:rPr>
          <w:b/>
          <w:szCs w:val="22"/>
        </w:rPr>
        <w:t>C.1 Invited presentations</w:t>
      </w:r>
    </w:p>
    <w:p w14:paraId="117B3EC6" w14:textId="77777777" w:rsidR="00935168" w:rsidRDefault="00935168" w:rsidP="00BF4433">
      <w:pPr>
        <w:pStyle w:val="DataField11pt-Single"/>
        <w:jc w:val="both"/>
        <w:rPr>
          <w:b/>
          <w:szCs w:val="22"/>
        </w:rPr>
      </w:pPr>
    </w:p>
    <w:p w14:paraId="342E416B" w14:textId="37869FE5" w:rsidR="00935168" w:rsidRPr="00935168" w:rsidRDefault="00935168" w:rsidP="00935168">
      <w:pPr>
        <w:pStyle w:val="DataField11pt-Single"/>
        <w:jc w:val="both"/>
        <w:rPr>
          <w:szCs w:val="22"/>
        </w:rPr>
      </w:pPr>
      <w:r w:rsidRPr="00935168">
        <w:rPr>
          <w:szCs w:val="22"/>
        </w:rPr>
        <w:t>2016, Invited speaker at Exploring Human Host-</w:t>
      </w:r>
      <w:proofErr w:type="spellStart"/>
      <w:r w:rsidRPr="00935168">
        <w:rPr>
          <w:szCs w:val="22"/>
        </w:rPr>
        <w:t>Microbiome</w:t>
      </w:r>
      <w:proofErr w:type="spellEnd"/>
      <w:r w:rsidRPr="00935168">
        <w:rPr>
          <w:szCs w:val="22"/>
        </w:rPr>
        <w:t xml:space="preserve"> Interactions in Health and Disease </w:t>
      </w:r>
      <w:r>
        <w:rPr>
          <w:szCs w:val="22"/>
        </w:rPr>
        <w:t>2016</w:t>
      </w:r>
      <w:r w:rsidRPr="00935168">
        <w:rPr>
          <w:szCs w:val="22"/>
        </w:rPr>
        <w:t xml:space="preserve">, </w:t>
      </w:r>
      <w:r>
        <w:rPr>
          <w:szCs w:val="22"/>
        </w:rPr>
        <w:t xml:space="preserve">EBI, </w:t>
      </w:r>
      <w:r w:rsidRPr="00935168">
        <w:rPr>
          <w:szCs w:val="22"/>
        </w:rPr>
        <w:t>Cambridge, UK</w:t>
      </w:r>
    </w:p>
    <w:p w14:paraId="6D907092" w14:textId="42B0DD9F" w:rsidR="00935168" w:rsidRPr="00935168" w:rsidRDefault="00935168" w:rsidP="00935168">
      <w:pPr>
        <w:pStyle w:val="DataField11pt-Single"/>
        <w:jc w:val="both"/>
        <w:rPr>
          <w:szCs w:val="22"/>
        </w:rPr>
      </w:pPr>
      <w:r w:rsidRPr="00935168">
        <w:rPr>
          <w:szCs w:val="22"/>
        </w:rPr>
        <w:t>2016, Invited workshop organizer at Exploring Human Host-</w:t>
      </w:r>
      <w:proofErr w:type="spellStart"/>
      <w:r w:rsidRPr="00935168">
        <w:rPr>
          <w:szCs w:val="22"/>
        </w:rPr>
        <w:t>Microbiome</w:t>
      </w:r>
      <w:proofErr w:type="spellEnd"/>
      <w:r w:rsidRPr="00935168">
        <w:rPr>
          <w:szCs w:val="22"/>
        </w:rPr>
        <w:t xml:space="preserve"> Interactions in Health and Dis- ease </w:t>
      </w:r>
      <w:r>
        <w:rPr>
          <w:szCs w:val="22"/>
        </w:rPr>
        <w:t>2016</w:t>
      </w:r>
      <w:r w:rsidRPr="00935168">
        <w:rPr>
          <w:szCs w:val="22"/>
        </w:rPr>
        <w:t>,</w:t>
      </w:r>
      <w:r>
        <w:rPr>
          <w:szCs w:val="22"/>
        </w:rPr>
        <w:t xml:space="preserve"> EBI,</w:t>
      </w:r>
      <w:r w:rsidRPr="00935168">
        <w:rPr>
          <w:szCs w:val="22"/>
        </w:rPr>
        <w:t xml:space="preserve"> Cambridge, UK</w:t>
      </w:r>
    </w:p>
    <w:p w14:paraId="593B94E9" w14:textId="77777777" w:rsidR="00935168" w:rsidRPr="00935168" w:rsidRDefault="00935168" w:rsidP="00935168">
      <w:pPr>
        <w:pStyle w:val="DataField11pt-Single"/>
        <w:jc w:val="both"/>
        <w:rPr>
          <w:szCs w:val="22"/>
        </w:rPr>
      </w:pPr>
      <w:r w:rsidRPr="00935168">
        <w:rPr>
          <w:szCs w:val="22"/>
        </w:rPr>
        <w:t xml:space="preserve">2016, Invited workshop presenter, The Human </w:t>
      </w:r>
      <w:proofErr w:type="spellStart"/>
      <w:r w:rsidRPr="00935168">
        <w:rPr>
          <w:szCs w:val="22"/>
        </w:rPr>
        <w:t>Microbiome</w:t>
      </w:r>
      <w:proofErr w:type="spellEnd"/>
      <w:r w:rsidRPr="00935168">
        <w:rPr>
          <w:szCs w:val="22"/>
        </w:rPr>
        <w:t xml:space="preserve"> and Epidemiology, 2016 Epidemiology Congress of the Americas, Miami, USA</w:t>
      </w:r>
    </w:p>
    <w:p w14:paraId="5DCCA2DB" w14:textId="77777777" w:rsidR="00935168" w:rsidRPr="00935168" w:rsidRDefault="00935168" w:rsidP="00935168">
      <w:pPr>
        <w:pStyle w:val="DataField11pt-Single"/>
        <w:jc w:val="both"/>
        <w:rPr>
          <w:szCs w:val="22"/>
        </w:rPr>
      </w:pPr>
      <w:r w:rsidRPr="00935168">
        <w:rPr>
          <w:szCs w:val="22"/>
        </w:rPr>
        <w:t xml:space="preserve">2016, Invited presentation/workshop, Infection, Inflammation and Immunity course, The Arctic </w:t>
      </w:r>
      <w:proofErr w:type="spellStart"/>
      <w:r w:rsidRPr="00935168">
        <w:rPr>
          <w:szCs w:val="22"/>
        </w:rPr>
        <w:t>Univer</w:t>
      </w:r>
      <w:proofErr w:type="spellEnd"/>
      <w:r w:rsidRPr="00935168">
        <w:rPr>
          <w:szCs w:val="22"/>
        </w:rPr>
        <w:t xml:space="preserve">- </w:t>
      </w:r>
      <w:proofErr w:type="spellStart"/>
      <w:r w:rsidRPr="00935168">
        <w:rPr>
          <w:szCs w:val="22"/>
        </w:rPr>
        <w:t>sity</w:t>
      </w:r>
      <w:proofErr w:type="spellEnd"/>
      <w:r w:rsidRPr="00935168">
        <w:rPr>
          <w:szCs w:val="22"/>
        </w:rPr>
        <w:t xml:space="preserve"> of Norway, </w:t>
      </w:r>
      <w:proofErr w:type="spellStart"/>
      <w:r w:rsidRPr="00935168">
        <w:rPr>
          <w:szCs w:val="22"/>
        </w:rPr>
        <w:t>Tromso</w:t>
      </w:r>
      <w:proofErr w:type="spellEnd"/>
      <w:r w:rsidRPr="00935168">
        <w:rPr>
          <w:szCs w:val="22"/>
        </w:rPr>
        <w:t>, NO</w:t>
      </w:r>
    </w:p>
    <w:p w14:paraId="0E90A133" w14:textId="77777777" w:rsidR="00935168" w:rsidRPr="00935168" w:rsidRDefault="00935168" w:rsidP="00935168">
      <w:pPr>
        <w:pStyle w:val="DataField11pt-Single"/>
        <w:jc w:val="both"/>
        <w:rPr>
          <w:szCs w:val="22"/>
        </w:rPr>
      </w:pPr>
      <w:r w:rsidRPr="00935168">
        <w:rPr>
          <w:szCs w:val="22"/>
        </w:rPr>
        <w:t>2016, Oral Presentation, Great Lakes Bioinformatics/Canadian Computational Biology Conference, Toronto, CA</w:t>
      </w:r>
    </w:p>
    <w:p w14:paraId="5D84DBBF" w14:textId="1632F6E7" w:rsidR="00935168" w:rsidRPr="00935168" w:rsidRDefault="00935168" w:rsidP="00935168">
      <w:pPr>
        <w:pStyle w:val="DataField11pt-Single"/>
        <w:jc w:val="both"/>
        <w:rPr>
          <w:szCs w:val="22"/>
        </w:rPr>
      </w:pPr>
      <w:r w:rsidRPr="00935168">
        <w:rPr>
          <w:szCs w:val="22"/>
        </w:rPr>
        <w:t>2015, Invited speaker at Exploring Human Host-</w:t>
      </w:r>
      <w:proofErr w:type="spellStart"/>
      <w:r w:rsidRPr="00935168">
        <w:rPr>
          <w:szCs w:val="22"/>
        </w:rPr>
        <w:t>Microbiome</w:t>
      </w:r>
      <w:proofErr w:type="spellEnd"/>
      <w:r w:rsidRPr="00935168">
        <w:rPr>
          <w:szCs w:val="22"/>
        </w:rPr>
        <w:t xml:space="preserve"> Interactions in Health and Disease 2015, </w:t>
      </w:r>
      <w:r>
        <w:rPr>
          <w:szCs w:val="22"/>
        </w:rPr>
        <w:t xml:space="preserve">EBI, </w:t>
      </w:r>
      <w:r w:rsidRPr="00935168">
        <w:rPr>
          <w:szCs w:val="22"/>
        </w:rPr>
        <w:t>Cambridge, UK</w:t>
      </w:r>
    </w:p>
    <w:p w14:paraId="4CEF0D65" w14:textId="77777777" w:rsidR="00935168" w:rsidRPr="00935168" w:rsidRDefault="00935168" w:rsidP="00935168">
      <w:pPr>
        <w:pStyle w:val="DataField11pt-Single"/>
        <w:jc w:val="both"/>
        <w:rPr>
          <w:szCs w:val="22"/>
        </w:rPr>
      </w:pPr>
      <w:r w:rsidRPr="00935168">
        <w:rPr>
          <w:szCs w:val="22"/>
        </w:rPr>
        <w:t xml:space="preserve">2015, Invited paper at </w:t>
      </w:r>
      <w:proofErr w:type="spellStart"/>
      <w:r w:rsidRPr="00935168">
        <w:rPr>
          <w:szCs w:val="22"/>
        </w:rPr>
        <w:t>CoDaWork</w:t>
      </w:r>
      <w:proofErr w:type="spellEnd"/>
      <w:r w:rsidRPr="00935168">
        <w:rPr>
          <w:szCs w:val="22"/>
        </w:rPr>
        <w:t xml:space="preserve"> 2015, </w:t>
      </w:r>
      <w:proofErr w:type="spellStart"/>
      <w:r w:rsidRPr="00935168">
        <w:rPr>
          <w:szCs w:val="22"/>
        </w:rPr>
        <w:t>Girona</w:t>
      </w:r>
      <w:proofErr w:type="spellEnd"/>
      <w:r w:rsidRPr="00935168">
        <w:rPr>
          <w:szCs w:val="22"/>
        </w:rPr>
        <w:t>, Spain</w:t>
      </w:r>
    </w:p>
    <w:p w14:paraId="09E1C1D3" w14:textId="1BF39D6C" w:rsidR="00935168" w:rsidRPr="00935168" w:rsidRDefault="00935168" w:rsidP="00935168">
      <w:pPr>
        <w:pStyle w:val="DataField11pt-Single"/>
        <w:jc w:val="both"/>
        <w:rPr>
          <w:szCs w:val="22"/>
        </w:rPr>
      </w:pPr>
      <w:r w:rsidRPr="00935168">
        <w:rPr>
          <w:szCs w:val="22"/>
        </w:rPr>
        <w:t xml:space="preserve">2015, </w:t>
      </w:r>
      <w:proofErr w:type="gramStart"/>
      <w:r w:rsidRPr="00935168">
        <w:rPr>
          <w:szCs w:val="22"/>
        </w:rPr>
        <w:t>Applying</w:t>
      </w:r>
      <w:proofErr w:type="gramEnd"/>
      <w:r w:rsidRPr="00935168">
        <w:rPr>
          <w:szCs w:val="22"/>
        </w:rPr>
        <w:t xml:space="preserve"> compositional data framework to </w:t>
      </w:r>
      <w:proofErr w:type="spellStart"/>
      <w:r w:rsidRPr="00935168">
        <w:rPr>
          <w:szCs w:val="22"/>
        </w:rPr>
        <w:t>microbiome</w:t>
      </w:r>
      <w:proofErr w:type="spellEnd"/>
      <w:r w:rsidRPr="00935168">
        <w:rPr>
          <w:szCs w:val="22"/>
        </w:rPr>
        <w:t xml:space="preserve"> datasets, Canadian Society of Microbi</w:t>
      </w:r>
      <w:r>
        <w:rPr>
          <w:szCs w:val="22"/>
        </w:rPr>
        <w:t>ol</w:t>
      </w:r>
      <w:r w:rsidRPr="00935168">
        <w:rPr>
          <w:szCs w:val="22"/>
        </w:rPr>
        <w:t>ogy workshop</w:t>
      </w:r>
      <w:r>
        <w:rPr>
          <w:szCs w:val="22"/>
        </w:rPr>
        <w:t xml:space="preserve"> organizer</w:t>
      </w:r>
      <w:bookmarkStart w:id="0" w:name="_GoBack"/>
      <w:bookmarkEnd w:id="0"/>
      <w:r w:rsidRPr="00935168">
        <w:rPr>
          <w:szCs w:val="22"/>
        </w:rPr>
        <w:t xml:space="preserve"> 2015, Saskatoon, Canada</w:t>
      </w:r>
    </w:p>
    <w:p w14:paraId="34D55EDF" w14:textId="77777777" w:rsidR="00935168" w:rsidRPr="00935168" w:rsidRDefault="00935168" w:rsidP="00935168">
      <w:pPr>
        <w:pStyle w:val="DataField11pt-Single"/>
        <w:jc w:val="both"/>
        <w:rPr>
          <w:szCs w:val="22"/>
        </w:rPr>
      </w:pPr>
      <w:r w:rsidRPr="00935168">
        <w:rPr>
          <w:szCs w:val="22"/>
        </w:rPr>
        <w:t>2015, Invited speaker, University of Guelph Bioinformatics group</w:t>
      </w:r>
    </w:p>
    <w:p w14:paraId="78A552B8" w14:textId="77777777" w:rsidR="00935168" w:rsidRPr="00935168" w:rsidRDefault="00935168" w:rsidP="00935168">
      <w:pPr>
        <w:pStyle w:val="DataField11pt-Single"/>
        <w:jc w:val="both"/>
        <w:rPr>
          <w:szCs w:val="22"/>
        </w:rPr>
      </w:pPr>
      <w:r w:rsidRPr="00935168">
        <w:rPr>
          <w:szCs w:val="22"/>
        </w:rPr>
        <w:t>2014, Invited seminar, Dept. of Biochemistry, University of Calgary</w:t>
      </w:r>
    </w:p>
    <w:p w14:paraId="79636882" w14:textId="77777777" w:rsidR="00935168" w:rsidRPr="00935168" w:rsidRDefault="00935168" w:rsidP="00935168">
      <w:pPr>
        <w:pStyle w:val="DataField11pt-Single"/>
        <w:jc w:val="both"/>
        <w:rPr>
          <w:szCs w:val="22"/>
        </w:rPr>
      </w:pPr>
      <w:r w:rsidRPr="00935168">
        <w:rPr>
          <w:szCs w:val="22"/>
        </w:rPr>
        <w:t xml:space="preserve">2014, Invited participant at NIH sponsored </w:t>
      </w:r>
      <w:proofErr w:type="spellStart"/>
      <w:r w:rsidRPr="00935168">
        <w:rPr>
          <w:szCs w:val="22"/>
        </w:rPr>
        <w:t>Microbiome</w:t>
      </w:r>
      <w:proofErr w:type="spellEnd"/>
      <w:r w:rsidRPr="00935168">
        <w:rPr>
          <w:szCs w:val="22"/>
        </w:rPr>
        <w:t xml:space="preserve"> Quality Control Initiative: only Canadian group invited, Rockville, MD, USA</w:t>
      </w:r>
    </w:p>
    <w:p w14:paraId="3BB19DA0" w14:textId="77777777" w:rsidR="00935168" w:rsidRDefault="00935168" w:rsidP="00BF4433">
      <w:pPr>
        <w:pStyle w:val="DataField11pt-Single"/>
        <w:jc w:val="both"/>
        <w:rPr>
          <w:b/>
          <w:szCs w:val="22"/>
        </w:rPr>
      </w:pPr>
    </w:p>
    <w:p w14:paraId="2DF56EDF" w14:textId="66C3BD59" w:rsidR="00C61F7A" w:rsidRDefault="00935168" w:rsidP="00BF4433">
      <w:pPr>
        <w:pStyle w:val="DataField11pt-Single"/>
        <w:jc w:val="both"/>
        <w:rPr>
          <w:b/>
          <w:szCs w:val="22"/>
        </w:rPr>
      </w:pPr>
      <w:r>
        <w:rPr>
          <w:b/>
          <w:szCs w:val="22"/>
        </w:rPr>
        <w:t>C.2</w:t>
      </w:r>
      <w:r w:rsidR="00C61F7A">
        <w:rPr>
          <w:b/>
          <w:szCs w:val="22"/>
        </w:rPr>
        <w:t xml:space="preserve"> Software</w:t>
      </w:r>
    </w:p>
    <w:p w14:paraId="398F4CA3" w14:textId="4C4879AD" w:rsidR="00C61F7A" w:rsidRDefault="00C61F7A" w:rsidP="00C61F7A">
      <w:pPr>
        <w:pStyle w:val="DataField11pt-Single"/>
        <w:jc w:val="both"/>
        <w:rPr>
          <w:szCs w:val="22"/>
        </w:rPr>
      </w:pPr>
      <w:r>
        <w:rPr>
          <w:szCs w:val="22"/>
        </w:rPr>
        <w:t>ALDEx2</w:t>
      </w:r>
      <w:r>
        <w:rPr>
          <w:szCs w:val="22"/>
        </w:rPr>
        <w:tab/>
      </w:r>
      <w:proofErr w:type="spellStart"/>
      <w:r w:rsidRPr="00C61F7A">
        <w:rPr>
          <w:szCs w:val="22"/>
        </w:rPr>
        <w:t>ALDEx</w:t>
      </w:r>
      <w:proofErr w:type="spellEnd"/>
      <w:r w:rsidRPr="00C61F7A">
        <w:rPr>
          <w:szCs w:val="22"/>
        </w:rPr>
        <w:t xml:space="preserve"> tool to </w:t>
      </w:r>
      <w:r>
        <w:rPr>
          <w:szCs w:val="22"/>
        </w:rPr>
        <w:t>determine pairwise differences between groups in</w:t>
      </w:r>
      <w:r w:rsidRPr="00C61F7A">
        <w:rPr>
          <w:szCs w:val="22"/>
        </w:rPr>
        <w:t xml:space="preserve"> compositional high-throughput s</w:t>
      </w:r>
      <w:r>
        <w:rPr>
          <w:szCs w:val="22"/>
        </w:rPr>
        <w:t xml:space="preserve">equence data. Available on </w:t>
      </w:r>
      <w:proofErr w:type="spellStart"/>
      <w:r>
        <w:rPr>
          <w:szCs w:val="22"/>
        </w:rPr>
        <w:t>Bioconductor</w:t>
      </w:r>
      <w:proofErr w:type="spellEnd"/>
      <w:r>
        <w:rPr>
          <w:szCs w:val="22"/>
        </w:rPr>
        <w:t xml:space="preserve"> since 2014</w:t>
      </w:r>
    </w:p>
    <w:p w14:paraId="3284D44D" w14:textId="0233D139" w:rsidR="00C61F7A" w:rsidRPr="00C61F7A" w:rsidRDefault="00C61F7A" w:rsidP="00BF4433">
      <w:pPr>
        <w:pStyle w:val="DataField11pt-Single"/>
        <w:jc w:val="both"/>
        <w:rPr>
          <w:szCs w:val="22"/>
        </w:rPr>
      </w:pPr>
      <w:proofErr w:type="spellStart"/>
      <w:r>
        <w:rPr>
          <w:szCs w:val="22"/>
        </w:rPr>
        <w:t>CoDaSeq</w:t>
      </w:r>
      <w:proofErr w:type="spellEnd"/>
      <w:r>
        <w:rPr>
          <w:szCs w:val="22"/>
        </w:rPr>
        <w:tab/>
        <w:t xml:space="preserve">Compositional data analysis tools for exploration of </w:t>
      </w:r>
      <w:r w:rsidRPr="00C61F7A">
        <w:rPr>
          <w:szCs w:val="22"/>
        </w:rPr>
        <w:t>compositional high-throughput s</w:t>
      </w:r>
      <w:r>
        <w:rPr>
          <w:szCs w:val="22"/>
        </w:rPr>
        <w:t>equence data. Available on</w:t>
      </w:r>
      <w:r>
        <w:rPr>
          <w:szCs w:val="22"/>
        </w:rPr>
        <w:t xml:space="preserve"> github.com/</w:t>
      </w:r>
      <w:proofErr w:type="spellStart"/>
      <w:r>
        <w:rPr>
          <w:szCs w:val="22"/>
        </w:rPr>
        <w:t>ggloor</w:t>
      </w:r>
      <w:proofErr w:type="spellEnd"/>
      <w:r>
        <w:rPr>
          <w:szCs w:val="22"/>
        </w:rPr>
        <w:t>/</w:t>
      </w:r>
      <w:proofErr w:type="spellStart"/>
      <w:r>
        <w:rPr>
          <w:szCs w:val="22"/>
        </w:rPr>
        <w:t>CoDaSeq</w:t>
      </w:r>
      <w:proofErr w:type="spellEnd"/>
    </w:p>
    <w:p w14:paraId="3BAB37B4" w14:textId="77777777" w:rsidR="00C61F7A" w:rsidRDefault="00C61F7A" w:rsidP="00BF4433">
      <w:pPr>
        <w:pStyle w:val="DataField11pt-Single"/>
        <w:jc w:val="both"/>
        <w:rPr>
          <w:b/>
          <w:szCs w:val="22"/>
        </w:rPr>
      </w:pPr>
    </w:p>
    <w:p w14:paraId="126EA1DA" w14:textId="03614EB4" w:rsidR="00A302EA" w:rsidRPr="00A302EA" w:rsidRDefault="00A302EA" w:rsidP="00BF4433">
      <w:pPr>
        <w:pStyle w:val="DataField11pt-Single"/>
        <w:jc w:val="both"/>
        <w:rPr>
          <w:b/>
          <w:szCs w:val="22"/>
        </w:rPr>
      </w:pPr>
      <w:r w:rsidRPr="00A302EA">
        <w:rPr>
          <w:b/>
          <w:szCs w:val="22"/>
        </w:rPr>
        <w:t>D. Research support</w:t>
      </w:r>
    </w:p>
    <w:p w14:paraId="3943D84D" w14:textId="77777777" w:rsidR="00A302EA" w:rsidRPr="00A302EA" w:rsidRDefault="00A302EA" w:rsidP="00A302EA">
      <w:pPr>
        <w:pStyle w:val="DataField11pt-Single"/>
        <w:ind w:left="360"/>
        <w:jc w:val="both"/>
        <w:rPr>
          <w:b/>
          <w:szCs w:val="22"/>
          <w:u w:val="single"/>
        </w:rPr>
      </w:pPr>
      <w:r w:rsidRPr="00A302EA">
        <w:rPr>
          <w:b/>
          <w:szCs w:val="22"/>
          <w:u w:val="single"/>
        </w:rPr>
        <w:t>Ongoing research support</w:t>
      </w:r>
    </w:p>
    <w:p w14:paraId="4FE6C71F" w14:textId="77777777" w:rsidR="000555DC" w:rsidRDefault="000555DC" w:rsidP="00227461">
      <w:pPr>
        <w:pStyle w:val="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pPr>
    </w:p>
    <w:p w14:paraId="5DA1543C" w14:textId="77777777" w:rsidR="00BB2F36" w:rsidRPr="00BB2F36" w:rsidRDefault="00BB2F36" w:rsidP="00BB2F36">
      <w:pPr>
        <w:jc w:val="both"/>
        <w:rPr>
          <w:sz w:val="22"/>
          <w:szCs w:val="22"/>
        </w:rPr>
      </w:pPr>
      <w:r w:rsidRPr="00BB2F36">
        <w:rPr>
          <w:b/>
          <w:bCs/>
          <w:sz w:val="22"/>
          <w:szCs w:val="22"/>
        </w:rPr>
        <w:t xml:space="preserve">Developing molecular methods as diagnostic tools to identify biological factors </w:t>
      </w:r>
      <w:proofErr w:type="spellStart"/>
      <w:r w:rsidRPr="00BB2F36">
        <w:rPr>
          <w:b/>
          <w:bCs/>
          <w:sz w:val="22"/>
          <w:szCs w:val="22"/>
        </w:rPr>
        <w:t>contribut</w:t>
      </w:r>
      <w:proofErr w:type="spellEnd"/>
      <w:r w:rsidRPr="00BB2F36">
        <w:rPr>
          <w:b/>
          <w:bCs/>
          <w:sz w:val="22"/>
          <w:szCs w:val="22"/>
        </w:rPr>
        <w:t xml:space="preserve">- </w:t>
      </w:r>
      <w:proofErr w:type="spellStart"/>
      <w:r w:rsidRPr="00BB2F36">
        <w:rPr>
          <w:b/>
          <w:bCs/>
          <w:sz w:val="22"/>
          <w:szCs w:val="22"/>
        </w:rPr>
        <w:t>ing</w:t>
      </w:r>
      <w:proofErr w:type="spellEnd"/>
      <w:r w:rsidRPr="00BB2F36">
        <w:rPr>
          <w:b/>
          <w:bCs/>
          <w:sz w:val="22"/>
          <w:szCs w:val="22"/>
        </w:rPr>
        <w:t xml:space="preserve"> to crop productivity and soil health </w:t>
      </w:r>
      <w:r w:rsidRPr="00BB2F36">
        <w:rPr>
          <w:sz w:val="22"/>
          <w:szCs w:val="22"/>
        </w:rPr>
        <w:t xml:space="preserve">Agriculture and </w:t>
      </w:r>
      <w:proofErr w:type="spellStart"/>
      <w:r w:rsidRPr="00BB2F36">
        <w:rPr>
          <w:sz w:val="22"/>
          <w:szCs w:val="22"/>
        </w:rPr>
        <w:t>Agrifoods</w:t>
      </w:r>
      <w:proofErr w:type="spellEnd"/>
      <w:r w:rsidRPr="00BB2F36">
        <w:rPr>
          <w:sz w:val="22"/>
          <w:szCs w:val="22"/>
        </w:rPr>
        <w:t xml:space="preserve"> Canada, Agricultural Innovation Program, 2015-2017 </w:t>
      </w:r>
    </w:p>
    <w:p w14:paraId="112962E9" w14:textId="77777777" w:rsidR="00BB2F36" w:rsidRPr="00BB2F36" w:rsidRDefault="00BB2F36" w:rsidP="00BB2F36">
      <w:pPr>
        <w:jc w:val="both"/>
        <w:rPr>
          <w:sz w:val="22"/>
          <w:szCs w:val="22"/>
        </w:rPr>
      </w:pPr>
      <w:r w:rsidRPr="00BB2F36">
        <w:rPr>
          <w:i/>
          <w:iCs/>
          <w:sz w:val="22"/>
          <w:szCs w:val="22"/>
        </w:rPr>
        <w:t xml:space="preserve">Investigators: </w:t>
      </w:r>
      <w:r w:rsidRPr="00BB2F36">
        <w:rPr>
          <w:sz w:val="22"/>
          <w:szCs w:val="22"/>
        </w:rPr>
        <w:t xml:space="preserve">A&amp;L </w:t>
      </w:r>
      <w:proofErr w:type="spellStart"/>
      <w:r w:rsidRPr="00BB2F36">
        <w:rPr>
          <w:sz w:val="22"/>
          <w:szCs w:val="22"/>
        </w:rPr>
        <w:t>Bioligicals</w:t>
      </w:r>
      <w:proofErr w:type="spellEnd"/>
      <w:r w:rsidRPr="00BB2F36">
        <w:rPr>
          <w:sz w:val="22"/>
          <w:szCs w:val="22"/>
        </w:rPr>
        <w:t xml:space="preserve"> led by Dr. George </w:t>
      </w:r>
      <w:proofErr w:type="spellStart"/>
      <w:r w:rsidRPr="00BB2F36">
        <w:rPr>
          <w:sz w:val="22"/>
          <w:szCs w:val="22"/>
        </w:rPr>
        <w:t>Lazarovitz</w:t>
      </w:r>
      <w:proofErr w:type="spellEnd"/>
      <w:r w:rsidRPr="00BB2F36">
        <w:rPr>
          <w:sz w:val="22"/>
          <w:szCs w:val="22"/>
        </w:rPr>
        <w:t xml:space="preserve"> (CSO), GLOOR, G academic co-applicant. </w:t>
      </w:r>
      <w:r w:rsidRPr="00BB2F36">
        <w:rPr>
          <w:i/>
          <w:iCs/>
          <w:sz w:val="22"/>
          <w:szCs w:val="22"/>
        </w:rPr>
        <w:t xml:space="preserve">Keywords: </w:t>
      </w:r>
      <w:r w:rsidRPr="00BB2F36">
        <w:rPr>
          <w:sz w:val="22"/>
          <w:szCs w:val="22"/>
        </w:rPr>
        <w:t xml:space="preserve">soil health, soil ecology, soil microbiology, </w:t>
      </w:r>
      <w:proofErr w:type="spellStart"/>
      <w:r w:rsidRPr="00BB2F36">
        <w:rPr>
          <w:sz w:val="22"/>
          <w:szCs w:val="22"/>
        </w:rPr>
        <w:t>soilborne</w:t>
      </w:r>
      <w:proofErr w:type="spellEnd"/>
      <w:r w:rsidRPr="00BB2F36">
        <w:rPr>
          <w:sz w:val="22"/>
          <w:szCs w:val="22"/>
        </w:rPr>
        <w:t xml:space="preserve"> disease, disease suppressive soil, </w:t>
      </w:r>
      <w:proofErr w:type="spellStart"/>
      <w:proofErr w:type="gramStart"/>
      <w:r w:rsidRPr="00BB2F36">
        <w:rPr>
          <w:sz w:val="22"/>
          <w:szCs w:val="22"/>
        </w:rPr>
        <w:t>ecol</w:t>
      </w:r>
      <w:proofErr w:type="spellEnd"/>
      <w:proofErr w:type="gramEnd"/>
      <w:r w:rsidRPr="00BB2F36">
        <w:rPr>
          <w:sz w:val="22"/>
          <w:szCs w:val="22"/>
        </w:rPr>
        <w:t xml:space="preserve">- </w:t>
      </w:r>
    </w:p>
    <w:p w14:paraId="7BC43857" w14:textId="77777777" w:rsidR="00BB2F36" w:rsidRPr="00BB2F36" w:rsidRDefault="00BB2F36" w:rsidP="00BB2F36">
      <w:pPr>
        <w:jc w:val="both"/>
        <w:rPr>
          <w:sz w:val="22"/>
          <w:szCs w:val="22"/>
        </w:rPr>
      </w:pPr>
      <w:proofErr w:type="spellStart"/>
      <w:proofErr w:type="gramStart"/>
      <w:r w:rsidRPr="00BB2F36">
        <w:rPr>
          <w:sz w:val="22"/>
          <w:szCs w:val="22"/>
        </w:rPr>
        <w:t>ogy</w:t>
      </w:r>
      <w:proofErr w:type="spellEnd"/>
      <w:proofErr w:type="gramEnd"/>
      <w:r w:rsidRPr="00BB2F36">
        <w:rPr>
          <w:sz w:val="22"/>
          <w:szCs w:val="22"/>
        </w:rPr>
        <w:t xml:space="preserve">, diagnostics, tomato, potato, bacteria, fungi, yield </w:t>
      </w:r>
    </w:p>
    <w:p w14:paraId="31B26E8C" w14:textId="77777777" w:rsidR="00BB2F36" w:rsidRPr="00BB2F36" w:rsidRDefault="00BB2F36" w:rsidP="00BB2F36">
      <w:pPr>
        <w:jc w:val="both"/>
        <w:rPr>
          <w:sz w:val="22"/>
          <w:szCs w:val="22"/>
        </w:rPr>
      </w:pPr>
      <w:r w:rsidRPr="00BB2F36">
        <w:rPr>
          <w:i/>
          <w:iCs/>
          <w:sz w:val="22"/>
          <w:szCs w:val="22"/>
        </w:rPr>
        <w:t>7.11.1 Total</w:t>
      </w:r>
      <w:proofErr w:type="gramStart"/>
      <w:r w:rsidRPr="00BB2F36">
        <w:rPr>
          <w:i/>
          <w:iCs/>
          <w:sz w:val="22"/>
          <w:szCs w:val="22"/>
        </w:rPr>
        <w:t>:600,000</w:t>
      </w:r>
      <w:proofErr w:type="gramEnd"/>
      <w:r w:rsidRPr="00BB2F36">
        <w:rPr>
          <w:i/>
          <w:iCs/>
          <w:sz w:val="22"/>
          <w:szCs w:val="22"/>
        </w:rPr>
        <w:t xml:space="preserve">, direct to Gloor: 120000 </w:t>
      </w:r>
    </w:p>
    <w:p w14:paraId="44332A19" w14:textId="77777777" w:rsidR="00CB6EAD" w:rsidRDefault="00CB6EAD" w:rsidP="001122B3">
      <w:pPr>
        <w:jc w:val="both"/>
        <w:rPr>
          <w:sz w:val="22"/>
          <w:szCs w:val="22"/>
        </w:rPr>
      </w:pPr>
    </w:p>
    <w:p w14:paraId="5022A4A0" w14:textId="77777777" w:rsidR="00BB2F36" w:rsidRPr="00BB2F36" w:rsidRDefault="00BB2F36" w:rsidP="00BB2F36">
      <w:pPr>
        <w:jc w:val="both"/>
        <w:rPr>
          <w:sz w:val="22"/>
          <w:szCs w:val="22"/>
        </w:rPr>
      </w:pPr>
      <w:r w:rsidRPr="00BB2F36">
        <w:rPr>
          <w:b/>
          <w:bCs/>
          <w:sz w:val="22"/>
          <w:szCs w:val="22"/>
        </w:rPr>
        <w:t xml:space="preserve">Molecular </w:t>
      </w:r>
      <w:proofErr w:type="spellStart"/>
      <w:r w:rsidRPr="00BB2F36">
        <w:rPr>
          <w:b/>
          <w:bCs/>
          <w:sz w:val="22"/>
          <w:szCs w:val="22"/>
        </w:rPr>
        <w:t>covariation</w:t>
      </w:r>
      <w:proofErr w:type="spellEnd"/>
      <w:r w:rsidRPr="00BB2F36">
        <w:rPr>
          <w:b/>
          <w:bCs/>
          <w:sz w:val="22"/>
          <w:szCs w:val="22"/>
        </w:rPr>
        <w:t xml:space="preserve"> in protein families </w:t>
      </w:r>
      <w:r w:rsidRPr="00BB2F36">
        <w:rPr>
          <w:sz w:val="22"/>
          <w:szCs w:val="22"/>
        </w:rPr>
        <w:t xml:space="preserve">Current NSERC Discovery grant, 2010-2015 </w:t>
      </w:r>
    </w:p>
    <w:p w14:paraId="5C127F31" w14:textId="77777777" w:rsidR="00BB2F36" w:rsidRPr="00BB2F36" w:rsidRDefault="00BB2F36" w:rsidP="00BB2F36">
      <w:pPr>
        <w:jc w:val="both"/>
        <w:rPr>
          <w:sz w:val="22"/>
          <w:szCs w:val="22"/>
        </w:rPr>
      </w:pPr>
      <w:r w:rsidRPr="00BB2F36">
        <w:rPr>
          <w:i/>
          <w:iCs/>
          <w:sz w:val="22"/>
          <w:szCs w:val="22"/>
        </w:rPr>
        <w:t xml:space="preserve">Investigators: </w:t>
      </w:r>
      <w:proofErr w:type="spellStart"/>
      <w:r w:rsidRPr="00BB2F36">
        <w:rPr>
          <w:sz w:val="22"/>
          <w:szCs w:val="22"/>
        </w:rPr>
        <w:t>GLOOR</w:t>
      </w:r>
      <w:proofErr w:type="gramStart"/>
      <w:r w:rsidRPr="00BB2F36">
        <w:rPr>
          <w:sz w:val="22"/>
          <w:szCs w:val="22"/>
        </w:rPr>
        <w:t>,Gregory</w:t>
      </w:r>
      <w:proofErr w:type="spellEnd"/>
      <w:proofErr w:type="gramEnd"/>
      <w:r w:rsidRPr="00BB2F36">
        <w:rPr>
          <w:sz w:val="22"/>
          <w:szCs w:val="22"/>
        </w:rPr>
        <w:t xml:space="preserve"> </w:t>
      </w:r>
    </w:p>
    <w:p w14:paraId="4CA65850" w14:textId="77777777" w:rsidR="00BB2F36" w:rsidRPr="00BB2F36" w:rsidRDefault="00BB2F36" w:rsidP="00BB2F36">
      <w:pPr>
        <w:jc w:val="both"/>
        <w:rPr>
          <w:sz w:val="22"/>
          <w:szCs w:val="22"/>
        </w:rPr>
      </w:pPr>
      <w:r w:rsidRPr="00BB2F36">
        <w:rPr>
          <w:i/>
          <w:iCs/>
          <w:sz w:val="22"/>
          <w:szCs w:val="22"/>
        </w:rPr>
        <w:t xml:space="preserve">Keywords: </w:t>
      </w:r>
      <w:r w:rsidRPr="00BB2F36">
        <w:rPr>
          <w:sz w:val="22"/>
          <w:szCs w:val="22"/>
        </w:rPr>
        <w:t xml:space="preserve">Proteins, molecular coevolution, computational biology, molecular biology, protein </w:t>
      </w:r>
      <w:proofErr w:type="spellStart"/>
      <w:r w:rsidRPr="00BB2F36">
        <w:rPr>
          <w:sz w:val="22"/>
          <w:szCs w:val="22"/>
        </w:rPr>
        <w:t>evolu</w:t>
      </w:r>
      <w:proofErr w:type="spellEnd"/>
      <w:r w:rsidRPr="00BB2F36">
        <w:rPr>
          <w:sz w:val="22"/>
          <w:szCs w:val="22"/>
        </w:rPr>
        <w:t xml:space="preserve">- </w:t>
      </w:r>
      <w:proofErr w:type="spellStart"/>
      <w:r w:rsidRPr="00BB2F36">
        <w:rPr>
          <w:sz w:val="22"/>
          <w:szCs w:val="22"/>
        </w:rPr>
        <w:t>tion</w:t>
      </w:r>
      <w:proofErr w:type="spellEnd"/>
      <w:r w:rsidRPr="00BB2F36">
        <w:rPr>
          <w:sz w:val="22"/>
          <w:szCs w:val="22"/>
        </w:rPr>
        <w:t xml:space="preserve">, epistasis, molecular evolution, mutual information, yeast genetics, </w:t>
      </w:r>
      <w:proofErr w:type="spellStart"/>
      <w:r w:rsidRPr="00BB2F36">
        <w:rPr>
          <w:sz w:val="22"/>
          <w:szCs w:val="22"/>
        </w:rPr>
        <w:t>phosphoglycerate</w:t>
      </w:r>
      <w:proofErr w:type="spellEnd"/>
      <w:r w:rsidRPr="00BB2F36">
        <w:rPr>
          <w:sz w:val="22"/>
          <w:szCs w:val="22"/>
        </w:rPr>
        <w:t xml:space="preserve"> kinase </w:t>
      </w:r>
    </w:p>
    <w:p w14:paraId="2496C2EA" w14:textId="63BAF81D" w:rsidR="00BB2F36" w:rsidRDefault="00BB2F36" w:rsidP="00BB2F36">
      <w:pPr>
        <w:jc w:val="both"/>
        <w:rPr>
          <w:i/>
          <w:iCs/>
          <w:sz w:val="22"/>
          <w:szCs w:val="22"/>
        </w:rPr>
      </w:pPr>
      <w:r w:rsidRPr="00BB2F36">
        <w:rPr>
          <w:i/>
          <w:iCs/>
          <w:sz w:val="22"/>
          <w:szCs w:val="22"/>
        </w:rPr>
        <w:t>Total</w:t>
      </w:r>
      <w:proofErr w:type="gramStart"/>
      <w:r w:rsidRPr="00BB2F36">
        <w:rPr>
          <w:i/>
          <w:iCs/>
          <w:sz w:val="22"/>
          <w:szCs w:val="22"/>
        </w:rPr>
        <w:t>:155000</w:t>
      </w:r>
      <w:proofErr w:type="gramEnd"/>
      <w:r w:rsidRPr="00BB2F36">
        <w:rPr>
          <w:i/>
          <w:iCs/>
          <w:sz w:val="22"/>
          <w:szCs w:val="22"/>
        </w:rPr>
        <w:t xml:space="preserve">, direct to Gloor: 155000 </w:t>
      </w:r>
    </w:p>
    <w:p w14:paraId="16CD6A4C" w14:textId="77777777" w:rsidR="00BB2F36" w:rsidRDefault="00BB2F36" w:rsidP="00BB2F36">
      <w:pPr>
        <w:jc w:val="both"/>
        <w:rPr>
          <w:i/>
          <w:iCs/>
          <w:sz w:val="22"/>
          <w:szCs w:val="22"/>
        </w:rPr>
      </w:pPr>
    </w:p>
    <w:p w14:paraId="79171269" w14:textId="77777777" w:rsidR="00BB2F36" w:rsidRPr="00BB2F36" w:rsidRDefault="00BB2F36" w:rsidP="00BB2F36">
      <w:pPr>
        <w:jc w:val="both"/>
        <w:rPr>
          <w:sz w:val="22"/>
          <w:szCs w:val="22"/>
        </w:rPr>
      </w:pPr>
      <w:r w:rsidRPr="00BB2F36">
        <w:rPr>
          <w:b/>
          <w:bCs/>
          <w:sz w:val="22"/>
          <w:szCs w:val="22"/>
        </w:rPr>
        <w:t xml:space="preserve">Role of intestinal </w:t>
      </w:r>
      <w:proofErr w:type="spellStart"/>
      <w:r w:rsidRPr="00BB2F36">
        <w:rPr>
          <w:b/>
          <w:bCs/>
          <w:sz w:val="22"/>
          <w:szCs w:val="22"/>
        </w:rPr>
        <w:t>microbiota</w:t>
      </w:r>
      <w:proofErr w:type="spellEnd"/>
      <w:r w:rsidRPr="00BB2F36">
        <w:rPr>
          <w:b/>
          <w:bCs/>
          <w:sz w:val="22"/>
          <w:szCs w:val="22"/>
        </w:rPr>
        <w:t xml:space="preserve"> in non-alcoholic fatty liver disease pre and post bariatric surgery: </w:t>
      </w:r>
    </w:p>
    <w:p w14:paraId="052A40E2" w14:textId="77777777" w:rsidR="00BB2F36" w:rsidRPr="00BB2F36" w:rsidRDefault="00BB2F36" w:rsidP="00BB2F36">
      <w:pPr>
        <w:jc w:val="both"/>
        <w:rPr>
          <w:sz w:val="22"/>
          <w:szCs w:val="22"/>
        </w:rPr>
      </w:pPr>
      <w:r w:rsidRPr="00BB2F36">
        <w:rPr>
          <w:sz w:val="22"/>
          <w:szCs w:val="22"/>
        </w:rPr>
        <w:t xml:space="preserve">CIHR, 2013-2016 </w:t>
      </w:r>
    </w:p>
    <w:p w14:paraId="4107BF98" w14:textId="77777777" w:rsidR="00BB2F36" w:rsidRPr="00BB2F36" w:rsidRDefault="00BB2F36" w:rsidP="00BB2F36">
      <w:pPr>
        <w:jc w:val="both"/>
        <w:rPr>
          <w:sz w:val="22"/>
          <w:szCs w:val="22"/>
        </w:rPr>
      </w:pPr>
      <w:r w:rsidRPr="00BB2F36">
        <w:rPr>
          <w:i/>
          <w:iCs/>
          <w:sz w:val="22"/>
          <w:szCs w:val="22"/>
        </w:rPr>
        <w:t xml:space="preserve">Investigators: </w:t>
      </w:r>
      <w:r w:rsidRPr="00BB2F36">
        <w:rPr>
          <w:sz w:val="22"/>
          <w:szCs w:val="22"/>
        </w:rPr>
        <w:t xml:space="preserve">ALLARD, </w:t>
      </w:r>
      <w:proofErr w:type="spellStart"/>
      <w:r w:rsidRPr="00BB2F36">
        <w:rPr>
          <w:sz w:val="22"/>
          <w:szCs w:val="22"/>
        </w:rPr>
        <w:t>Johane</w:t>
      </w:r>
      <w:proofErr w:type="spellEnd"/>
      <w:r w:rsidRPr="00BB2F36">
        <w:rPr>
          <w:sz w:val="22"/>
          <w:szCs w:val="22"/>
        </w:rPr>
        <w:t xml:space="preserve"> P (PI)</w:t>
      </w:r>
      <w:proofErr w:type="gramStart"/>
      <w:r w:rsidRPr="00BB2F36">
        <w:rPr>
          <w:sz w:val="22"/>
          <w:szCs w:val="22"/>
        </w:rPr>
        <w:t>,COMELLI</w:t>
      </w:r>
      <w:proofErr w:type="gramEnd"/>
      <w:r w:rsidRPr="00BB2F36">
        <w:rPr>
          <w:sz w:val="22"/>
          <w:szCs w:val="22"/>
        </w:rPr>
        <w:t xml:space="preserve">, Elena M; GLOOR, Gregory B; JACKSON, Timothy D; LOU, Wen-Yi W; OKRAINEC, Allan </w:t>
      </w:r>
    </w:p>
    <w:p w14:paraId="614E0B79" w14:textId="77777777" w:rsidR="00BB2F36" w:rsidRPr="00BB2F36" w:rsidRDefault="00BB2F36" w:rsidP="00BB2F36">
      <w:pPr>
        <w:jc w:val="both"/>
        <w:rPr>
          <w:sz w:val="22"/>
          <w:szCs w:val="22"/>
        </w:rPr>
      </w:pPr>
      <w:r w:rsidRPr="00BB2F36">
        <w:rPr>
          <w:i/>
          <w:iCs/>
          <w:sz w:val="22"/>
          <w:szCs w:val="22"/>
        </w:rPr>
        <w:t xml:space="preserve">Keywords: </w:t>
      </w:r>
      <w:r w:rsidRPr="00BB2F36">
        <w:rPr>
          <w:sz w:val="22"/>
          <w:szCs w:val="22"/>
        </w:rPr>
        <w:t xml:space="preserve">BARIATRIC SURGERY; DIET; INFLAMMATION; LIPOPOLYSACCHARIDE; MICROBIOTA; NON- ALCOHOLIC FATTY LIVER DISEASE; STEATOHEPATITIS </w:t>
      </w:r>
    </w:p>
    <w:p w14:paraId="61739F74" w14:textId="61997B52" w:rsidR="00BB2F36" w:rsidRPr="00BB2F36" w:rsidRDefault="00BB2F36" w:rsidP="00BB2F36">
      <w:pPr>
        <w:jc w:val="both"/>
        <w:rPr>
          <w:sz w:val="22"/>
          <w:szCs w:val="22"/>
        </w:rPr>
      </w:pPr>
      <w:r w:rsidRPr="00BB2F36">
        <w:rPr>
          <w:i/>
          <w:iCs/>
          <w:sz w:val="22"/>
          <w:szCs w:val="22"/>
        </w:rPr>
        <w:t>7.1.1 Total</w:t>
      </w:r>
      <w:proofErr w:type="gramStart"/>
      <w:r w:rsidRPr="00BB2F36">
        <w:rPr>
          <w:i/>
          <w:iCs/>
          <w:sz w:val="22"/>
          <w:szCs w:val="22"/>
        </w:rPr>
        <w:t>:522169</w:t>
      </w:r>
      <w:proofErr w:type="gramEnd"/>
      <w:r w:rsidRPr="00BB2F36">
        <w:rPr>
          <w:i/>
          <w:iCs/>
          <w:sz w:val="22"/>
          <w:szCs w:val="22"/>
        </w:rPr>
        <w:t xml:space="preserve">, direct to Gloor: 25000 </w:t>
      </w:r>
    </w:p>
    <w:p w14:paraId="038FCB1C" w14:textId="77777777" w:rsidR="00BB2F36" w:rsidRDefault="00BB2F36" w:rsidP="001122B3">
      <w:pPr>
        <w:jc w:val="both"/>
        <w:rPr>
          <w:sz w:val="22"/>
          <w:szCs w:val="22"/>
        </w:rPr>
      </w:pPr>
    </w:p>
    <w:p w14:paraId="7379FEAC" w14:textId="77777777" w:rsidR="00BB2F36" w:rsidRPr="00BB2F36" w:rsidRDefault="00BB2F36" w:rsidP="00BB2F36">
      <w:pPr>
        <w:jc w:val="both"/>
        <w:rPr>
          <w:sz w:val="22"/>
          <w:szCs w:val="22"/>
        </w:rPr>
      </w:pPr>
      <w:r w:rsidRPr="00BB2F36">
        <w:rPr>
          <w:b/>
          <w:bCs/>
          <w:sz w:val="22"/>
          <w:szCs w:val="22"/>
        </w:rPr>
        <w:t>Meta-</w:t>
      </w:r>
      <w:proofErr w:type="spellStart"/>
      <w:r w:rsidRPr="00BB2F36">
        <w:rPr>
          <w:b/>
          <w:bCs/>
          <w:sz w:val="22"/>
          <w:szCs w:val="22"/>
        </w:rPr>
        <w:t>transcriptome</w:t>
      </w:r>
      <w:proofErr w:type="spellEnd"/>
      <w:r w:rsidRPr="00BB2F36">
        <w:rPr>
          <w:b/>
          <w:bCs/>
          <w:sz w:val="22"/>
          <w:szCs w:val="22"/>
        </w:rPr>
        <w:t xml:space="preserve"> of high-yield corn </w:t>
      </w:r>
      <w:proofErr w:type="spellStart"/>
      <w:r w:rsidRPr="00BB2F36">
        <w:rPr>
          <w:b/>
          <w:bCs/>
          <w:sz w:val="22"/>
          <w:szCs w:val="22"/>
        </w:rPr>
        <w:t>endophytic</w:t>
      </w:r>
      <w:proofErr w:type="spellEnd"/>
      <w:r w:rsidRPr="00BB2F36">
        <w:rPr>
          <w:b/>
          <w:bCs/>
          <w:sz w:val="22"/>
          <w:szCs w:val="22"/>
        </w:rPr>
        <w:t xml:space="preserve"> </w:t>
      </w:r>
      <w:proofErr w:type="spellStart"/>
      <w:r w:rsidRPr="00BB2F36">
        <w:rPr>
          <w:b/>
          <w:bCs/>
          <w:sz w:val="22"/>
          <w:szCs w:val="22"/>
        </w:rPr>
        <w:t>microbiome</w:t>
      </w:r>
      <w:proofErr w:type="spellEnd"/>
      <w:r w:rsidRPr="00BB2F36">
        <w:rPr>
          <w:b/>
          <w:bCs/>
          <w:sz w:val="22"/>
          <w:szCs w:val="22"/>
        </w:rPr>
        <w:t xml:space="preserve"> </w:t>
      </w:r>
      <w:r w:rsidRPr="00BB2F36">
        <w:rPr>
          <w:sz w:val="22"/>
          <w:szCs w:val="22"/>
        </w:rPr>
        <w:t xml:space="preserve">Ontario Centre of Excellence, 2014-2015 </w:t>
      </w:r>
    </w:p>
    <w:p w14:paraId="2A2BF59C" w14:textId="77777777" w:rsidR="00BB2F36" w:rsidRPr="00BB2F36" w:rsidRDefault="00BB2F36" w:rsidP="00BB2F36">
      <w:pPr>
        <w:jc w:val="both"/>
        <w:rPr>
          <w:sz w:val="22"/>
          <w:szCs w:val="22"/>
        </w:rPr>
      </w:pPr>
      <w:r w:rsidRPr="00BB2F36">
        <w:rPr>
          <w:i/>
          <w:iCs/>
          <w:sz w:val="22"/>
          <w:szCs w:val="22"/>
        </w:rPr>
        <w:t xml:space="preserve">Investigators: </w:t>
      </w:r>
      <w:r w:rsidRPr="00BB2F36">
        <w:rPr>
          <w:sz w:val="22"/>
          <w:szCs w:val="22"/>
        </w:rPr>
        <w:t>GLOOR</w:t>
      </w:r>
      <w:proofErr w:type="gramStart"/>
      <w:r w:rsidRPr="00BB2F36">
        <w:rPr>
          <w:sz w:val="22"/>
          <w:szCs w:val="22"/>
        </w:rPr>
        <w:t>,GREGORY</w:t>
      </w:r>
      <w:proofErr w:type="gramEnd"/>
      <w:r w:rsidRPr="00BB2F36">
        <w:rPr>
          <w:sz w:val="22"/>
          <w:szCs w:val="22"/>
        </w:rPr>
        <w:t> </w:t>
      </w:r>
      <w:r w:rsidRPr="00BB2F36">
        <w:rPr>
          <w:i/>
          <w:iCs/>
          <w:sz w:val="22"/>
          <w:szCs w:val="22"/>
        </w:rPr>
        <w:t xml:space="preserve">Keywords: </w:t>
      </w:r>
      <w:r w:rsidRPr="00BB2F36">
        <w:rPr>
          <w:sz w:val="22"/>
          <w:szCs w:val="22"/>
        </w:rPr>
        <w:t xml:space="preserve">Microbial ecology, plant </w:t>
      </w:r>
      <w:proofErr w:type="spellStart"/>
      <w:r w:rsidRPr="00BB2F36">
        <w:rPr>
          <w:sz w:val="22"/>
          <w:szCs w:val="22"/>
        </w:rPr>
        <w:t>endophytic</w:t>
      </w:r>
      <w:proofErr w:type="spellEnd"/>
      <w:r w:rsidRPr="00BB2F36">
        <w:rPr>
          <w:sz w:val="22"/>
          <w:szCs w:val="22"/>
        </w:rPr>
        <w:t xml:space="preserve"> organisms, microbial genomics, microbial </w:t>
      </w:r>
      <w:proofErr w:type="spellStart"/>
      <w:r w:rsidRPr="00BB2F36">
        <w:rPr>
          <w:sz w:val="22"/>
          <w:szCs w:val="22"/>
        </w:rPr>
        <w:t>metatran</w:t>
      </w:r>
      <w:proofErr w:type="spellEnd"/>
      <w:r w:rsidRPr="00BB2F36">
        <w:rPr>
          <w:sz w:val="22"/>
          <w:szCs w:val="22"/>
        </w:rPr>
        <w:t xml:space="preserve">- </w:t>
      </w:r>
    </w:p>
    <w:p w14:paraId="737A3584" w14:textId="77777777" w:rsidR="00BB2F36" w:rsidRPr="00BB2F36" w:rsidRDefault="00BB2F36" w:rsidP="00BB2F36">
      <w:pPr>
        <w:jc w:val="both"/>
        <w:rPr>
          <w:sz w:val="22"/>
          <w:szCs w:val="22"/>
        </w:rPr>
      </w:pPr>
      <w:proofErr w:type="spellStart"/>
      <w:proofErr w:type="gramStart"/>
      <w:r w:rsidRPr="00BB2F36">
        <w:rPr>
          <w:sz w:val="22"/>
          <w:szCs w:val="22"/>
        </w:rPr>
        <w:t>scriptomics</w:t>
      </w:r>
      <w:proofErr w:type="spellEnd"/>
      <w:proofErr w:type="gramEnd"/>
      <w:r w:rsidRPr="00BB2F36">
        <w:rPr>
          <w:sz w:val="22"/>
          <w:szCs w:val="22"/>
        </w:rPr>
        <w:t xml:space="preserve">, crop yield enhancement, maize </w:t>
      </w:r>
      <w:proofErr w:type="spellStart"/>
      <w:r w:rsidRPr="00BB2F36">
        <w:rPr>
          <w:sz w:val="22"/>
          <w:szCs w:val="22"/>
        </w:rPr>
        <w:t>microbiome</w:t>
      </w:r>
      <w:proofErr w:type="spellEnd"/>
      <w:r w:rsidRPr="00BB2F36">
        <w:rPr>
          <w:sz w:val="22"/>
          <w:szCs w:val="22"/>
        </w:rPr>
        <w:t>, RNA-</w:t>
      </w:r>
      <w:proofErr w:type="spellStart"/>
      <w:r w:rsidRPr="00BB2F36">
        <w:rPr>
          <w:sz w:val="22"/>
          <w:szCs w:val="22"/>
        </w:rPr>
        <w:t>seq</w:t>
      </w:r>
      <w:proofErr w:type="spellEnd"/>
      <w:r w:rsidRPr="00BB2F36">
        <w:rPr>
          <w:sz w:val="22"/>
          <w:szCs w:val="22"/>
        </w:rPr>
        <w:t xml:space="preserve">, </w:t>
      </w:r>
      <w:proofErr w:type="spellStart"/>
      <w:r w:rsidRPr="00BB2F36">
        <w:rPr>
          <w:sz w:val="22"/>
          <w:szCs w:val="22"/>
        </w:rPr>
        <w:t>metagenomics</w:t>
      </w:r>
      <w:proofErr w:type="spellEnd"/>
      <w:r w:rsidRPr="00BB2F36">
        <w:rPr>
          <w:sz w:val="22"/>
          <w:szCs w:val="22"/>
        </w:rPr>
        <w:t xml:space="preserve"> </w:t>
      </w:r>
    </w:p>
    <w:p w14:paraId="3263EC9C" w14:textId="28F1EA6C" w:rsidR="00BB2F36" w:rsidRPr="00BB2F36" w:rsidRDefault="00BB2F36" w:rsidP="00BB2F36">
      <w:pPr>
        <w:jc w:val="both"/>
        <w:rPr>
          <w:sz w:val="22"/>
          <w:szCs w:val="22"/>
        </w:rPr>
      </w:pPr>
      <w:r w:rsidRPr="00BB2F36">
        <w:rPr>
          <w:i/>
          <w:iCs/>
          <w:sz w:val="22"/>
          <w:szCs w:val="22"/>
        </w:rPr>
        <w:t>Total</w:t>
      </w:r>
      <w:proofErr w:type="gramStart"/>
      <w:r w:rsidRPr="00BB2F36">
        <w:rPr>
          <w:i/>
          <w:iCs/>
          <w:sz w:val="22"/>
          <w:szCs w:val="22"/>
        </w:rPr>
        <w:t>:25000</w:t>
      </w:r>
      <w:proofErr w:type="gramEnd"/>
      <w:r w:rsidRPr="00BB2F36">
        <w:rPr>
          <w:i/>
          <w:iCs/>
          <w:sz w:val="22"/>
          <w:szCs w:val="22"/>
        </w:rPr>
        <w:t xml:space="preserve">, direct to Gloor: 25000 </w:t>
      </w:r>
    </w:p>
    <w:p w14:paraId="050353D5" w14:textId="77777777" w:rsidR="00BB2F36" w:rsidRDefault="00BB2F36" w:rsidP="001122B3">
      <w:pPr>
        <w:jc w:val="both"/>
        <w:rPr>
          <w:sz w:val="22"/>
          <w:szCs w:val="22"/>
        </w:rPr>
      </w:pPr>
    </w:p>
    <w:p w14:paraId="5DF0EFFF" w14:textId="77777777" w:rsidR="00BB2F36" w:rsidRPr="00BB2F36" w:rsidRDefault="00BB2F36" w:rsidP="00BB2F36">
      <w:pPr>
        <w:jc w:val="both"/>
        <w:rPr>
          <w:sz w:val="22"/>
          <w:szCs w:val="22"/>
        </w:rPr>
      </w:pPr>
      <w:r w:rsidRPr="00BB2F36">
        <w:rPr>
          <w:b/>
          <w:bCs/>
          <w:sz w:val="22"/>
          <w:szCs w:val="22"/>
        </w:rPr>
        <w:t xml:space="preserve">Exploiting the therapeutic effects of the fecal </w:t>
      </w:r>
      <w:proofErr w:type="spellStart"/>
      <w:r w:rsidRPr="00BB2F36">
        <w:rPr>
          <w:b/>
          <w:bCs/>
          <w:sz w:val="22"/>
          <w:szCs w:val="22"/>
        </w:rPr>
        <w:t>microbiome</w:t>
      </w:r>
      <w:proofErr w:type="spellEnd"/>
      <w:r w:rsidRPr="00BB2F36">
        <w:rPr>
          <w:b/>
          <w:bCs/>
          <w:sz w:val="22"/>
          <w:szCs w:val="22"/>
        </w:rPr>
        <w:t xml:space="preserve"> in bariatric care </w:t>
      </w:r>
      <w:r w:rsidRPr="00BB2F36">
        <w:rPr>
          <w:sz w:val="22"/>
          <w:szCs w:val="22"/>
        </w:rPr>
        <w:t xml:space="preserve">CIHR Team grant in Bariatric Care (ranked first in competition), 2014-2019 </w:t>
      </w:r>
    </w:p>
    <w:p w14:paraId="7F340471" w14:textId="77777777" w:rsidR="00BB2F36" w:rsidRPr="00BB2F36" w:rsidRDefault="00BB2F36" w:rsidP="00BB2F36">
      <w:pPr>
        <w:jc w:val="both"/>
        <w:rPr>
          <w:sz w:val="22"/>
          <w:szCs w:val="22"/>
        </w:rPr>
      </w:pPr>
      <w:r w:rsidRPr="00BB2F36">
        <w:rPr>
          <w:i/>
          <w:iCs/>
          <w:sz w:val="22"/>
          <w:szCs w:val="22"/>
        </w:rPr>
        <w:t xml:space="preserve">Investigators: </w:t>
      </w:r>
      <w:r w:rsidRPr="00BB2F36">
        <w:rPr>
          <w:sz w:val="22"/>
          <w:szCs w:val="22"/>
        </w:rPr>
        <w:t xml:space="preserve">PIs: ALLARD, </w:t>
      </w:r>
      <w:proofErr w:type="spellStart"/>
      <w:r w:rsidRPr="00BB2F36">
        <w:rPr>
          <w:sz w:val="22"/>
          <w:szCs w:val="22"/>
        </w:rPr>
        <w:t>Johane</w:t>
      </w:r>
      <w:proofErr w:type="spellEnd"/>
      <w:r w:rsidRPr="00BB2F36">
        <w:rPr>
          <w:sz w:val="22"/>
          <w:szCs w:val="22"/>
        </w:rPr>
        <w:t xml:space="preserve"> </w:t>
      </w:r>
      <w:proofErr w:type="gramStart"/>
      <w:r w:rsidRPr="00BB2F36">
        <w:rPr>
          <w:sz w:val="22"/>
          <w:szCs w:val="22"/>
        </w:rPr>
        <w:t>P ;</w:t>
      </w:r>
      <w:proofErr w:type="gramEnd"/>
      <w:r w:rsidRPr="00BB2F36">
        <w:rPr>
          <w:sz w:val="22"/>
          <w:szCs w:val="22"/>
        </w:rPr>
        <w:t xml:space="preserve"> GAISANO, </w:t>
      </w:r>
      <w:proofErr w:type="spellStart"/>
      <w:r w:rsidRPr="00BB2F36">
        <w:rPr>
          <w:sz w:val="22"/>
          <w:szCs w:val="22"/>
        </w:rPr>
        <w:t>co-applicants:Herbert</w:t>
      </w:r>
      <w:proofErr w:type="spellEnd"/>
      <w:r w:rsidRPr="00BB2F36">
        <w:rPr>
          <w:sz w:val="22"/>
          <w:szCs w:val="22"/>
        </w:rPr>
        <w:t xml:space="preserve"> Y , BANKS, Kate; COMELLI, Elena M; GLOOR, Gregory B; HOTA, </w:t>
      </w:r>
      <w:proofErr w:type="spellStart"/>
      <w:r w:rsidRPr="00BB2F36">
        <w:rPr>
          <w:sz w:val="22"/>
          <w:szCs w:val="22"/>
        </w:rPr>
        <w:t>Susy</w:t>
      </w:r>
      <w:proofErr w:type="spellEnd"/>
      <w:r w:rsidRPr="00BB2F36">
        <w:rPr>
          <w:sz w:val="22"/>
          <w:szCs w:val="22"/>
        </w:rPr>
        <w:t xml:space="preserve"> S; JACKSON, Timothy D; LOU, Wen- Yi W; OKRAINEC, Allan; PHILPOTT, Dana J; POUTANEN, Susan M </w:t>
      </w:r>
    </w:p>
    <w:p w14:paraId="5D29A245" w14:textId="77777777" w:rsidR="00BB2F36" w:rsidRDefault="00BB2F36" w:rsidP="00BB2F36">
      <w:pPr>
        <w:jc w:val="both"/>
        <w:rPr>
          <w:i/>
          <w:iCs/>
          <w:sz w:val="22"/>
          <w:szCs w:val="22"/>
        </w:rPr>
      </w:pPr>
      <w:r w:rsidRPr="00BB2F36">
        <w:rPr>
          <w:i/>
          <w:iCs/>
          <w:sz w:val="22"/>
          <w:szCs w:val="22"/>
        </w:rPr>
        <w:t xml:space="preserve">Keywords: </w:t>
      </w:r>
      <w:r w:rsidRPr="00BB2F36">
        <w:rPr>
          <w:sz w:val="22"/>
          <w:szCs w:val="22"/>
        </w:rPr>
        <w:t xml:space="preserve">BARIATRIC SURGERY; DIET; INFLAMMATION; LIPOPOLYSACCHARIDE; MICRO- BIOTA; NON- ALCOHOLIC FATTY LIVER DISEASE; STEATOHEPATITIS </w:t>
      </w:r>
      <w:r w:rsidRPr="00BB2F36">
        <w:rPr>
          <w:i/>
          <w:iCs/>
          <w:sz w:val="22"/>
          <w:szCs w:val="22"/>
        </w:rPr>
        <w:t xml:space="preserve"> </w:t>
      </w:r>
    </w:p>
    <w:p w14:paraId="278F39B5" w14:textId="21432C2D" w:rsidR="00BB2F36" w:rsidRPr="00BB2F36" w:rsidRDefault="00BB2F36" w:rsidP="00BB2F36">
      <w:pPr>
        <w:jc w:val="both"/>
        <w:rPr>
          <w:sz w:val="22"/>
          <w:szCs w:val="22"/>
        </w:rPr>
      </w:pPr>
      <w:r w:rsidRPr="00BB2F36">
        <w:rPr>
          <w:i/>
          <w:iCs/>
          <w:sz w:val="22"/>
          <w:szCs w:val="22"/>
        </w:rPr>
        <w:t>Total</w:t>
      </w:r>
      <w:proofErr w:type="gramStart"/>
      <w:r w:rsidRPr="00BB2F36">
        <w:rPr>
          <w:i/>
          <w:iCs/>
          <w:sz w:val="22"/>
          <w:szCs w:val="22"/>
        </w:rPr>
        <w:t>:1,500,000</w:t>
      </w:r>
      <w:proofErr w:type="gramEnd"/>
      <w:r w:rsidRPr="00BB2F36">
        <w:rPr>
          <w:i/>
          <w:iCs/>
          <w:sz w:val="22"/>
          <w:szCs w:val="22"/>
        </w:rPr>
        <w:t xml:space="preserve">, direct to Gloor: 80000 </w:t>
      </w:r>
    </w:p>
    <w:p w14:paraId="581CD446" w14:textId="77777777" w:rsidR="00BB2F36" w:rsidRPr="00A302EA" w:rsidRDefault="00BB2F36" w:rsidP="001122B3">
      <w:pPr>
        <w:jc w:val="both"/>
        <w:rPr>
          <w:sz w:val="22"/>
          <w:szCs w:val="22"/>
        </w:rPr>
      </w:pPr>
    </w:p>
    <w:sectPr w:rsidR="00BB2F36" w:rsidRPr="00A302EA" w:rsidSect="002E4FB4">
      <w:footerReference w:type="even" r:id="rId9"/>
      <w:footerReference w:type="default" r:id="rId10"/>
      <w:pgSz w:w="12240" w:h="15840" w:code="1"/>
      <w:pgMar w:top="720" w:right="720" w:bottom="720" w:left="720" w:header="720" w:footer="72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3B5613" w14:textId="77777777" w:rsidR="00020F95" w:rsidRDefault="00020F95">
      <w:r>
        <w:separator/>
      </w:r>
    </w:p>
  </w:endnote>
  <w:endnote w:type="continuationSeparator" w:id="0">
    <w:p w14:paraId="532A140B" w14:textId="77777777" w:rsidR="00020F95" w:rsidRDefault="00020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2A87" w:usb1="80000000" w:usb2="00000008"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DB74F" w14:textId="77777777" w:rsidR="00020F95" w:rsidRDefault="00020F95" w:rsidP="00CB6E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4E3B46" w14:textId="77777777" w:rsidR="00020F95" w:rsidRDefault="00020F9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27B44" w14:textId="77777777" w:rsidR="00020F95" w:rsidRDefault="00020F95" w:rsidP="00CB6E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F097C">
      <w:rPr>
        <w:rStyle w:val="PageNumber"/>
        <w:noProof/>
      </w:rPr>
      <w:t>4</w:t>
    </w:r>
    <w:r>
      <w:rPr>
        <w:rStyle w:val="PageNumber"/>
      </w:rPr>
      <w:fldChar w:fldCharType="end"/>
    </w:r>
  </w:p>
  <w:p w14:paraId="460FAFE0" w14:textId="77777777" w:rsidR="00020F95" w:rsidRDefault="00020F9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E2C903" w14:textId="77777777" w:rsidR="00020F95" w:rsidRDefault="00020F95">
      <w:r>
        <w:separator/>
      </w:r>
    </w:p>
  </w:footnote>
  <w:footnote w:type="continuationSeparator" w:id="0">
    <w:p w14:paraId="02E9D062" w14:textId="77777777" w:rsidR="00020F95" w:rsidRDefault="00020F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lvlText w:val="%1."/>
      <w:lvlJc w:val="left"/>
      <w:pPr>
        <w:tabs>
          <w:tab w:val="num" w:pos="1800"/>
        </w:tabs>
        <w:ind w:left="1800" w:hanging="360"/>
      </w:pPr>
    </w:lvl>
  </w:abstractNum>
  <w:abstractNum w:abstractNumId="1">
    <w:nsid w:val="FFFFFF7D"/>
    <w:multiLevelType w:val="singleLevel"/>
    <w:tmpl w:val="FD009D2A"/>
    <w:lvl w:ilvl="0">
      <w:start w:val="1"/>
      <w:numFmt w:val="decimal"/>
      <w:lvlText w:val="%1."/>
      <w:lvlJc w:val="left"/>
      <w:pPr>
        <w:tabs>
          <w:tab w:val="num" w:pos="1440"/>
        </w:tabs>
        <w:ind w:left="1440" w:hanging="360"/>
      </w:pPr>
    </w:lvl>
  </w:abstractNum>
  <w:abstractNum w:abstractNumId="2">
    <w:nsid w:val="FFFFFF7E"/>
    <w:multiLevelType w:val="singleLevel"/>
    <w:tmpl w:val="04488676"/>
    <w:lvl w:ilvl="0">
      <w:start w:val="1"/>
      <w:numFmt w:val="decimal"/>
      <w:lvlText w:val="%1."/>
      <w:lvlJc w:val="left"/>
      <w:pPr>
        <w:tabs>
          <w:tab w:val="num" w:pos="1080"/>
        </w:tabs>
        <w:ind w:left="1080" w:hanging="360"/>
      </w:pPr>
    </w:lvl>
  </w:abstractNum>
  <w:abstractNum w:abstractNumId="3">
    <w:nsid w:val="FFFFFF7F"/>
    <w:multiLevelType w:val="singleLevel"/>
    <w:tmpl w:val="2C6EE5CE"/>
    <w:lvl w:ilvl="0">
      <w:start w:val="1"/>
      <w:numFmt w:val="decimal"/>
      <w:lvlText w:val="%1."/>
      <w:lvlJc w:val="left"/>
      <w:pPr>
        <w:tabs>
          <w:tab w:val="num" w:pos="720"/>
        </w:tabs>
        <w:ind w:left="720" w:hanging="360"/>
      </w:pPr>
    </w:lvl>
  </w:abstractNum>
  <w:abstractNum w:abstractNumId="4">
    <w:nsid w:val="FFFFFF80"/>
    <w:multiLevelType w:val="singleLevel"/>
    <w:tmpl w:val="AB86BCA8"/>
    <w:lvl w:ilvl="0">
      <w:start w:val="1"/>
      <w:numFmt w:val="bullet"/>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lvlText w:val="%1."/>
      <w:lvlJc w:val="left"/>
      <w:pPr>
        <w:tabs>
          <w:tab w:val="num" w:pos="360"/>
        </w:tabs>
        <w:ind w:left="360" w:hanging="360"/>
      </w:pPr>
    </w:lvl>
  </w:abstractNum>
  <w:abstractNum w:abstractNumId="9">
    <w:nsid w:val="FFFFFF89"/>
    <w:multiLevelType w:val="singleLevel"/>
    <w:tmpl w:val="9C26D018"/>
    <w:lvl w:ilvl="0">
      <w:start w:val="1"/>
      <w:numFmt w:val="bullet"/>
      <w:lvlText w:val=""/>
      <w:lvlJc w:val="left"/>
      <w:pPr>
        <w:tabs>
          <w:tab w:val="num" w:pos="360"/>
        </w:tabs>
        <w:ind w:left="360" w:hanging="360"/>
      </w:pPr>
      <w:rPr>
        <w:rFonts w:ascii="Symbol" w:hAnsi="Symbol" w:cs="Times New Roman" w:hint="default"/>
      </w:rPr>
    </w:lvl>
  </w:abstractNum>
  <w:abstractNum w:abstractNumId="10">
    <w:nsid w:val="00000001"/>
    <w:multiLevelType w:val="hybridMultilevel"/>
    <w:tmpl w:val="C7DA7D7A"/>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2"/>
    <w:multiLevelType w:val="hybridMultilevel"/>
    <w:tmpl w:val="00000002"/>
    <w:lvl w:ilvl="0" w:tplc="00000065">
      <w:start w:val="1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3"/>
    <w:multiLevelType w:val="hybridMultilevel"/>
    <w:tmpl w:val="00000003"/>
    <w:lvl w:ilvl="0" w:tplc="000000C9">
      <w:start w:val="2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1BA7D14"/>
    <w:multiLevelType w:val="hybridMultilevel"/>
    <w:tmpl w:val="AB00D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752BED"/>
    <w:multiLevelType w:val="hybridMultilevel"/>
    <w:tmpl w:val="88F6CA4E"/>
    <w:lvl w:ilvl="0" w:tplc="34529568">
      <w:start w:val="3"/>
      <w:numFmt w:val="upperLetter"/>
      <w:lvlText w:val="%1."/>
      <w:lvlJc w:val="left"/>
      <w:pPr>
        <w:tabs>
          <w:tab w:val="num" w:pos="740"/>
        </w:tabs>
        <w:ind w:left="740" w:hanging="38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0FEE4481"/>
    <w:multiLevelType w:val="hybridMultilevel"/>
    <w:tmpl w:val="72582484"/>
    <w:lvl w:ilvl="0" w:tplc="04090015">
      <w:start w:val="1"/>
      <w:numFmt w:val="upperLetter"/>
      <w:lvlText w:val="%1."/>
      <w:lvlJc w:val="left"/>
      <w:pPr>
        <w:ind w:left="580" w:hanging="360"/>
      </w:pPr>
      <w:rPr>
        <w:rFonts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6">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7">
    <w:nsid w:val="163C3AA6"/>
    <w:multiLevelType w:val="hybridMultilevel"/>
    <w:tmpl w:val="C434A742"/>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8">
    <w:nsid w:val="1DE03FEA"/>
    <w:multiLevelType w:val="hybridMultilevel"/>
    <w:tmpl w:val="874AB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CE3332"/>
    <w:multiLevelType w:val="hybridMultilevel"/>
    <w:tmpl w:val="2C869B98"/>
    <w:lvl w:ilvl="0" w:tplc="00150409">
      <w:start w:val="1"/>
      <w:numFmt w:val="upp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nsid w:val="218C38A0"/>
    <w:multiLevelType w:val="hybridMultilevel"/>
    <w:tmpl w:val="24261F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2CE62E3"/>
    <w:multiLevelType w:val="hybridMultilevel"/>
    <w:tmpl w:val="58485480"/>
    <w:lvl w:ilvl="0" w:tplc="FCFE6D2E">
      <w:start w:val="3"/>
      <w:numFmt w:val="upperLetter"/>
      <w:lvlText w:val="%1."/>
      <w:lvlJc w:val="left"/>
      <w:pPr>
        <w:tabs>
          <w:tab w:val="num" w:pos="740"/>
        </w:tabs>
        <w:ind w:left="740" w:hanging="38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2B4E06E7"/>
    <w:multiLevelType w:val="hybridMultilevel"/>
    <w:tmpl w:val="C434A742"/>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3">
    <w:nsid w:val="2E466E6F"/>
    <w:multiLevelType w:val="hybridMultilevel"/>
    <w:tmpl w:val="8C0E7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3230F9A"/>
    <w:multiLevelType w:val="hybridMultilevel"/>
    <w:tmpl w:val="445E53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60A5FD1"/>
    <w:multiLevelType w:val="hybridMultilevel"/>
    <w:tmpl w:val="3CE8F660"/>
    <w:lvl w:ilvl="0" w:tplc="32B88A46">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nsid w:val="3C1777D7"/>
    <w:multiLevelType w:val="hybridMultilevel"/>
    <w:tmpl w:val="88549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408D1EA1"/>
    <w:multiLevelType w:val="hybridMultilevel"/>
    <w:tmpl w:val="9FA06860"/>
    <w:lvl w:ilvl="0" w:tplc="32B88A46">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nsid w:val="44677897"/>
    <w:multiLevelType w:val="hybridMultilevel"/>
    <w:tmpl w:val="C434A742"/>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9">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30">
    <w:nsid w:val="4F7F7672"/>
    <w:multiLevelType w:val="hybridMultilevel"/>
    <w:tmpl w:val="C65C42A4"/>
    <w:lvl w:ilvl="0" w:tplc="A6F24112">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2711AC"/>
    <w:multiLevelType w:val="hybridMultilevel"/>
    <w:tmpl w:val="4DD44F10"/>
    <w:lvl w:ilvl="0" w:tplc="32B88A46">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2">
    <w:nsid w:val="5C7F34CF"/>
    <w:multiLevelType w:val="hybridMultilevel"/>
    <w:tmpl w:val="C748A86C"/>
    <w:lvl w:ilvl="0" w:tplc="000F0409">
      <w:start w:val="6"/>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3">
    <w:nsid w:val="62BC0E8A"/>
    <w:multiLevelType w:val="hybridMultilevel"/>
    <w:tmpl w:val="DD20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A62192"/>
    <w:multiLevelType w:val="hybridMultilevel"/>
    <w:tmpl w:val="23F83E8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35">
    <w:nsid w:val="64125BC5"/>
    <w:multiLevelType w:val="hybridMultilevel"/>
    <w:tmpl w:val="8506D2BE"/>
    <w:lvl w:ilvl="0" w:tplc="DEA8DCBE">
      <w:start w:val="2"/>
      <w:numFmt w:val="upperLetter"/>
      <w:lvlText w:val="%1."/>
      <w:lvlJc w:val="left"/>
      <w:pPr>
        <w:tabs>
          <w:tab w:val="num" w:pos="740"/>
        </w:tabs>
        <w:ind w:left="740" w:hanging="38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6">
    <w:nsid w:val="657F123E"/>
    <w:multiLevelType w:val="hybridMultilevel"/>
    <w:tmpl w:val="F23CA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102008"/>
    <w:multiLevelType w:val="hybridMultilevel"/>
    <w:tmpl w:val="E03CDEA8"/>
    <w:lvl w:ilvl="0" w:tplc="F69EB2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974C76"/>
    <w:multiLevelType w:val="hybridMultilevel"/>
    <w:tmpl w:val="72628E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05473D"/>
    <w:multiLevelType w:val="hybridMultilevel"/>
    <w:tmpl w:val="F1F84E3C"/>
    <w:lvl w:ilvl="0" w:tplc="E65CE6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16"/>
  </w:num>
  <w:num w:numId="13">
    <w:abstractNumId w:val="40"/>
  </w:num>
  <w:num w:numId="14">
    <w:abstractNumId w:val="19"/>
  </w:num>
  <w:num w:numId="15">
    <w:abstractNumId w:val="27"/>
  </w:num>
  <w:num w:numId="16">
    <w:abstractNumId w:val="31"/>
  </w:num>
  <w:num w:numId="17">
    <w:abstractNumId w:val="25"/>
  </w:num>
  <w:num w:numId="18">
    <w:abstractNumId w:val="35"/>
  </w:num>
  <w:num w:numId="19">
    <w:abstractNumId w:val="28"/>
  </w:num>
  <w:num w:numId="20">
    <w:abstractNumId w:val="21"/>
  </w:num>
  <w:num w:numId="21">
    <w:abstractNumId w:val="14"/>
  </w:num>
  <w:num w:numId="22">
    <w:abstractNumId w:val="32"/>
  </w:num>
  <w:num w:numId="23">
    <w:abstractNumId w:val="22"/>
  </w:num>
  <w:num w:numId="24">
    <w:abstractNumId w:val="17"/>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23"/>
  </w:num>
  <w:num w:numId="28">
    <w:abstractNumId w:val="10"/>
  </w:num>
  <w:num w:numId="29">
    <w:abstractNumId w:val="11"/>
  </w:num>
  <w:num w:numId="30">
    <w:abstractNumId w:val="12"/>
  </w:num>
  <w:num w:numId="31">
    <w:abstractNumId w:val="18"/>
  </w:num>
  <w:num w:numId="32">
    <w:abstractNumId w:val="36"/>
  </w:num>
  <w:num w:numId="33">
    <w:abstractNumId w:val="30"/>
  </w:num>
  <w:num w:numId="34">
    <w:abstractNumId w:val="37"/>
  </w:num>
  <w:num w:numId="35">
    <w:abstractNumId w:val="20"/>
  </w:num>
  <w:num w:numId="36">
    <w:abstractNumId w:val="39"/>
  </w:num>
  <w:num w:numId="37">
    <w:abstractNumId w:val="34"/>
  </w:num>
  <w:num w:numId="38">
    <w:abstractNumId w:val="38"/>
  </w:num>
  <w:num w:numId="39">
    <w:abstractNumId w:val="15"/>
  </w:num>
  <w:num w:numId="40">
    <w:abstractNumId w:val="24"/>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FB4"/>
    <w:rsid w:val="0000189E"/>
    <w:rsid w:val="00020F95"/>
    <w:rsid w:val="000555DC"/>
    <w:rsid w:val="00062FF6"/>
    <w:rsid w:val="0009540B"/>
    <w:rsid w:val="000A1456"/>
    <w:rsid w:val="000C156F"/>
    <w:rsid w:val="000D1787"/>
    <w:rsid w:val="000F2A9F"/>
    <w:rsid w:val="00100E60"/>
    <w:rsid w:val="0011175F"/>
    <w:rsid w:val="001122B3"/>
    <w:rsid w:val="001327B6"/>
    <w:rsid w:val="001459EE"/>
    <w:rsid w:val="00151393"/>
    <w:rsid w:val="00191F20"/>
    <w:rsid w:val="001D7244"/>
    <w:rsid w:val="001E26B7"/>
    <w:rsid w:val="00227461"/>
    <w:rsid w:val="00294315"/>
    <w:rsid w:val="002E4FB4"/>
    <w:rsid w:val="00357882"/>
    <w:rsid w:val="003F5CA4"/>
    <w:rsid w:val="00401654"/>
    <w:rsid w:val="00440671"/>
    <w:rsid w:val="00477BE5"/>
    <w:rsid w:val="00624DFF"/>
    <w:rsid w:val="00653EE5"/>
    <w:rsid w:val="00730737"/>
    <w:rsid w:val="007F097C"/>
    <w:rsid w:val="0083120B"/>
    <w:rsid w:val="00835F13"/>
    <w:rsid w:val="008563ED"/>
    <w:rsid w:val="00860CE5"/>
    <w:rsid w:val="00882F84"/>
    <w:rsid w:val="008C49F9"/>
    <w:rsid w:val="00935168"/>
    <w:rsid w:val="0099110A"/>
    <w:rsid w:val="009B37FD"/>
    <w:rsid w:val="009D0BCE"/>
    <w:rsid w:val="00A02E44"/>
    <w:rsid w:val="00A14D86"/>
    <w:rsid w:val="00A302EA"/>
    <w:rsid w:val="00AF71F6"/>
    <w:rsid w:val="00B17B2C"/>
    <w:rsid w:val="00B211C5"/>
    <w:rsid w:val="00B45574"/>
    <w:rsid w:val="00B758A2"/>
    <w:rsid w:val="00BB2F36"/>
    <w:rsid w:val="00BC178C"/>
    <w:rsid w:val="00BF4433"/>
    <w:rsid w:val="00C06A57"/>
    <w:rsid w:val="00C1494C"/>
    <w:rsid w:val="00C57474"/>
    <w:rsid w:val="00C61CD3"/>
    <w:rsid w:val="00C61F7A"/>
    <w:rsid w:val="00C906C8"/>
    <w:rsid w:val="00CB6EAD"/>
    <w:rsid w:val="00CE3ED4"/>
    <w:rsid w:val="00D051A3"/>
    <w:rsid w:val="00D96E97"/>
    <w:rsid w:val="00D977D7"/>
    <w:rsid w:val="00DA743A"/>
    <w:rsid w:val="00DE32E6"/>
    <w:rsid w:val="00E12803"/>
    <w:rsid w:val="00E2675E"/>
    <w:rsid w:val="00E86F12"/>
    <w:rsid w:val="00EF027B"/>
    <w:rsid w:val="00EF549A"/>
    <w:rsid w:val="00F117E4"/>
    <w:rsid w:val="00F2792A"/>
    <w:rsid w:val="00F716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5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FB4"/>
    <w:pPr>
      <w:autoSpaceDE w:val="0"/>
      <w:autoSpaceDN w:val="0"/>
    </w:pPr>
    <w:rPr>
      <w:rFonts w:ascii="Times New Roman" w:eastAsia="Times New Roman" w:hAnsi="Times New Roman" w:cs="Times New Roman"/>
    </w:rPr>
  </w:style>
  <w:style w:type="paragraph" w:styleId="Heading1">
    <w:name w:val="heading 1"/>
    <w:basedOn w:val="Normal"/>
    <w:next w:val="Normal"/>
    <w:link w:val="Heading1Char"/>
    <w:qFormat/>
    <w:rsid w:val="002E4FB4"/>
    <w:pPr>
      <w:jc w:val="center"/>
      <w:outlineLvl w:val="0"/>
    </w:pPr>
    <w:rPr>
      <w:rFonts w:ascii="Arial" w:hAnsi="Arial" w:cs="Arial"/>
      <w:b/>
      <w:bCs/>
      <w:sz w:val="22"/>
      <w:szCs w:val="22"/>
    </w:rPr>
  </w:style>
  <w:style w:type="paragraph" w:styleId="Heading2">
    <w:name w:val="heading 2"/>
    <w:basedOn w:val="Normal"/>
    <w:next w:val="Normal"/>
    <w:link w:val="Heading2Char"/>
    <w:qFormat/>
    <w:rsid w:val="002E4FB4"/>
    <w:pPr>
      <w:keepNext/>
      <w:jc w:val="center"/>
      <w:outlineLvl w:val="1"/>
    </w:pPr>
    <w:rPr>
      <w:rFonts w:ascii="Arial" w:hAnsi="Arial" w:cs="Arial"/>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4FB4"/>
    <w:rPr>
      <w:rFonts w:ascii="Arial" w:eastAsia="Times New Roman" w:hAnsi="Arial" w:cs="Arial"/>
      <w:b/>
      <w:bCs/>
      <w:sz w:val="22"/>
      <w:szCs w:val="22"/>
    </w:rPr>
  </w:style>
  <w:style w:type="character" w:customStyle="1" w:styleId="Heading2Char">
    <w:name w:val="Heading 2 Char"/>
    <w:basedOn w:val="DefaultParagraphFont"/>
    <w:link w:val="Heading2"/>
    <w:rsid w:val="002E4FB4"/>
    <w:rPr>
      <w:rFonts w:ascii="Arial" w:eastAsia="Times New Roman" w:hAnsi="Arial" w:cs="Arial"/>
      <w:b/>
      <w:bCs/>
      <w:sz w:val="28"/>
      <w:szCs w:val="28"/>
    </w:rPr>
  </w:style>
  <w:style w:type="paragraph" w:styleId="ListBullet">
    <w:name w:val="List Bullet"/>
    <w:basedOn w:val="Normal"/>
    <w:autoRedefine/>
    <w:rsid w:val="002E4FB4"/>
    <w:pPr>
      <w:numPr>
        <w:numId w:val="1"/>
      </w:numPr>
    </w:pPr>
    <w:rPr>
      <w:rFonts w:ascii="Times" w:hAnsi="Times" w:cs="Times"/>
    </w:rPr>
  </w:style>
  <w:style w:type="paragraph" w:styleId="ListBullet2">
    <w:name w:val="List Bullet 2"/>
    <w:basedOn w:val="Normal"/>
    <w:autoRedefine/>
    <w:rsid w:val="002E4FB4"/>
    <w:pPr>
      <w:numPr>
        <w:numId w:val="2"/>
      </w:numPr>
    </w:pPr>
    <w:rPr>
      <w:rFonts w:ascii="Times" w:hAnsi="Times" w:cs="Times"/>
    </w:rPr>
  </w:style>
  <w:style w:type="paragraph" w:styleId="ListBullet3">
    <w:name w:val="List Bullet 3"/>
    <w:basedOn w:val="Normal"/>
    <w:autoRedefine/>
    <w:rsid w:val="002E4FB4"/>
    <w:pPr>
      <w:numPr>
        <w:numId w:val="3"/>
      </w:numPr>
    </w:pPr>
    <w:rPr>
      <w:rFonts w:ascii="Times" w:hAnsi="Times" w:cs="Times"/>
    </w:rPr>
  </w:style>
  <w:style w:type="paragraph" w:styleId="ListBullet4">
    <w:name w:val="List Bullet 4"/>
    <w:basedOn w:val="Normal"/>
    <w:autoRedefine/>
    <w:rsid w:val="002E4FB4"/>
    <w:pPr>
      <w:numPr>
        <w:numId w:val="4"/>
      </w:numPr>
    </w:pPr>
    <w:rPr>
      <w:rFonts w:ascii="Times" w:hAnsi="Times" w:cs="Times"/>
    </w:rPr>
  </w:style>
  <w:style w:type="paragraph" w:styleId="ListBullet5">
    <w:name w:val="List Bullet 5"/>
    <w:basedOn w:val="Normal"/>
    <w:autoRedefine/>
    <w:rsid w:val="002E4FB4"/>
    <w:pPr>
      <w:numPr>
        <w:numId w:val="5"/>
      </w:numPr>
    </w:pPr>
    <w:rPr>
      <w:rFonts w:ascii="Times" w:hAnsi="Times" w:cs="Times"/>
    </w:rPr>
  </w:style>
  <w:style w:type="paragraph" w:styleId="ListNumber">
    <w:name w:val="List Number"/>
    <w:basedOn w:val="Normal"/>
    <w:rsid w:val="002E4FB4"/>
    <w:pPr>
      <w:numPr>
        <w:numId w:val="6"/>
      </w:numPr>
    </w:pPr>
    <w:rPr>
      <w:rFonts w:ascii="Times" w:hAnsi="Times" w:cs="Times"/>
    </w:rPr>
  </w:style>
  <w:style w:type="paragraph" w:styleId="ListNumber2">
    <w:name w:val="List Number 2"/>
    <w:basedOn w:val="Normal"/>
    <w:rsid w:val="002E4FB4"/>
    <w:pPr>
      <w:numPr>
        <w:numId w:val="7"/>
      </w:numPr>
    </w:pPr>
    <w:rPr>
      <w:rFonts w:ascii="Times" w:hAnsi="Times" w:cs="Times"/>
    </w:rPr>
  </w:style>
  <w:style w:type="paragraph" w:styleId="ListNumber3">
    <w:name w:val="List Number 3"/>
    <w:basedOn w:val="Normal"/>
    <w:rsid w:val="002E4FB4"/>
    <w:pPr>
      <w:numPr>
        <w:numId w:val="8"/>
      </w:numPr>
    </w:pPr>
    <w:rPr>
      <w:rFonts w:ascii="Times" w:hAnsi="Times" w:cs="Times"/>
    </w:rPr>
  </w:style>
  <w:style w:type="paragraph" w:styleId="ListNumber4">
    <w:name w:val="List Number 4"/>
    <w:basedOn w:val="Normal"/>
    <w:rsid w:val="002E4FB4"/>
    <w:pPr>
      <w:numPr>
        <w:numId w:val="9"/>
      </w:numPr>
    </w:pPr>
    <w:rPr>
      <w:rFonts w:ascii="Times" w:hAnsi="Times" w:cs="Times"/>
    </w:rPr>
  </w:style>
  <w:style w:type="paragraph" w:styleId="ListNumber5">
    <w:name w:val="List Number 5"/>
    <w:basedOn w:val="Normal"/>
    <w:rsid w:val="002E4FB4"/>
    <w:pPr>
      <w:numPr>
        <w:numId w:val="10"/>
      </w:numPr>
    </w:pPr>
    <w:rPr>
      <w:rFonts w:ascii="Times" w:hAnsi="Times" w:cs="Times"/>
    </w:rPr>
  </w:style>
  <w:style w:type="paragraph" w:customStyle="1" w:styleId="QuickA">
    <w:name w:val="Quick A."/>
    <w:basedOn w:val="Normal"/>
    <w:rsid w:val="002E4FB4"/>
    <w:pPr>
      <w:widowControl w:val="0"/>
      <w:numPr>
        <w:numId w:val="14"/>
      </w:numPr>
      <w:ind w:hanging="720"/>
    </w:pPr>
  </w:style>
  <w:style w:type="paragraph" w:customStyle="1" w:styleId="ReminderList1">
    <w:name w:val="Reminder List 1"/>
    <w:basedOn w:val="Normal"/>
    <w:rsid w:val="002E4FB4"/>
    <w:pPr>
      <w:numPr>
        <w:numId w:val="12"/>
      </w:numPr>
      <w:tabs>
        <w:tab w:val="left" w:pos="360"/>
      </w:tabs>
      <w:spacing w:after="120" w:line="260" w:lineRule="atLeast"/>
      <w:ind w:left="360"/>
    </w:pPr>
    <w:rPr>
      <w:rFonts w:ascii="Helvetica" w:hAnsi="Helvetica" w:cs="Helvetica"/>
      <w:b/>
      <w:bCs/>
      <w:color w:val="000000"/>
      <w:sz w:val="22"/>
      <w:szCs w:val="22"/>
    </w:rPr>
  </w:style>
  <w:style w:type="paragraph" w:customStyle="1" w:styleId="ReminderList2">
    <w:name w:val="Reminder List 2"/>
    <w:basedOn w:val="Normal"/>
    <w:rsid w:val="002E4FB4"/>
    <w:pPr>
      <w:numPr>
        <w:numId w:val="11"/>
      </w:numPr>
      <w:tabs>
        <w:tab w:val="left" w:pos="720"/>
      </w:tabs>
      <w:spacing w:after="60" w:line="260" w:lineRule="atLeast"/>
      <w:ind w:left="749"/>
    </w:pPr>
    <w:rPr>
      <w:rFonts w:ascii="Helvetica" w:hAnsi="Helvetica" w:cs="Helvetica"/>
      <w:color w:val="000000"/>
      <w:sz w:val="22"/>
      <w:szCs w:val="22"/>
    </w:rPr>
  </w:style>
  <w:style w:type="paragraph" w:customStyle="1" w:styleId="ReminderList3">
    <w:name w:val="Reminder List 3"/>
    <w:basedOn w:val="Normal"/>
    <w:rsid w:val="002E4FB4"/>
    <w:pPr>
      <w:numPr>
        <w:numId w:val="13"/>
      </w:numPr>
      <w:tabs>
        <w:tab w:val="left" w:pos="1080"/>
      </w:tabs>
      <w:spacing w:after="60"/>
      <w:ind w:left="1080"/>
    </w:pPr>
    <w:rPr>
      <w:rFonts w:ascii="Helvetica" w:hAnsi="Helvetica" w:cs="Helvetica"/>
      <w:sz w:val="22"/>
      <w:szCs w:val="22"/>
    </w:rPr>
  </w:style>
  <w:style w:type="paragraph" w:styleId="BodyTextIndent">
    <w:name w:val="Body Text Indent"/>
    <w:basedOn w:val="Normal"/>
    <w:link w:val="BodyTextIndentChar"/>
    <w:rsid w:val="002E4FB4"/>
    <w:pPr>
      <w:ind w:left="720"/>
      <w:jc w:val="both"/>
    </w:pPr>
    <w:rPr>
      <w:rFonts w:ascii="Arial" w:hAnsi="Arial" w:cs="Arial"/>
      <w:color w:val="FF0000"/>
      <w:sz w:val="20"/>
      <w:szCs w:val="20"/>
    </w:rPr>
  </w:style>
  <w:style w:type="character" w:customStyle="1" w:styleId="BodyTextIndentChar">
    <w:name w:val="Body Text Indent Char"/>
    <w:basedOn w:val="DefaultParagraphFont"/>
    <w:link w:val="BodyTextIndent"/>
    <w:rsid w:val="002E4FB4"/>
    <w:rPr>
      <w:rFonts w:ascii="Arial" w:eastAsia="Times New Roman" w:hAnsi="Arial" w:cs="Arial"/>
      <w:color w:val="FF0000"/>
      <w:sz w:val="20"/>
      <w:szCs w:val="20"/>
    </w:rPr>
  </w:style>
  <w:style w:type="paragraph" w:styleId="NormalWeb">
    <w:name w:val="Normal (Web)"/>
    <w:basedOn w:val="Normal"/>
    <w:rsid w:val="002E4FB4"/>
    <w:pPr>
      <w:autoSpaceDE/>
      <w:autoSpaceDN/>
      <w:spacing w:before="100" w:beforeAutospacing="1" w:after="100" w:afterAutospacing="1"/>
    </w:pPr>
    <w:rPr>
      <w:rFonts w:ascii="Arial" w:eastAsia="Arial Unicode MS" w:hAnsi="Arial"/>
    </w:rPr>
  </w:style>
  <w:style w:type="paragraph" w:styleId="Header">
    <w:name w:val="header"/>
    <w:basedOn w:val="Normal"/>
    <w:link w:val="HeaderChar"/>
    <w:rsid w:val="002E4FB4"/>
    <w:pPr>
      <w:tabs>
        <w:tab w:val="center" w:pos="4320"/>
        <w:tab w:val="right" w:pos="8640"/>
      </w:tabs>
    </w:pPr>
  </w:style>
  <w:style w:type="character" w:customStyle="1" w:styleId="HeaderChar">
    <w:name w:val="Header Char"/>
    <w:basedOn w:val="DefaultParagraphFont"/>
    <w:link w:val="Header"/>
    <w:rsid w:val="002E4FB4"/>
    <w:rPr>
      <w:rFonts w:ascii="Times New Roman" w:eastAsia="Times New Roman" w:hAnsi="Times New Roman" w:cs="Times New Roman"/>
    </w:rPr>
  </w:style>
  <w:style w:type="paragraph" w:customStyle="1" w:styleId="DataField10pt">
    <w:name w:val="Data Field 10pt"/>
    <w:basedOn w:val="Normal"/>
    <w:rsid w:val="002E4FB4"/>
    <w:rPr>
      <w:rFonts w:ascii="Arial" w:hAnsi="Arial" w:cs="Arial"/>
      <w:sz w:val="20"/>
      <w:szCs w:val="20"/>
    </w:rPr>
  </w:style>
  <w:style w:type="paragraph" w:customStyle="1" w:styleId="DataField11pt-Single">
    <w:name w:val="Data Field 11pt-Single"/>
    <w:basedOn w:val="Normal"/>
    <w:link w:val="DataField11pt-SingleChar"/>
    <w:rsid w:val="002E4FB4"/>
    <w:rPr>
      <w:rFonts w:ascii="Arial" w:hAnsi="Arial" w:cs="Arial"/>
      <w:sz w:val="22"/>
      <w:szCs w:val="20"/>
    </w:rPr>
  </w:style>
  <w:style w:type="paragraph" w:styleId="Footer">
    <w:name w:val="footer"/>
    <w:basedOn w:val="Normal"/>
    <w:link w:val="FooterChar"/>
    <w:rsid w:val="002E4FB4"/>
    <w:pPr>
      <w:tabs>
        <w:tab w:val="center" w:pos="4320"/>
        <w:tab w:val="right" w:pos="8640"/>
      </w:tabs>
    </w:pPr>
  </w:style>
  <w:style w:type="character" w:customStyle="1" w:styleId="FooterChar">
    <w:name w:val="Footer Char"/>
    <w:basedOn w:val="DefaultParagraphFont"/>
    <w:link w:val="Footer"/>
    <w:rsid w:val="002E4FB4"/>
    <w:rPr>
      <w:rFonts w:ascii="Times New Roman" w:eastAsia="Times New Roman" w:hAnsi="Times New Roman" w:cs="Times New Roman"/>
    </w:rPr>
  </w:style>
  <w:style w:type="character" w:styleId="PageNumber">
    <w:name w:val="page number"/>
    <w:basedOn w:val="DefaultParagraphFont"/>
    <w:rsid w:val="002E4FB4"/>
    <w:rPr>
      <w:rFonts w:ascii="Arial" w:hAnsi="Arial"/>
      <w:sz w:val="20"/>
      <w:u w:val="single"/>
    </w:rPr>
  </w:style>
  <w:style w:type="paragraph" w:customStyle="1" w:styleId="FormFooter">
    <w:name w:val="Form Footer"/>
    <w:basedOn w:val="Normal"/>
    <w:rsid w:val="002E4FB4"/>
    <w:pPr>
      <w:tabs>
        <w:tab w:val="center" w:pos="5328"/>
        <w:tab w:val="right" w:pos="10728"/>
      </w:tabs>
      <w:ind w:left="58"/>
    </w:pPr>
    <w:rPr>
      <w:rFonts w:ascii="Arial" w:hAnsi="Arial" w:cs="Arial"/>
      <w:sz w:val="16"/>
      <w:szCs w:val="16"/>
    </w:rPr>
  </w:style>
  <w:style w:type="paragraph" w:customStyle="1" w:styleId="FormFooterBorder">
    <w:name w:val="FormFooter/Border"/>
    <w:basedOn w:val="Footer"/>
    <w:rsid w:val="002E4FB4"/>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rsid w:val="002E4FB4"/>
    <w:pPr>
      <w:spacing w:before="40" w:after="40"/>
      <w:jc w:val="center"/>
    </w:pPr>
    <w:rPr>
      <w:rFonts w:ascii="Arial" w:hAnsi="Arial" w:cs="Arial"/>
      <w:i/>
      <w:iCs/>
      <w:sz w:val="16"/>
      <w:szCs w:val="16"/>
    </w:rPr>
  </w:style>
  <w:style w:type="paragraph" w:customStyle="1" w:styleId="NameofApplicant">
    <w:name w:val="Name of Applicant"/>
    <w:basedOn w:val="Normal"/>
    <w:rsid w:val="002E4FB4"/>
    <w:rPr>
      <w:rFonts w:ascii="Arial" w:hAnsi="Arial" w:cs="Arial"/>
      <w:sz w:val="16"/>
      <w:szCs w:val="15"/>
    </w:rPr>
  </w:style>
  <w:style w:type="paragraph" w:customStyle="1" w:styleId="Arial10BoldText">
    <w:name w:val="Arial10BoldText"/>
    <w:basedOn w:val="Normal"/>
    <w:rsid w:val="002E4FB4"/>
    <w:pPr>
      <w:spacing w:before="20" w:after="20"/>
    </w:pPr>
    <w:rPr>
      <w:rFonts w:ascii="Arial" w:hAnsi="Arial" w:cs="Arial"/>
      <w:b/>
      <w:bCs/>
      <w:sz w:val="20"/>
      <w:szCs w:val="20"/>
    </w:rPr>
  </w:style>
  <w:style w:type="paragraph" w:customStyle="1" w:styleId="FormFieldCaption">
    <w:name w:val="Form Field Caption"/>
    <w:basedOn w:val="Normal"/>
    <w:rsid w:val="002E4FB4"/>
    <w:pPr>
      <w:tabs>
        <w:tab w:val="left" w:pos="270"/>
      </w:tabs>
    </w:pPr>
    <w:rPr>
      <w:rFonts w:ascii="Arial" w:hAnsi="Arial" w:cs="Arial"/>
      <w:sz w:val="16"/>
      <w:szCs w:val="16"/>
    </w:rPr>
  </w:style>
  <w:style w:type="paragraph" w:customStyle="1" w:styleId="FormFieldCaption7pt">
    <w:name w:val="Form Field Caption 7pt"/>
    <w:basedOn w:val="Normal"/>
    <w:rsid w:val="002E4FB4"/>
    <w:pPr>
      <w:tabs>
        <w:tab w:val="left" w:pos="252"/>
      </w:tabs>
    </w:pPr>
    <w:rPr>
      <w:rFonts w:ascii="Arial" w:hAnsi="Arial" w:cs="Arial"/>
      <w:sz w:val="14"/>
      <w:szCs w:val="14"/>
    </w:rPr>
  </w:style>
  <w:style w:type="paragraph" w:customStyle="1" w:styleId="PIHeader">
    <w:name w:val="PI Header"/>
    <w:basedOn w:val="Normal"/>
    <w:rsid w:val="002E4FB4"/>
    <w:pPr>
      <w:spacing w:after="40"/>
      <w:ind w:left="864"/>
    </w:pPr>
    <w:rPr>
      <w:rFonts w:ascii="Arial" w:hAnsi="Arial" w:cs="Arial"/>
      <w:noProof/>
      <w:sz w:val="16"/>
      <w:szCs w:val="20"/>
    </w:rPr>
  </w:style>
  <w:style w:type="character" w:customStyle="1" w:styleId="DataField11pt-SingleChar">
    <w:name w:val="Data Field 11pt-Single Char"/>
    <w:basedOn w:val="DefaultParagraphFont"/>
    <w:link w:val="DataField11pt-Single"/>
    <w:rsid w:val="002E4FB4"/>
    <w:rPr>
      <w:rFonts w:ascii="Arial" w:eastAsia="Times New Roman" w:hAnsi="Arial" w:cs="Arial"/>
      <w:sz w:val="22"/>
      <w:szCs w:val="20"/>
    </w:rPr>
  </w:style>
  <w:style w:type="paragraph" w:customStyle="1" w:styleId="HeadNoteNotItalics">
    <w:name w:val="HeadNoteNotItalics"/>
    <w:basedOn w:val="HeadingNote"/>
    <w:rsid w:val="002E4FB4"/>
    <w:rPr>
      <w:i w:val="0"/>
    </w:rPr>
  </w:style>
  <w:style w:type="paragraph" w:styleId="ListParagraph">
    <w:name w:val="List Paragraph"/>
    <w:basedOn w:val="Normal"/>
    <w:uiPriority w:val="34"/>
    <w:rsid w:val="00A302EA"/>
    <w:pPr>
      <w:ind w:left="720"/>
      <w:contextualSpacing/>
    </w:pPr>
    <w:rPr>
      <w:rFonts w:cs="Arial"/>
    </w:rPr>
  </w:style>
  <w:style w:type="paragraph" w:customStyle="1" w:styleId="PANormalLevelIA">
    <w:name w:val="PA Normal Level I/A"/>
    <w:rsid w:val="00A302EA"/>
    <w:pPr>
      <w:snapToGrid w:val="0"/>
    </w:pPr>
  </w:style>
  <w:style w:type="paragraph" w:customStyle="1" w:styleId="panormalleveliacxspmiddle">
    <w:name w:val="panormalleveliacxspmiddle"/>
    <w:basedOn w:val="Normal"/>
    <w:rsid w:val="00A302EA"/>
    <w:pPr>
      <w:autoSpaceDE/>
      <w:autoSpaceDN/>
      <w:spacing w:beforeLines="1" w:afterLines="1"/>
    </w:pPr>
    <w:rPr>
      <w:rFonts w:ascii="Times" w:eastAsiaTheme="minorEastAsia" w:hAnsi="Times" w:cs="Arial"/>
      <w:sz w:val="20"/>
      <w:szCs w:val="20"/>
    </w:rPr>
  </w:style>
  <w:style w:type="paragraph" w:customStyle="1" w:styleId="panormalleveliacxsplast">
    <w:name w:val="panormalleveliacxsplast"/>
    <w:basedOn w:val="Normal"/>
    <w:rsid w:val="00A302EA"/>
    <w:pPr>
      <w:autoSpaceDE/>
      <w:autoSpaceDN/>
      <w:spacing w:beforeLines="1" w:afterLines="1"/>
    </w:pPr>
    <w:rPr>
      <w:rFonts w:ascii="Times" w:eastAsiaTheme="minorEastAsia" w:hAnsi="Times" w:cs="Arial"/>
      <w:sz w:val="20"/>
      <w:szCs w:val="20"/>
    </w:rPr>
  </w:style>
  <w:style w:type="character" w:styleId="Strong">
    <w:name w:val="Strong"/>
    <w:basedOn w:val="DefaultParagraphFont"/>
    <w:uiPriority w:val="22"/>
    <w:qFormat/>
    <w:rsid w:val="00A302EA"/>
    <w:rPr>
      <w:b/>
      <w:bCs/>
    </w:rPr>
  </w:style>
  <w:style w:type="paragraph" w:customStyle="1" w:styleId="Default">
    <w:name w:val="Default"/>
    <w:rsid w:val="003F5CA4"/>
    <w:pPr>
      <w:suppressAutoHyphens/>
    </w:pPr>
    <w:rPr>
      <w:rFonts w:ascii="Arial" w:eastAsia="ヒラギノ角ゴ Pro W3" w:hAnsi="Arial" w:cs="Times New Roman"/>
      <w:color w:val="000000"/>
      <w:sz w:val="22"/>
      <w:szCs w:val="20"/>
    </w:rPr>
  </w:style>
  <w:style w:type="paragraph" w:styleId="BalloonText">
    <w:name w:val="Balloon Text"/>
    <w:basedOn w:val="Normal"/>
    <w:link w:val="BalloonTextChar"/>
    <w:uiPriority w:val="99"/>
    <w:semiHidden/>
    <w:unhideWhenUsed/>
    <w:rsid w:val="008312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120B"/>
    <w:rPr>
      <w:rFonts w:ascii="Lucida Grande" w:eastAsia="Times New Roman" w:hAnsi="Lucida Grande" w:cs="Lucida Grande"/>
      <w:sz w:val="18"/>
      <w:szCs w:val="18"/>
    </w:rPr>
  </w:style>
  <w:style w:type="paragraph" w:customStyle="1" w:styleId="Subtitle2">
    <w:name w:val="Subtitle 2"/>
    <w:rsid w:val="000555DC"/>
    <w:pPr>
      <w:keepNext/>
      <w:spacing w:before="240"/>
    </w:pPr>
    <w:rPr>
      <w:rFonts w:ascii="Arial" w:eastAsia="ヒラギノ角ゴ Pro W3" w:hAnsi="Arial" w:cs="Times New Roman"/>
      <w:b/>
      <w:color w:val="000000"/>
      <w:sz w:val="22"/>
      <w:szCs w:val="20"/>
      <w:u w:val="single"/>
    </w:rPr>
  </w:style>
  <w:style w:type="character" w:styleId="Hyperlink">
    <w:name w:val="Hyperlink"/>
    <w:basedOn w:val="DefaultParagraphFont"/>
    <w:uiPriority w:val="99"/>
    <w:unhideWhenUsed/>
    <w:rsid w:val="0040165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FB4"/>
    <w:pPr>
      <w:autoSpaceDE w:val="0"/>
      <w:autoSpaceDN w:val="0"/>
    </w:pPr>
    <w:rPr>
      <w:rFonts w:ascii="Times New Roman" w:eastAsia="Times New Roman" w:hAnsi="Times New Roman" w:cs="Times New Roman"/>
    </w:rPr>
  </w:style>
  <w:style w:type="paragraph" w:styleId="Heading1">
    <w:name w:val="heading 1"/>
    <w:basedOn w:val="Normal"/>
    <w:next w:val="Normal"/>
    <w:link w:val="Heading1Char"/>
    <w:qFormat/>
    <w:rsid w:val="002E4FB4"/>
    <w:pPr>
      <w:jc w:val="center"/>
      <w:outlineLvl w:val="0"/>
    </w:pPr>
    <w:rPr>
      <w:rFonts w:ascii="Arial" w:hAnsi="Arial" w:cs="Arial"/>
      <w:b/>
      <w:bCs/>
      <w:sz w:val="22"/>
      <w:szCs w:val="22"/>
    </w:rPr>
  </w:style>
  <w:style w:type="paragraph" w:styleId="Heading2">
    <w:name w:val="heading 2"/>
    <w:basedOn w:val="Normal"/>
    <w:next w:val="Normal"/>
    <w:link w:val="Heading2Char"/>
    <w:qFormat/>
    <w:rsid w:val="002E4FB4"/>
    <w:pPr>
      <w:keepNext/>
      <w:jc w:val="center"/>
      <w:outlineLvl w:val="1"/>
    </w:pPr>
    <w:rPr>
      <w:rFonts w:ascii="Arial" w:hAnsi="Arial" w:cs="Arial"/>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4FB4"/>
    <w:rPr>
      <w:rFonts w:ascii="Arial" w:eastAsia="Times New Roman" w:hAnsi="Arial" w:cs="Arial"/>
      <w:b/>
      <w:bCs/>
      <w:sz w:val="22"/>
      <w:szCs w:val="22"/>
    </w:rPr>
  </w:style>
  <w:style w:type="character" w:customStyle="1" w:styleId="Heading2Char">
    <w:name w:val="Heading 2 Char"/>
    <w:basedOn w:val="DefaultParagraphFont"/>
    <w:link w:val="Heading2"/>
    <w:rsid w:val="002E4FB4"/>
    <w:rPr>
      <w:rFonts w:ascii="Arial" w:eastAsia="Times New Roman" w:hAnsi="Arial" w:cs="Arial"/>
      <w:b/>
      <w:bCs/>
      <w:sz w:val="28"/>
      <w:szCs w:val="28"/>
    </w:rPr>
  </w:style>
  <w:style w:type="paragraph" w:styleId="ListBullet">
    <w:name w:val="List Bullet"/>
    <w:basedOn w:val="Normal"/>
    <w:autoRedefine/>
    <w:rsid w:val="002E4FB4"/>
    <w:pPr>
      <w:numPr>
        <w:numId w:val="1"/>
      </w:numPr>
    </w:pPr>
    <w:rPr>
      <w:rFonts w:ascii="Times" w:hAnsi="Times" w:cs="Times"/>
    </w:rPr>
  </w:style>
  <w:style w:type="paragraph" w:styleId="ListBullet2">
    <w:name w:val="List Bullet 2"/>
    <w:basedOn w:val="Normal"/>
    <w:autoRedefine/>
    <w:rsid w:val="002E4FB4"/>
    <w:pPr>
      <w:numPr>
        <w:numId w:val="2"/>
      </w:numPr>
    </w:pPr>
    <w:rPr>
      <w:rFonts w:ascii="Times" w:hAnsi="Times" w:cs="Times"/>
    </w:rPr>
  </w:style>
  <w:style w:type="paragraph" w:styleId="ListBullet3">
    <w:name w:val="List Bullet 3"/>
    <w:basedOn w:val="Normal"/>
    <w:autoRedefine/>
    <w:rsid w:val="002E4FB4"/>
    <w:pPr>
      <w:numPr>
        <w:numId w:val="3"/>
      </w:numPr>
    </w:pPr>
    <w:rPr>
      <w:rFonts w:ascii="Times" w:hAnsi="Times" w:cs="Times"/>
    </w:rPr>
  </w:style>
  <w:style w:type="paragraph" w:styleId="ListBullet4">
    <w:name w:val="List Bullet 4"/>
    <w:basedOn w:val="Normal"/>
    <w:autoRedefine/>
    <w:rsid w:val="002E4FB4"/>
    <w:pPr>
      <w:numPr>
        <w:numId w:val="4"/>
      </w:numPr>
    </w:pPr>
    <w:rPr>
      <w:rFonts w:ascii="Times" w:hAnsi="Times" w:cs="Times"/>
    </w:rPr>
  </w:style>
  <w:style w:type="paragraph" w:styleId="ListBullet5">
    <w:name w:val="List Bullet 5"/>
    <w:basedOn w:val="Normal"/>
    <w:autoRedefine/>
    <w:rsid w:val="002E4FB4"/>
    <w:pPr>
      <w:numPr>
        <w:numId w:val="5"/>
      </w:numPr>
    </w:pPr>
    <w:rPr>
      <w:rFonts w:ascii="Times" w:hAnsi="Times" w:cs="Times"/>
    </w:rPr>
  </w:style>
  <w:style w:type="paragraph" w:styleId="ListNumber">
    <w:name w:val="List Number"/>
    <w:basedOn w:val="Normal"/>
    <w:rsid w:val="002E4FB4"/>
    <w:pPr>
      <w:numPr>
        <w:numId w:val="6"/>
      </w:numPr>
    </w:pPr>
    <w:rPr>
      <w:rFonts w:ascii="Times" w:hAnsi="Times" w:cs="Times"/>
    </w:rPr>
  </w:style>
  <w:style w:type="paragraph" w:styleId="ListNumber2">
    <w:name w:val="List Number 2"/>
    <w:basedOn w:val="Normal"/>
    <w:rsid w:val="002E4FB4"/>
    <w:pPr>
      <w:numPr>
        <w:numId w:val="7"/>
      </w:numPr>
    </w:pPr>
    <w:rPr>
      <w:rFonts w:ascii="Times" w:hAnsi="Times" w:cs="Times"/>
    </w:rPr>
  </w:style>
  <w:style w:type="paragraph" w:styleId="ListNumber3">
    <w:name w:val="List Number 3"/>
    <w:basedOn w:val="Normal"/>
    <w:rsid w:val="002E4FB4"/>
    <w:pPr>
      <w:numPr>
        <w:numId w:val="8"/>
      </w:numPr>
    </w:pPr>
    <w:rPr>
      <w:rFonts w:ascii="Times" w:hAnsi="Times" w:cs="Times"/>
    </w:rPr>
  </w:style>
  <w:style w:type="paragraph" w:styleId="ListNumber4">
    <w:name w:val="List Number 4"/>
    <w:basedOn w:val="Normal"/>
    <w:rsid w:val="002E4FB4"/>
    <w:pPr>
      <w:numPr>
        <w:numId w:val="9"/>
      </w:numPr>
    </w:pPr>
    <w:rPr>
      <w:rFonts w:ascii="Times" w:hAnsi="Times" w:cs="Times"/>
    </w:rPr>
  </w:style>
  <w:style w:type="paragraph" w:styleId="ListNumber5">
    <w:name w:val="List Number 5"/>
    <w:basedOn w:val="Normal"/>
    <w:rsid w:val="002E4FB4"/>
    <w:pPr>
      <w:numPr>
        <w:numId w:val="10"/>
      </w:numPr>
    </w:pPr>
    <w:rPr>
      <w:rFonts w:ascii="Times" w:hAnsi="Times" w:cs="Times"/>
    </w:rPr>
  </w:style>
  <w:style w:type="paragraph" w:customStyle="1" w:styleId="QuickA">
    <w:name w:val="Quick A."/>
    <w:basedOn w:val="Normal"/>
    <w:rsid w:val="002E4FB4"/>
    <w:pPr>
      <w:widowControl w:val="0"/>
      <w:numPr>
        <w:numId w:val="14"/>
      </w:numPr>
      <w:ind w:hanging="720"/>
    </w:pPr>
  </w:style>
  <w:style w:type="paragraph" w:customStyle="1" w:styleId="ReminderList1">
    <w:name w:val="Reminder List 1"/>
    <w:basedOn w:val="Normal"/>
    <w:rsid w:val="002E4FB4"/>
    <w:pPr>
      <w:numPr>
        <w:numId w:val="12"/>
      </w:numPr>
      <w:tabs>
        <w:tab w:val="left" w:pos="360"/>
      </w:tabs>
      <w:spacing w:after="120" w:line="260" w:lineRule="atLeast"/>
      <w:ind w:left="360"/>
    </w:pPr>
    <w:rPr>
      <w:rFonts w:ascii="Helvetica" w:hAnsi="Helvetica" w:cs="Helvetica"/>
      <w:b/>
      <w:bCs/>
      <w:color w:val="000000"/>
      <w:sz w:val="22"/>
      <w:szCs w:val="22"/>
    </w:rPr>
  </w:style>
  <w:style w:type="paragraph" w:customStyle="1" w:styleId="ReminderList2">
    <w:name w:val="Reminder List 2"/>
    <w:basedOn w:val="Normal"/>
    <w:rsid w:val="002E4FB4"/>
    <w:pPr>
      <w:numPr>
        <w:numId w:val="11"/>
      </w:numPr>
      <w:tabs>
        <w:tab w:val="left" w:pos="720"/>
      </w:tabs>
      <w:spacing w:after="60" w:line="260" w:lineRule="atLeast"/>
      <w:ind w:left="749"/>
    </w:pPr>
    <w:rPr>
      <w:rFonts w:ascii="Helvetica" w:hAnsi="Helvetica" w:cs="Helvetica"/>
      <w:color w:val="000000"/>
      <w:sz w:val="22"/>
      <w:szCs w:val="22"/>
    </w:rPr>
  </w:style>
  <w:style w:type="paragraph" w:customStyle="1" w:styleId="ReminderList3">
    <w:name w:val="Reminder List 3"/>
    <w:basedOn w:val="Normal"/>
    <w:rsid w:val="002E4FB4"/>
    <w:pPr>
      <w:numPr>
        <w:numId w:val="13"/>
      </w:numPr>
      <w:tabs>
        <w:tab w:val="left" w:pos="1080"/>
      </w:tabs>
      <w:spacing w:after="60"/>
      <w:ind w:left="1080"/>
    </w:pPr>
    <w:rPr>
      <w:rFonts w:ascii="Helvetica" w:hAnsi="Helvetica" w:cs="Helvetica"/>
      <w:sz w:val="22"/>
      <w:szCs w:val="22"/>
    </w:rPr>
  </w:style>
  <w:style w:type="paragraph" w:styleId="BodyTextIndent">
    <w:name w:val="Body Text Indent"/>
    <w:basedOn w:val="Normal"/>
    <w:link w:val="BodyTextIndentChar"/>
    <w:rsid w:val="002E4FB4"/>
    <w:pPr>
      <w:ind w:left="720"/>
      <w:jc w:val="both"/>
    </w:pPr>
    <w:rPr>
      <w:rFonts w:ascii="Arial" w:hAnsi="Arial" w:cs="Arial"/>
      <w:color w:val="FF0000"/>
      <w:sz w:val="20"/>
      <w:szCs w:val="20"/>
    </w:rPr>
  </w:style>
  <w:style w:type="character" w:customStyle="1" w:styleId="BodyTextIndentChar">
    <w:name w:val="Body Text Indent Char"/>
    <w:basedOn w:val="DefaultParagraphFont"/>
    <w:link w:val="BodyTextIndent"/>
    <w:rsid w:val="002E4FB4"/>
    <w:rPr>
      <w:rFonts w:ascii="Arial" w:eastAsia="Times New Roman" w:hAnsi="Arial" w:cs="Arial"/>
      <w:color w:val="FF0000"/>
      <w:sz w:val="20"/>
      <w:szCs w:val="20"/>
    </w:rPr>
  </w:style>
  <w:style w:type="paragraph" w:styleId="NormalWeb">
    <w:name w:val="Normal (Web)"/>
    <w:basedOn w:val="Normal"/>
    <w:rsid w:val="002E4FB4"/>
    <w:pPr>
      <w:autoSpaceDE/>
      <w:autoSpaceDN/>
      <w:spacing w:before="100" w:beforeAutospacing="1" w:after="100" w:afterAutospacing="1"/>
    </w:pPr>
    <w:rPr>
      <w:rFonts w:ascii="Arial" w:eastAsia="Arial Unicode MS" w:hAnsi="Arial"/>
    </w:rPr>
  </w:style>
  <w:style w:type="paragraph" w:styleId="Header">
    <w:name w:val="header"/>
    <w:basedOn w:val="Normal"/>
    <w:link w:val="HeaderChar"/>
    <w:rsid w:val="002E4FB4"/>
    <w:pPr>
      <w:tabs>
        <w:tab w:val="center" w:pos="4320"/>
        <w:tab w:val="right" w:pos="8640"/>
      </w:tabs>
    </w:pPr>
  </w:style>
  <w:style w:type="character" w:customStyle="1" w:styleId="HeaderChar">
    <w:name w:val="Header Char"/>
    <w:basedOn w:val="DefaultParagraphFont"/>
    <w:link w:val="Header"/>
    <w:rsid w:val="002E4FB4"/>
    <w:rPr>
      <w:rFonts w:ascii="Times New Roman" w:eastAsia="Times New Roman" w:hAnsi="Times New Roman" w:cs="Times New Roman"/>
    </w:rPr>
  </w:style>
  <w:style w:type="paragraph" w:customStyle="1" w:styleId="DataField10pt">
    <w:name w:val="Data Field 10pt"/>
    <w:basedOn w:val="Normal"/>
    <w:rsid w:val="002E4FB4"/>
    <w:rPr>
      <w:rFonts w:ascii="Arial" w:hAnsi="Arial" w:cs="Arial"/>
      <w:sz w:val="20"/>
      <w:szCs w:val="20"/>
    </w:rPr>
  </w:style>
  <w:style w:type="paragraph" w:customStyle="1" w:styleId="DataField11pt-Single">
    <w:name w:val="Data Field 11pt-Single"/>
    <w:basedOn w:val="Normal"/>
    <w:link w:val="DataField11pt-SingleChar"/>
    <w:rsid w:val="002E4FB4"/>
    <w:rPr>
      <w:rFonts w:ascii="Arial" w:hAnsi="Arial" w:cs="Arial"/>
      <w:sz w:val="22"/>
      <w:szCs w:val="20"/>
    </w:rPr>
  </w:style>
  <w:style w:type="paragraph" w:styleId="Footer">
    <w:name w:val="footer"/>
    <w:basedOn w:val="Normal"/>
    <w:link w:val="FooterChar"/>
    <w:rsid w:val="002E4FB4"/>
    <w:pPr>
      <w:tabs>
        <w:tab w:val="center" w:pos="4320"/>
        <w:tab w:val="right" w:pos="8640"/>
      </w:tabs>
    </w:pPr>
  </w:style>
  <w:style w:type="character" w:customStyle="1" w:styleId="FooterChar">
    <w:name w:val="Footer Char"/>
    <w:basedOn w:val="DefaultParagraphFont"/>
    <w:link w:val="Footer"/>
    <w:rsid w:val="002E4FB4"/>
    <w:rPr>
      <w:rFonts w:ascii="Times New Roman" w:eastAsia="Times New Roman" w:hAnsi="Times New Roman" w:cs="Times New Roman"/>
    </w:rPr>
  </w:style>
  <w:style w:type="character" w:styleId="PageNumber">
    <w:name w:val="page number"/>
    <w:basedOn w:val="DefaultParagraphFont"/>
    <w:rsid w:val="002E4FB4"/>
    <w:rPr>
      <w:rFonts w:ascii="Arial" w:hAnsi="Arial"/>
      <w:sz w:val="20"/>
      <w:u w:val="single"/>
    </w:rPr>
  </w:style>
  <w:style w:type="paragraph" w:customStyle="1" w:styleId="FormFooter">
    <w:name w:val="Form Footer"/>
    <w:basedOn w:val="Normal"/>
    <w:rsid w:val="002E4FB4"/>
    <w:pPr>
      <w:tabs>
        <w:tab w:val="center" w:pos="5328"/>
        <w:tab w:val="right" w:pos="10728"/>
      </w:tabs>
      <w:ind w:left="58"/>
    </w:pPr>
    <w:rPr>
      <w:rFonts w:ascii="Arial" w:hAnsi="Arial" w:cs="Arial"/>
      <w:sz w:val="16"/>
      <w:szCs w:val="16"/>
    </w:rPr>
  </w:style>
  <w:style w:type="paragraph" w:customStyle="1" w:styleId="FormFooterBorder">
    <w:name w:val="FormFooter/Border"/>
    <w:basedOn w:val="Footer"/>
    <w:rsid w:val="002E4FB4"/>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rsid w:val="002E4FB4"/>
    <w:pPr>
      <w:spacing w:before="40" w:after="40"/>
      <w:jc w:val="center"/>
    </w:pPr>
    <w:rPr>
      <w:rFonts w:ascii="Arial" w:hAnsi="Arial" w:cs="Arial"/>
      <w:i/>
      <w:iCs/>
      <w:sz w:val="16"/>
      <w:szCs w:val="16"/>
    </w:rPr>
  </w:style>
  <w:style w:type="paragraph" w:customStyle="1" w:styleId="NameofApplicant">
    <w:name w:val="Name of Applicant"/>
    <w:basedOn w:val="Normal"/>
    <w:rsid w:val="002E4FB4"/>
    <w:rPr>
      <w:rFonts w:ascii="Arial" w:hAnsi="Arial" w:cs="Arial"/>
      <w:sz w:val="16"/>
      <w:szCs w:val="15"/>
    </w:rPr>
  </w:style>
  <w:style w:type="paragraph" w:customStyle="1" w:styleId="Arial10BoldText">
    <w:name w:val="Arial10BoldText"/>
    <w:basedOn w:val="Normal"/>
    <w:rsid w:val="002E4FB4"/>
    <w:pPr>
      <w:spacing w:before="20" w:after="20"/>
    </w:pPr>
    <w:rPr>
      <w:rFonts w:ascii="Arial" w:hAnsi="Arial" w:cs="Arial"/>
      <w:b/>
      <w:bCs/>
      <w:sz w:val="20"/>
      <w:szCs w:val="20"/>
    </w:rPr>
  </w:style>
  <w:style w:type="paragraph" w:customStyle="1" w:styleId="FormFieldCaption">
    <w:name w:val="Form Field Caption"/>
    <w:basedOn w:val="Normal"/>
    <w:rsid w:val="002E4FB4"/>
    <w:pPr>
      <w:tabs>
        <w:tab w:val="left" w:pos="270"/>
      </w:tabs>
    </w:pPr>
    <w:rPr>
      <w:rFonts w:ascii="Arial" w:hAnsi="Arial" w:cs="Arial"/>
      <w:sz w:val="16"/>
      <w:szCs w:val="16"/>
    </w:rPr>
  </w:style>
  <w:style w:type="paragraph" w:customStyle="1" w:styleId="FormFieldCaption7pt">
    <w:name w:val="Form Field Caption 7pt"/>
    <w:basedOn w:val="Normal"/>
    <w:rsid w:val="002E4FB4"/>
    <w:pPr>
      <w:tabs>
        <w:tab w:val="left" w:pos="252"/>
      </w:tabs>
    </w:pPr>
    <w:rPr>
      <w:rFonts w:ascii="Arial" w:hAnsi="Arial" w:cs="Arial"/>
      <w:sz w:val="14"/>
      <w:szCs w:val="14"/>
    </w:rPr>
  </w:style>
  <w:style w:type="paragraph" w:customStyle="1" w:styleId="PIHeader">
    <w:name w:val="PI Header"/>
    <w:basedOn w:val="Normal"/>
    <w:rsid w:val="002E4FB4"/>
    <w:pPr>
      <w:spacing w:after="40"/>
      <w:ind w:left="864"/>
    </w:pPr>
    <w:rPr>
      <w:rFonts w:ascii="Arial" w:hAnsi="Arial" w:cs="Arial"/>
      <w:noProof/>
      <w:sz w:val="16"/>
      <w:szCs w:val="20"/>
    </w:rPr>
  </w:style>
  <w:style w:type="character" w:customStyle="1" w:styleId="DataField11pt-SingleChar">
    <w:name w:val="Data Field 11pt-Single Char"/>
    <w:basedOn w:val="DefaultParagraphFont"/>
    <w:link w:val="DataField11pt-Single"/>
    <w:rsid w:val="002E4FB4"/>
    <w:rPr>
      <w:rFonts w:ascii="Arial" w:eastAsia="Times New Roman" w:hAnsi="Arial" w:cs="Arial"/>
      <w:sz w:val="22"/>
      <w:szCs w:val="20"/>
    </w:rPr>
  </w:style>
  <w:style w:type="paragraph" w:customStyle="1" w:styleId="HeadNoteNotItalics">
    <w:name w:val="HeadNoteNotItalics"/>
    <w:basedOn w:val="HeadingNote"/>
    <w:rsid w:val="002E4FB4"/>
    <w:rPr>
      <w:i w:val="0"/>
    </w:rPr>
  </w:style>
  <w:style w:type="paragraph" w:styleId="ListParagraph">
    <w:name w:val="List Paragraph"/>
    <w:basedOn w:val="Normal"/>
    <w:uiPriority w:val="34"/>
    <w:rsid w:val="00A302EA"/>
    <w:pPr>
      <w:ind w:left="720"/>
      <w:contextualSpacing/>
    </w:pPr>
    <w:rPr>
      <w:rFonts w:cs="Arial"/>
    </w:rPr>
  </w:style>
  <w:style w:type="paragraph" w:customStyle="1" w:styleId="PANormalLevelIA">
    <w:name w:val="PA Normal Level I/A"/>
    <w:rsid w:val="00A302EA"/>
    <w:pPr>
      <w:snapToGrid w:val="0"/>
    </w:pPr>
  </w:style>
  <w:style w:type="paragraph" w:customStyle="1" w:styleId="panormalleveliacxspmiddle">
    <w:name w:val="panormalleveliacxspmiddle"/>
    <w:basedOn w:val="Normal"/>
    <w:rsid w:val="00A302EA"/>
    <w:pPr>
      <w:autoSpaceDE/>
      <w:autoSpaceDN/>
      <w:spacing w:beforeLines="1" w:afterLines="1"/>
    </w:pPr>
    <w:rPr>
      <w:rFonts w:ascii="Times" w:eastAsiaTheme="minorEastAsia" w:hAnsi="Times" w:cs="Arial"/>
      <w:sz w:val="20"/>
      <w:szCs w:val="20"/>
    </w:rPr>
  </w:style>
  <w:style w:type="paragraph" w:customStyle="1" w:styleId="panormalleveliacxsplast">
    <w:name w:val="panormalleveliacxsplast"/>
    <w:basedOn w:val="Normal"/>
    <w:rsid w:val="00A302EA"/>
    <w:pPr>
      <w:autoSpaceDE/>
      <w:autoSpaceDN/>
      <w:spacing w:beforeLines="1" w:afterLines="1"/>
    </w:pPr>
    <w:rPr>
      <w:rFonts w:ascii="Times" w:eastAsiaTheme="minorEastAsia" w:hAnsi="Times" w:cs="Arial"/>
      <w:sz w:val="20"/>
      <w:szCs w:val="20"/>
    </w:rPr>
  </w:style>
  <w:style w:type="character" w:styleId="Strong">
    <w:name w:val="Strong"/>
    <w:basedOn w:val="DefaultParagraphFont"/>
    <w:uiPriority w:val="22"/>
    <w:qFormat/>
    <w:rsid w:val="00A302EA"/>
    <w:rPr>
      <w:b/>
      <w:bCs/>
    </w:rPr>
  </w:style>
  <w:style w:type="paragraph" w:customStyle="1" w:styleId="Default">
    <w:name w:val="Default"/>
    <w:rsid w:val="003F5CA4"/>
    <w:pPr>
      <w:suppressAutoHyphens/>
    </w:pPr>
    <w:rPr>
      <w:rFonts w:ascii="Arial" w:eastAsia="ヒラギノ角ゴ Pro W3" w:hAnsi="Arial" w:cs="Times New Roman"/>
      <w:color w:val="000000"/>
      <w:sz w:val="22"/>
      <w:szCs w:val="20"/>
    </w:rPr>
  </w:style>
  <w:style w:type="paragraph" w:styleId="BalloonText">
    <w:name w:val="Balloon Text"/>
    <w:basedOn w:val="Normal"/>
    <w:link w:val="BalloonTextChar"/>
    <w:uiPriority w:val="99"/>
    <w:semiHidden/>
    <w:unhideWhenUsed/>
    <w:rsid w:val="008312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120B"/>
    <w:rPr>
      <w:rFonts w:ascii="Lucida Grande" w:eastAsia="Times New Roman" w:hAnsi="Lucida Grande" w:cs="Lucida Grande"/>
      <w:sz w:val="18"/>
      <w:szCs w:val="18"/>
    </w:rPr>
  </w:style>
  <w:style w:type="paragraph" w:customStyle="1" w:styleId="Subtitle2">
    <w:name w:val="Subtitle 2"/>
    <w:rsid w:val="000555DC"/>
    <w:pPr>
      <w:keepNext/>
      <w:spacing w:before="240"/>
    </w:pPr>
    <w:rPr>
      <w:rFonts w:ascii="Arial" w:eastAsia="ヒラギノ角ゴ Pro W3" w:hAnsi="Arial" w:cs="Times New Roman"/>
      <w:b/>
      <w:color w:val="000000"/>
      <w:sz w:val="22"/>
      <w:szCs w:val="20"/>
      <w:u w:val="single"/>
    </w:rPr>
  </w:style>
  <w:style w:type="character" w:styleId="Hyperlink">
    <w:name w:val="Hyperlink"/>
    <w:basedOn w:val="DefaultParagraphFont"/>
    <w:uiPriority w:val="99"/>
    <w:unhideWhenUsed/>
    <w:rsid w:val="004016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2210</Words>
  <Characters>12598</Characters>
  <Application>Microsoft Macintosh Word</Application>
  <DocSecurity>0</DocSecurity>
  <Lines>104</Lines>
  <Paragraphs>29</Paragraphs>
  <ScaleCrop>false</ScaleCrop>
  <Company>University of Guelph</Company>
  <LinksUpToDate>false</LinksUpToDate>
  <CharactersWithSpaces>14779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Allen-Vercoe</dc:creator>
  <cp:keywords/>
  <cp:lastModifiedBy>Greg Gloor</cp:lastModifiedBy>
  <cp:revision>2</cp:revision>
  <cp:lastPrinted>2012-01-19T18:52:00Z</cp:lastPrinted>
  <dcterms:created xsi:type="dcterms:W3CDTF">2016-09-09T12:56:00Z</dcterms:created>
  <dcterms:modified xsi:type="dcterms:W3CDTF">2016-09-09T12:56:00Z</dcterms:modified>
</cp:coreProperties>
</file>