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2E4FB4" w:rsidRPr="009B37FD" w14:paraId="6BF2C41B"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7CF61A96" w14:textId="77777777" w:rsidR="002E4FB4" w:rsidRPr="009B37FD" w:rsidRDefault="002E4FB4" w:rsidP="00EF549A">
            <w:pPr>
              <w:pStyle w:val="DataField11pt-Single"/>
              <w:tabs>
                <w:tab w:val="left" w:pos="6334"/>
              </w:tabs>
              <w:jc w:val="both"/>
              <w:rPr>
                <w:b/>
              </w:rPr>
            </w:pPr>
            <w:r w:rsidRPr="009B37FD">
              <w:rPr>
                <w:b/>
              </w:rPr>
              <w:t>BIOGRAPHICAL SKETCH</w:t>
            </w:r>
          </w:p>
          <w:p w14:paraId="0866D47F" w14:textId="77777777" w:rsidR="002E4FB4" w:rsidRPr="009B37FD" w:rsidRDefault="002E4FB4" w:rsidP="001122B3">
            <w:pPr>
              <w:pStyle w:val="HeadNoteNotItalics"/>
              <w:jc w:val="both"/>
              <w:rPr>
                <w:sz w:val="22"/>
                <w:szCs w:val="20"/>
              </w:rPr>
            </w:pPr>
            <w:r w:rsidRPr="009B37FD">
              <w:rPr>
                <w:sz w:val="22"/>
              </w:rPr>
              <w:t>Provide the following information for the key personnel and other significant contributors.</w:t>
            </w:r>
            <w:r w:rsidRPr="009B37FD">
              <w:rPr>
                <w:sz w:val="22"/>
              </w:rPr>
              <w:br w:type="textWrapping" w:clear="all"/>
              <w:t xml:space="preserve">Follow this format for each person. </w:t>
            </w:r>
            <w:r w:rsidRPr="009B37FD">
              <w:rPr>
                <w:b/>
                <w:bCs/>
                <w:sz w:val="22"/>
              </w:rPr>
              <w:t xml:space="preserve"> DO NOT EXCEED FOUR PAGES.</w:t>
            </w:r>
          </w:p>
        </w:tc>
      </w:tr>
      <w:tr w:rsidR="002E4FB4" w:rsidRPr="009B37FD" w14:paraId="2E87B9BC" w14:textId="77777777">
        <w:trPr>
          <w:trHeight w:hRule="exact" w:val="216"/>
          <w:jc w:val="center"/>
        </w:trPr>
        <w:tc>
          <w:tcPr>
            <w:tcW w:w="10656" w:type="dxa"/>
            <w:gridSpan w:val="5"/>
            <w:tcBorders>
              <w:top w:val="single" w:sz="6" w:space="0" w:color="auto"/>
              <w:left w:val="nil"/>
              <w:bottom w:val="single" w:sz="6" w:space="0" w:color="auto"/>
              <w:right w:val="nil"/>
            </w:tcBorders>
          </w:tcPr>
          <w:p w14:paraId="5B5A33F2" w14:textId="77777777" w:rsidR="002E4FB4" w:rsidRPr="009B37FD" w:rsidRDefault="002E4FB4" w:rsidP="001122B3">
            <w:pPr>
              <w:jc w:val="both"/>
              <w:rPr>
                <w:rFonts w:ascii="Arial" w:hAnsi="Arial" w:cs="Arial"/>
                <w:sz w:val="22"/>
                <w:szCs w:val="20"/>
              </w:rPr>
            </w:pPr>
          </w:p>
        </w:tc>
      </w:tr>
      <w:tr w:rsidR="002E4FB4" w:rsidRPr="009B37FD" w14:paraId="39F4657C"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27ED2D93" w14:textId="77777777" w:rsidR="002E4FB4" w:rsidRPr="009B37FD" w:rsidRDefault="002E4FB4" w:rsidP="001122B3">
            <w:pPr>
              <w:pStyle w:val="FormFieldCaption"/>
              <w:jc w:val="both"/>
              <w:rPr>
                <w:sz w:val="22"/>
              </w:rPr>
            </w:pPr>
            <w:r w:rsidRPr="009B37FD">
              <w:rPr>
                <w:sz w:val="22"/>
              </w:rPr>
              <w:t>NAME</w:t>
            </w:r>
          </w:p>
          <w:p w14:paraId="50FA36CB" w14:textId="2048F884" w:rsidR="002E4FB4" w:rsidRPr="009B37FD" w:rsidRDefault="003F5CA4" w:rsidP="003F5CA4">
            <w:pPr>
              <w:pStyle w:val="DataField11pt-Single"/>
              <w:jc w:val="both"/>
            </w:pPr>
            <w:r>
              <w:t>Gloor</w:t>
            </w:r>
            <w:r w:rsidR="002E4FB4" w:rsidRPr="009B37FD">
              <w:t xml:space="preserve">, </w:t>
            </w:r>
            <w:proofErr w:type="spellStart"/>
            <w:r>
              <w:t>Gregort</w:t>
            </w:r>
            <w:proofErr w:type="spellEnd"/>
          </w:p>
        </w:tc>
        <w:tc>
          <w:tcPr>
            <w:tcW w:w="5328" w:type="dxa"/>
            <w:gridSpan w:val="3"/>
            <w:vMerge w:val="restart"/>
            <w:tcBorders>
              <w:top w:val="single" w:sz="6" w:space="0" w:color="auto"/>
              <w:left w:val="nil"/>
              <w:right w:val="nil"/>
            </w:tcBorders>
            <w:tcMar>
              <w:top w:w="14" w:type="dxa"/>
              <w:bottom w:w="14" w:type="dxa"/>
            </w:tcMar>
          </w:tcPr>
          <w:p w14:paraId="2A14F425" w14:textId="77777777" w:rsidR="002E4FB4" w:rsidRPr="009B37FD" w:rsidRDefault="002E4FB4" w:rsidP="001122B3">
            <w:pPr>
              <w:pStyle w:val="FormFieldCaption"/>
              <w:jc w:val="both"/>
              <w:rPr>
                <w:sz w:val="22"/>
              </w:rPr>
            </w:pPr>
            <w:r w:rsidRPr="009B37FD">
              <w:rPr>
                <w:sz w:val="22"/>
              </w:rPr>
              <w:t>POSITION TITLE</w:t>
            </w:r>
          </w:p>
          <w:p w14:paraId="00E70696" w14:textId="0C06ECAD" w:rsidR="002E4FB4" w:rsidRPr="009B37FD" w:rsidRDefault="003F5CA4" w:rsidP="001122B3">
            <w:pPr>
              <w:pStyle w:val="DataField11pt-Single"/>
              <w:jc w:val="both"/>
            </w:pPr>
            <w:r>
              <w:t>Professor of Biochemistry</w:t>
            </w:r>
          </w:p>
        </w:tc>
      </w:tr>
      <w:tr w:rsidR="002E4FB4" w:rsidRPr="009B37FD" w14:paraId="2EB72D2C"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6FE61A57" w14:textId="77777777" w:rsidR="002E4FB4" w:rsidRPr="009B37FD" w:rsidRDefault="002E4FB4" w:rsidP="001122B3">
            <w:pPr>
              <w:pStyle w:val="FormFieldCaption"/>
              <w:jc w:val="both"/>
              <w:rPr>
                <w:sz w:val="22"/>
              </w:rPr>
            </w:pPr>
            <w:proofErr w:type="spellStart"/>
            <w:r w:rsidRPr="009B37FD">
              <w:rPr>
                <w:sz w:val="22"/>
              </w:rPr>
              <w:t>eRA</w:t>
            </w:r>
            <w:proofErr w:type="spellEnd"/>
            <w:r w:rsidRPr="009B37FD">
              <w:rPr>
                <w:sz w:val="22"/>
              </w:rPr>
              <w:t xml:space="preserve"> COMMONS </w:t>
            </w:r>
            <w:proofErr w:type="gramStart"/>
            <w:r w:rsidRPr="009B37FD">
              <w:rPr>
                <w:sz w:val="22"/>
              </w:rPr>
              <w:t>USER NAME</w:t>
            </w:r>
            <w:proofErr w:type="gramEnd"/>
          </w:p>
          <w:p w14:paraId="698D6E2B" w14:textId="545EDB67" w:rsidR="002E4FB4" w:rsidRPr="009B37FD" w:rsidRDefault="003F5CA4" w:rsidP="001122B3">
            <w:pPr>
              <w:pStyle w:val="DataField11pt-Single"/>
              <w:jc w:val="both"/>
            </w:pPr>
            <w:r>
              <w:t>GGLOOR</w:t>
            </w:r>
          </w:p>
        </w:tc>
        <w:tc>
          <w:tcPr>
            <w:tcW w:w="5328" w:type="dxa"/>
            <w:gridSpan w:val="3"/>
            <w:vMerge/>
            <w:tcBorders>
              <w:left w:val="nil"/>
              <w:bottom w:val="single" w:sz="6" w:space="0" w:color="auto"/>
              <w:right w:val="nil"/>
            </w:tcBorders>
            <w:tcMar>
              <w:top w:w="14" w:type="dxa"/>
              <w:bottom w:w="14" w:type="dxa"/>
            </w:tcMar>
          </w:tcPr>
          <w:p w14:paraId="71C85D7B" w14:textId="77777777" w:rsidR="002E4FB4" w:rsidRPr="009B37FD" w:rsidRDefault="002E4FB4" w:rsidP="001122B3">
            <w:pPr>
              <w:pStyle w:val="FormFieldCaption"/>
              <w:jc w:val="both"/>
              <w:rPr>
                <w:sz w:val="22"/>
              </w:rPr>
            </w:pPr>
          </w:p>
        </w:tc>
      </w:tr>
      <w:tr w:rsidR="002E4FB4" w:rsidRPr="009B37FD" w14:paraId="23B97EFD" w14:textId="77777777">
        <w:trPr>
          <w:jc w:val="center"/>
        </w:trPr>
        <w:tc>
          <w:tcPr>
            <w:tcW w:w="5058" w:type="dxa"/>
            <w:tcBorders>
              <w:top w:val="single" w:sz="6" w:space="0" w:color="auto"/>
              <w:left w:val="nil"/>
              <w:bottom w:val="single" w:sz="6" w:space="0" w:color="auto"/>
              <w:right w:val="single" w:sz="6" w:space="0" w:color="auto"/>
            </w:tcBorders>
            <w:vAlign w:val="center"/>
          </w:tcPr>
          <w:p w14:paraId="3FE2DE0A" w14:textId="77777777" w:rsidR="002E4FB4" w:rsidRPr="009B37FD" w:rsidRDefault="002E4FB4" w:rsidP="001122B3">
            <w:pPr>
              <w:pStyle w:val="FormFieldCaption"/>
              <w:jc w:val="both"/>
              <w:rPr>
                <w:sz w:val="22"/>
              </w:rPr>
            </w:pPr>
            <w:r w:rsidRPr="009B37FD">
              <w:rPr>
                <w:sz w:val="22"/>
              </w:rP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7D6CF641" w14:textId="77777777" w:rsidR="002E4FB4" w:rsidRPr="009B37FD" w:rsidRDefault="002E4FB4" w:rsidP="001122B3">
            <w:pPr>
              <w:pStyle w:val="FormFieldCaption"/>
              <w:jc w:val="both"/>
              <w:rPr>
                <w:sz w:val="22"/>
              </w:rPr>
            </w:pPr>
            <w:r w:rsidRPr="009B37FD">
              <w:rPr>
                <w:sz w:val="22"/>
              </w:rPr>
              <w:t>DEGREE</w:t>
            </w:r>
          </w:p>
          <w:p w14:paraId="58300689" w14:textId="77777777" w:rsidR="002E4FB4" w:rsidRPr="009B37FD" w:rsidRDefault="002E4FB4" w:rsidP="001122B3">
            <w:pPr>
              <w:pStyle w:val="FormFieldCaption"/>
              <w:jc w:val="both"/>
              <w:rPr>
                <w:i/>
                <w:iCs/>
                <w:sz w:val="22"/>
              </w:rPr>
            </w:pPr>
            <w:r w:rsidRPr="009B37FD">
              <w:rPr>
                <w:i/>
                <w:iCs/>
                <w:sz w:val="22"/>
              </w:rPr>
              <w:t>(</w:t>
            </w:r>
            <w:proofErr w:type="gramStart"/>
            <w:r w:rsidRPr="009B37FD">
              <w:rPr>
                <w:i/>
                <w:iCs/>
                <w:sz w:val="22"/>
              </w:rPr>
              <w:t>if</w:t>
            </w:r>
            <w:proofErr w:type="gramEnd"/>
            <w:r w:rsidRPr="009B37FD">
              <w:rPr>
                <w:i/>
                <w:iCs/>
                <w:sz w:val="22"/>
              </w:rPr>
              <w:t xml:space="preserve"> applicable)</w:t>
            </w:r>
          </w:p>
        </w:tc>
        <w:tc>
          <w:tcPr>
            <w:tcW w:w="1422" w:type="dxa"/>
            <w:tcBorders>
              <w:top w:val="single" w:sz="6" w:space="0" w:color="auto"/>
              <w:left w:val="nil"/>
              <w:bottom w:val="single" w:sz="6" w:space="0" w:color="auto"/>
              <w:right w:val="single" w:sz="6" w:space="0" w:color="auto"/>
            </w:tcBorders>
            <w:vAlign w:val="center"/>
          </w:tcPr>
          <w:p w14:paraId="45779767" w14:textId="77777777" w:rsidR="002E4FB4" w:rsidRPr="009B37FD" w:rsidRDefault="002E4FB4" w:rsidP="001122B3">
            <w:pPr>
              <w:pStyle w:val="FormFieldCaption"/>
              <w:jc w:val="both"/>
              <w:rPr>
                <w:sz w:val="22"/>
              </w:rPr>
            </w:pPr>
            <w:r w:rsidRPr="009B37FD">
              <w:rPr>
                <w:sz w:val="22"/>
              </w:rPr>
              <w:t>YEAR(s)</w:t>
            </w:r>
          </w:p>
        </w:tc>
        <w:tc>
          <w:tcPr>
            <w:tcW w:w="2665" w:type="dxa"/>
            <w:tcBorders>
              <w:top w:val="single" w:sz="6" w:space="0" w:color="auto"/>
              <w:left w:val="single" w:sz="6" w:space="0" w:color="auto"/>
              <w:bottom w:val="single" w:sz="6" w:space="0" w:color="auto"/>
            </w:tcBorders>
            <w:vAlign w:val="center"/>
          </w:tcPr>
          <w:p w14:paraId="17F817E6" w14:textId="77777777" w:rsidR="002E4FB4" w:rsidRPr="009B37FD" w:rsidRDefault="002E4FB4" w:rsidP="001122B3">
            <w:pPr>
              <w:pStyle w:val="FormFieldCaption"/>
              <w:jc w:val="both"/>
              <w:rPr>
                <w:sz w:val="22"/>
              </w:rPr>
            </w:pPr>
            <w:r w:rsidRPr="009B37FD">
              <w:rPr>
                <w:sz w:val="22"/>
              </w:rPr>
              <w:t>FIELD OF STUDY</w:t>
            </w:r>
          </w:p>
        </w:tc>
      </w:tr>
      <w:tr w:rsidR="002E4FB4" w:rsidRPr="009B37FD" w14:paraId="3A6E5935" w14:textId="77777777">
        <w:trPr>
          <w:jc w:val="center"/>
        </w:trPr>
        <w:tc>
          <w:tcPr>
            <w:tcW w:w="5058" w:type="dxa"/>
            <w:tcBorders>
              <w:top w:val="single" w:sz="6" w:space="0" w:color="auto"/>
              <w:left w:val="nil"/>
              <w:bottom w:val="nil"/>
              <w:right w:val="single" w:sz="4" w:space="0" w:color="auto"/>
            </w:tcBorders>
            <w:vAlign w:val="center"/>
          </w:tcPr>
          <w:p w14:paraId="1E497EBD" w14:textId="2E58E367" w:rsidR="002E4FB4" w:rsidRPr="009B37FD" w:rsidRDefault="003F5CA4" w:rsidP="001122B3">
            <w:pPr>
              <w:pStyle w:val="DataField11pt-Single"/>
              <w:jc w:val="both"/>
            </w:pPr>
            <w:r>
              <w:t>University of Western Ontario, Canada</w:t>
            </w:r>
          </w:p>
        </w:tc>
        <w:tc>
          <w:tcPr>
            <w:tcW w:w="1511" w:type="dxa"/>
            <w:gridSpan w:val="2"/>
            <w:tcBorders>
              <w:top w:val="single" w:sz="6" w:space="0" w:color="auto"/>
              <w:left w:val="single" w:sz="4" w:space="0" w:color="auto"/>
              <w:bottom w:val="nil"/>
              <w:right w:val="single" w:sz="4" w:space="0" w:color="auto"/>
            </w:tcBorders>
            <w:vAlign w:val="center"/>
          </w:tcPr>
          <w:p w14:paraId="048FCF70" w14:textId="77777777" w:rsidR="002E4FB4" w:rsidRPr="009B37FD" w:rsidRDefault="002E4FB4" w:rsidP="001122B3">
            <w:pPr>
              <w:pStyle w:val="DataField11pt-Single"/>
              <w:jc w:val="both"/>
            </w:pPr>
            <w:proofErr w:type="spellStart"/>
            <w:r w:rsidRPr="009B37FD">
              <w:t>B.Sc</w:t>
            </w:r>
            <w:proofErr w:type="spellEnd"/>
            <w:r w:rsidRPr="009B37FD">
              <w:t xml:space="preserve"> (Hons.)</w:t>
            </w:r>
          </w:p>
        </w:tc>
        <w:tc>
          <w:tcPr>
            <w:tcW w:w="1422" w:type="dxa"/>
            <w:tcBorders>
              <w:top w:val="single" w:sz="6" w:space="0" w:color="auto"/>
              <w:left w:val="single" w:sz="4" w:space="0" w:color="auto"/>
              <w:bottom w:val="nil"/>
              <w:right w:val="single" w:sz="4" w:space="0" w:color="auto"/>
            </w:tcBorders>
            <w:vAlign w:val="center"/>
          </w:tcPr>
          <w:p w14:paraId="1C15A6B3" w14:textId="144227BF" w:rsidR="002E4FB4" w:rsidRPr="009B37FD" w:rsidRDefault="003F5CA4" w:rsidP="001122B3">
            <w:pPr>
              <w:pStyle w:val="DataField11pt-Single"/>
              <w:jc w:val="both"/>
            </w:pPr>
            <w:r>
              <w:t>June 1983</w:t>
            </w:r>
          </w:p>
        </w:tc>
        <w:tc>
          <w:tcPr>
            <w:tcW w:w="2665" w:type="dxa"/>
            <w:tcBorders>
              <w:top w:val="single" w:sz="6" w:space="0" w:color="auto"/>
              <w:left w:val="single" w:sz="4" w:space="0" w:color="auto"/>
              <w:bottom w:val="nil"/>
              <w:right w:val="nil"/>
            </w:tcBorders>
            <w:vAlign w:val="center"/>
          </w:tcPr>
          <w:p w14:paraId="05A8DE8C" w14:textId="07D639F2" w:rsidR="002E4FB4" w:rsidRPr="009B37FD" w:rsidRDefault="003F5CA4" w:rsidP="001122B3">
            <w:pPr>
              <w:pStyle w:val="DataField11pt-Single"/>
              <w:jc w:val="both"/>
            </w:pPr>
            <w:r>
              <w:t>Genetics</w:t>
            </w:r>
          </w:p>
        </w:tc>
      </w:tr>
      <w:tr w:rsidR="002E4FB4" w:rsidRPr="009B37FD" w14:paraId="05DA2D8B" w14:textId="77777777">
        <w:trPr>
          <w:jc w:val="center"/>
        </w:trPr>
        <w:tc>
          <w:tcPr>
            <w:tcW w:w="5058" w:type="dxa"/>
            <w:tcBorders>
              <w:top w:val="nil"/>
              <w:left w:val="nil"/>
              <w:bottom w:val="nil"/>
              <w:right w:val="single" w:sz="4" w:space="0" w:color="auto"/>
            </w:tcBorders>
            <w:vAlign w:val="center"/>
          </w:tcPr>
          <w:p w14:paraId="36611082" w14:textId="2318A13D" w:rsidR="002E4FB4" w:rsidRPr="009B37FD" w:rsidRDefault="003F5CA4" w:rsidP="001122B3">
            <w:pPr>
              <w:pStyle w:val="DataField11pt-Single"/>
              <w:jc w:val="both"/>
            </w:pPr>
            <w:r>
              <w:t>University of Western Ontario, Canada</w:t>
            </w:r>
          </w:p>
        </w:tc>
        <w:tc>
          <w:tcPr>
            <w:tcW w:w="1511" w:type="dxa"/>
            <w:gridSpan w:val="2"/>
            <w:tcBorders>
              <w:top w:val="nil"/>
              <w:left w:val="single" w:sz="4" w:space="0" w:color="auto"/>
              <w:bottom w:val="nil"/>
              <w:right w:val="single" w:sz="4" w:space="0" w:color="auto"/>
            </w:tcBorders>
            <w:vAlign w:val="center"/>
          </w:tcPr>
          <w:p w14:paraId="44C3254A" w14:textId="77777777" w:rsidR="002E4FB4" w:rsidRPr="009B37FD" w:rsidRDefault="002E4FB4" w:rsidP="001122B3">
            <w:pPr>
              <w:pStyle w:val="DataField11pt-Single"/>
              <w:jc w:val="both"/>
            </w:pPr>
            <w:r w:rsidRPr="009B37FD">
              <w:t>Ph.D.</w:t>
            </w:r>
          </w:p>
        </w:tc>
        <w:tc>
          <w:tcPr>
            <w:tcW w:w="1422" w:type="dxa"/>
            <w:tcBorders>
              <w:top w:val="nil"/>
              <w:left w:val="single" w:sz="4" w:space="0" w:color="auto"/>
              <w:bottom w:val="nil"/>
              <w:right w:val="single" w:sz="4" w:space="0" w:color="auto"/>
            </w:tcBorders>
            <w:vAlign w:val="center"/>
          </w:tcPr>
          <w:p w14:paraId="0D7A6E77" w14:textId="629FAB2D" w:rsidR="002E4FB4" w:rsidRPr="009B37FD" w:rsidRDefault="003F5CA4" w:rsidP="001122B3">
            <w:pPr>
              <w:pStyle w:val="DataField11pt-Single"/>
              <w:jc w:val="both"/>
            </w:pPr>
            <w:r>
              <w:t>June 1988</w:t>
            </w:r>
          </w:p>
        </w:tc>
        <w:tc>
          <w:tcPr>
            <w:tcW w:w="2665" w:type="dxa"/>
            <w:tcBorders>
              <w:top w:val="nil"/>
              <w:left w:val="single" w:sz="4" w:space="0" w:color="auto"/>
              <w:bottom w:val="nil"/>
              <w:right w:val="nil"/>
            </w:tcBorders>
            <w:vAlign w:val="center"/>
          </w:tcPr>
          <w:p w14:paraId="2CEC71E5" w14:textId="4E9E6A17" w:rsidR="002E4FB4" w:rsidRPr="009B37FD" w:rsidRDefault="003F5CA4" w:rsidP="001122B3">
            <w:pPr>
              <w:pStyle w:val="DataField11pt-Single"/>
              <w:jc w:val="both"/>
            </w:pPr>
            <w:r>
              <w:t>Biochemistry</w:t>
            </w:r>
          </w:p>
        </w:tc>
      </w:tr>
      <w:tr w:rsidR="002E4FB4" w:rsidRPr="009B37FD" w14:paraId="0F0B1D83" w14:textId="77777777" w:rsidTr="00835F13">
        <w:trPr>
          <w:trHeight w:val="412"/>
          <w:jc w:val="center"/>
        </w:trPr>
        <w:tc>
          <w:tcPr>
            <w:tcW w:w="5058" w:type="dxa"/>
            <w:tcBorders>
              <w:top w:val="nil"/>
              <w:left w:val="nil"/>
              <w:bottom w:val="nil"/>
              <w:right w:val="single" w:sz="4" w:space="0" w:color="auto"/>
            </w:tcBorders>
            <w:vAlign w:val="center"/>
          </w:tcPr>
          <w:p w14:paraId="1EC5B9C7" w14:textId="77777777" w:rsidR="002E4FB4" w:rsidRDefault="003F5CA4" w:rsidP="001122B3">
            <w:pPr>
              <w:pStyle w:val="DataField11pt-Single"/>
              <w:jc w:val="both"/>
            </w:pPr>
            <w:r>
              <w:t>University of Wisconsin-Madison</w:t>
            </w:r>
          </w:p>
          <w:p w14:paraId="1E11EEB0" w14:textId="23D08B4B" w:rsidR="00835F13" w:rsidRPr="009B37FD" w:rsidRDefault="00835F13" w:rsidP="001122B3">
            <w:pPr>
              <w:pStyle w:val="DataField11pt-Single"/>
              <w:jc w:val="both"/>
            </w:pPr>
          </w:p>
        </w:tc>
        <w:tc>
          <w:tcPr>
            <w:tcW w:w="1511" w:type="dxa"/>
            <w:gridSpan w:val="2"/>
            <w:tcBorders>
              <w:top w:val="nil"/>
              <w:left w:val="single" w:sz="4" w:space="0" w:color="auto"/>
              <w:bottom w:val="nil"/>
              <w:right w:val="single" w:sz="4" w:space="0" w:color="auto"/>
            </w:tcBorders>
            <w:vAlign w:val="center"/>
          </w:tcPr>
          <w:p w14:paraId="6E4941EA" w14:textId="47F431FD" w:rsidR="002E4FB4" w:rsidRDefault="00835F13" w:rsidP="001122B3">
            <w:pPr>
              <w:pStyle w:val="DataField11pt-Single"/>
              <w:jc w:val="both"/>
            </w:pPr>
            <w:r w:rsidRPr="009B37FD">
              <w:t>P</w:t>
            </w:r>
            <w:r w:rsidR="00CB6EAD" w:rsidRPr="009B37FD">
              <w:t>ostdoc</w:t>
            </w:r>
          </w:p>
          <w:p w14:paraId="30FE8A77" w14:textId="466ECD8E" w:rsidR="00835F13" w:rsidRPr="009B37FD" w:rsidRDefault="00835F13" w:rsidP="001122B3">
            <w:pPr>
              <w:pStyle w:val="DataField11pt-Single"/>
              <w:jc w:val="both"/>
            </w:pPr>
          </w:p>
        </w:tc>
        <w:tc>
          <w:tcPr>
            <w:tcW w:w="1422" w:type="dxa"/>
            <w:tcBorders>
              <w:top w:val="nil"/>
              <w:left w:val="single" w:sz="4" w:space="0" w:color="auto"/>
              <w:bottom w:val="nil"/>
              <w:right w:val="single" w:sz="4" w:space="0" w:color="auto"/>
            </w:tcBorders>
            <w:vAlign w:val="center"/>
          </w:tcPr>
          <w:p w14:paraId="59601F59" w14:textId="77777777" w:rsidR="002E4FB4" w:rsidRDefault="003F5CA4" w:rsidP="001122B3">
            <w:pPr>
              <w:pStyle w:val="DataField11pt-Single"/>
              <w:jc w:val="both"/>
            </w:pPr>
            <w:r>
              <w:t>1988-1990</w:t>
            </w:r>
          </w:p>
          <w:p w14:paraId="3012B75F" w14:textId="56BDB252" w:rsidR="00835F13" w:rsidRPr="009B37FD" w:rsidRDefault="00835F13" w:rsidP="001122B3">
            <w:pPr>
              <w:pStyle w:val="DataField11pt-Single"/>
              <w:jc w:val="both"/>
            </w:pPr>
          </w:p>
        </w:tc>
        <w:tc>
          <w:tcPr>
            <w:tcW w:w="2665" w:type="dxa"/>
            <w:tcBorders>
              <w:top w:val="nil"/>
              <w:left w:val="single" w:sz="4" w:space="0" w:color="auto"/>
              <w:bottom w:val="nil"/>
              <w:right w:val="nil"/>
            </w:tcBorders>
            <w:vAlign w:val="center"/>
          </w:tcPr>
          <w:p w14:paraId="1A48F9B6" w14:textId="77777777" w:rsidR="002E4FB4" w:rsidRDefault="00CB6EAD" w:rsidP="001122B3">
            <w:pPr>
              <w:pStyle w:val="DataField11pt-Single"/>
              <w:jc w:val="both"/>
            </w:pPr>
            <w:r w:rsidRPr="009B37FD">
              <w:t>Molecular Microbiology</w:t>
            </w:r>
          </w:p>
          <w:p w14:paraId="59117D92" w14:textId="45EE0189" w:rsidR="00835F13" w:rsidRPr="009B37FD" w:rsidRDefault="00835F13" w:rsidP="001122B3">
            <w:pPr>
              <w:pStyle w:val="DataField11pt-Single"/>
              <w:jc w:val="both"/>
            </w:pPr>
          </w:p>
        </w:tc>
      </w:tr>
    </w:tbl>
    <w:p w14:paraId="3157F5FB" w14:textId="0618DF22" w:rsidR="002E4FB4" w:rsidRPr="009B37FD" w:rsidRDefault="002E4FB4" w:rsidP="001122B3">
      <w:pPr>
        <w:pStyle w:val="DataField11pt-Single"/>
        <w:jc w:val="both"/>
      </w:pPr>
    </w:p>
    <w:p w14:paraId="168473AE" w14:textId="77777777" w:rsidR="001D7244" w:rsidRPr="009B37FD" w:rsidRDefault="001D7244" w:rsidP="001122B3">
      <w:pPr>
        <w:pStyle w:val="DataField11pt-Single"/>
        <w:jc w:val="both"/>
        <w:rPr>
          <w:b/>
        </w:rPr>
      </w:pPr>
      <w:r w:rsidRPr="009B37FD">
        <w:rPr>
          <w:b/>
        </w:rPr>
        <w:t>A. Personal Statement</w:t>
      </w:r>
    </w:p>
    <w:p w14:paraId="419C4AFF" w14:textId="61C3C61C" w:rsidR="00191F20" w:rsidRDefault="0000189E" w:rsidP="0000189E">
      <w:pPr>
        <w:pStyle w:val="DataField11pt-Single"/>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t xml:space="preserve">My work focuses on computational biology and bioinformatics; with an interest in the use of high-throughput sequencing methods to study bacterial populations and a second interest in molecular evolution. Oddly enough these two research areas fit very nicely together as they both deal with very large numbers of data points and use very similar statistical analysis tools. I have found that the underlying tools in one domain translate rather well into the other. </w:t>
      </w:r>
      <w:r w:rsidRPr="0000189E">
        <w:t xml:space="preserve">I </w:t>
      </w:r>
      <w:r>
        <w:t>also actively develop method</w:t>
      </w:r>
      <w:r w:rsidRPr="0000189E">
        <w:t xml:space="preserve"> to characteri</w:t>
      </w:r>
      <w:r>
        <w:t>ze microbiota samples using emerging sequencing platforms</w:t>
      </w:r>
      <w:r w:rsidRPr="0000189E">
        <w:t>.</w:t>
      </w:r>
      <w:r>
        <w:t xml:space="preserve"> We were the first to develop a method for the Illumina GA/</w:t>
      </w:r>
      <w:proofErr w:type="spellStart"/>
      <w:r>
        <w:t>HiSeq</w:t>
      </w:r>
      <w:proofErr w:type="spellEnd"/>
      <w:r>
        <w:t xml:space="preserve"> platform, developed 16S sequencing methods for the Ion Torrent, and recently l have developed a strategy for sequencing amplimers of arbitrarily low complexity on the Illumina </w:t>
      </w:r>
      <w:proofErr w:type="spellStart"/>
      <w:r>
        <w:t>MiSeq</w:t>
      </w:r>
      <w:proofErr w:type="spellEnd"/>
      <w:r>
        <w:t xml:space="preserve"> platform.</w:t>
      </w:r>
      <w:r w:rsidR="00357882" w:rsidRPr="00357882">
        <w:t xml:space="preserve"> </w:t>
      </w:r>
      <w:r w:rsidR="00357882">
        <w:t xml:space="preserve">My lab developed a novel statistical method for meta-RNA-seq that uses </w:t>
      </w:r>
      <w:proofErr w:type="spellStart"/>
      <w:r w:rsidR="00357882">
        <w:t>Baysian</w:t>
      </w:r>
      <w:proofErr w:type="spellEnd"/>
      <w:r w:rsidR="00357882">
        <w:t xml:space="preserve"> techniques coupled with the </w:t>
      </w:r>
      <w:proofErr w:type="spellStart"/>
      <w:r w:rsidR="00191F20">
        <w:t>c</w:t>
      </w:r>
      <w:r w:rsidR="00B45574">
        <w:t>entred</w:t>
      </w:r>
      <w:proofErr w:type="spellEnd"/>
      <w:r w:rsidR="00191F20">
        <w:t xml:space="preserve"> l</w:t>
      </w:r>
      <w:r w:rsidR="00357882">
        <w:t>og</w:t>
      </w:r>
      <w:r w:rsidR="00B45574">
        <w:t>-ratio</w:t>
      </w:r>
      <w:r w:rsidR="00191F20">
        <w:t xml:space="preserve"> t</w:t>
      </w:r>
      <w:r w:rsidR="00357882">
        <w:t xml:space="preserve">ransformation to conduct a consistency check on gene expression levels. </w:t>
      </w:r>
      <w:r w:rsidR="00191F20">
        <w:t xml:space="preserve">The approach is compatible with and extends the compositional data analysis approaches that are widely used in other scientific domains. </w:t>
      </w:r>
      <w:r w:rsidR="00357882">
        <w:t>With this, we can identify gene expression changes that are not linked to organism abundance. This methodology provides a robust statistical framework that allows us to interrogate mixed microbial communities and find out what the constituent organisms are doing. With this, we showed that the organisms in the vaginal community demonstrate a remarkable consistency in their functional capacity, regardless of the community composition.</w:t>
      </w:r>
      <w:r>
        <w:t xml:space="preserve"> </w:t>
      </w:r>
      <w:r w:rsidR="00191F20">
        <w:t>This demonstrated that enumerating the constituents of an ecosystem may be providing less information regarding their functional impact than is generally believed.</w:t>
      </w:r>
    </w:p>
    <w:p w14:paraId="2B6E6A99" w14:textId="77777777" w:rsidR="00191F20" w:rsidRDefault="00191F20" w:rsidP="0000189E">
      <w:pPr>
        <w:pStyle w:val="DataField11pt-Single"/>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p>
    <w:p w14:paraId="5CCAF4AA" w14:textId="07BDF949" w:rsidR="0011175F" w:rsidRDefault="001E26B7" w:rsidP="0000189E">
      <w:pPr>
        <w:pStyle w:val="DataField11pt-Single"/>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t>T</w:t>
      </w:r>
      <w:r w:rsidR="00191F20">
        <w:t>he compositional data analysis</w:t>
      </w:r>
      <w:r w:rsidR="00DE32E6">
        <w:t xml:space="preserve"> approach</w:t>
      </w:r>
      <w:r w:rsidR="00191F20">
        <w:t xml:space="preserve"> developed for meta-RNA seq</w:t>
      </w:r>
      <w:r w:rsidR="00DE32E6">
        <w:t xml:space="preserve"> appears to be a generally sound one for the analysis of other high-dime</w:t>
      </w:r>
      <w:r w:rsidR="00191F20">
        <w:t xml:space="preserve">nsional sequencing experiments, and we have adapted it to characterize differential abundance generally for high throughput sequencing experiments. Additionally, I have adapted a number of other compositional analysis </w:t>
      </w:r>
      <w:r>
        <w:t>tools for use in high throughput sequencing and am making them available to the broader community.</w:t>
      </w:r>
    </w:p>
    <w:p w14:paraId="7EF939EC" w14:textId="77777777" w:rsidR="002E4FB4" w:rsidRPr="009B37FD" w:rsidRDefault="002E4FB4" w:rsidP="001122B3">
      <w:pPr>
        <w:pStyle w:val="DataField11pt-Single"/>
        <w:jc w:val="both"/>
      </w:pPr>
    </w:p>
    <w:p w14:paraId="3A301808" w14:textId="77777777" w:rsidR="002E4FB4" w:rsidRPr="009B37FD" w:rsidRDefault="001D7244" w:rsidP="001122B3">
      <w:pPr>
        <w:pStyle w:val="DataField11pt-Single"/>
        <w:jc w:val="both"/>
        <w:rPr>
          <w:b/>
        </w:rPr>
      </w:pPr>
      <w:r w:rsidRPr="009B37FD">
        <w:rPr>
          <w:b/>
        </w:rPr>
        <w:t>B</w:t>
      </w:r>
      <w:r w:rsidR="002E4FB4" w:rsidRPr="009B37FD">
        <w:rPr>
          <w:b/>
        </w:rPr>
        <w:t>.  Positions and Honors</w:t>
      </w:r>
    </w:p>
    <w:p w14:paraId="6216CA23" w14:textId="5850710D" w:rsidR="002E4FB4" w:rsidRPr="009B37FD" w:rsidRDefault="003F5CA4" w:rsidP="001122B3">
      <w:pPr>
        <w:pStyle w:val="DataField11pt-Single"/>
        <w:numPr>
          <w:ilvl w:val="0"/>
          <w:numId w:val="15"/>
        </w:numPr>
        <w:tabs>
          <w:tab w:val="clear" w:pos="720"/>
          <w:tab w:val="num" w:pos="426"/>
        </w:tabs>
        <w:ind w:left="142" w:hanging="142"/>
        <w:jc w:val="both"/>
      </w:pPr>
      <w:r>
        <w:rPr>
          <w:b/>
        </w:rPr>
        <w:t>1990</w:t>
      </w:r>
      <w:r w:rsidR="002E4FB4" w:rsidRPr="009B37FD">
        <w:rPr>
          <w:b/>
        </w:rPr>
        <w:t>-</w:t>
      </w:r>
      <w:r>
        <w:rPr>
          <w:b/>
        </w:rPr>
        <w:t>1992</w:t>
      </w:r>
      <w:r>
        <w:rPr>
          <w:b/>
        </w:rPr>
        <w:tab/>
      </w:r>
      <w:r>
        <w:t>Assistant Professor of Molecular Genetics, Memorial University of Newfoundland, Canada</w:t>
      </w:r>
    </w:p>
    <w:p w14:paraId="1F559BC0" w14:textId="05323ACD" w:rsidR="002E4FB4" w:rsidRPr="009B37FD" w:rsidRDefault="003F5CA4" w:rsidP="001122B3">
      <w:pPr>
        <w:pStyle w:val="DataField11pt-Single"/>
        <w:numPr>
          <w:ilvl w:val="0"/>
          <w:numId w:val="15"/>
        </w:numPr>
        <w:tabs>
          <w:tab w:val="clear" w:pos="720"/>
          <w:tab w:val="num" w:pos="426"/>
        </w:tabs>
        <w:ind w:left="142" w:hanging="142"/>
        <w:jc w:val="both"/>
      </w:pPr>
      <w:r>
        <w:rPr>
          <w:b/>
        </w:rPr>
        <w:t>1993</w:t>
      </w:r>
      <w:r w:rsidR="002E4FB4" w:rsidRPr="009B37FD">
        <w:rPr>
          <w:b/>
        </w:rPr>
        <w:t>-</w:t>
      </w:r>
      <w:r>
        <w:rPr>
          <w:b/>
        </w:rPr>
        <w:t>1997</w:t>
      </w:r>
      <w:r>
        <w:tab/>
        <w:t>Assistant Professor of Biochemistry, University of Western Ontario, Canada</w:t>
      </w:r>
    </w:p>
    <w:p w14:paraId="061E4AD9" w14:textId="77777777" w:rsidR="003F5CA4" w:rsidRDefault="003F5CA4" w:rsidP="001122B3">
      <w:pPr>
        <w:pStyle w:val="DataField11pt-Single"/>
        <w:numPr>
          <w:ilvl w:val="0"/>
          <w:numId w:val="15"/>
        </w:numPr>
        <w:tabs>
          <w:tab w:val="clear" w:pos="720"/>
          <w:tab w:val="num" w:pos="426"/>
        </w:tabs>
        <w:ind w:left="142" w:hanging="142"/>
        <w:jc w:val="both"/>
      </w:pPr>
      <w:r w:rsidRPr="003F5CA4">
        <w:rPr>
          <w:b/>
        </w:rPr>
        <w:t>1997</w:t>
      </w:r>
      <w:r w:rsidR="002E4FB4" w:rsidRPr="003F5CA4">
        <w:rPr>
          <w:b/>
        </w:rPr>
        <w:t>-</w:t>
      </w:r>
      <w:r w:rsidRPr="003F5CA4">
        <w:rPr>
          <w:b/>
        </w:rPr>
        <w:t>2002</w:t>
      </w:r>
      <w:r>
        <w:tab/>
        <w:t>Associate Professor of Biochemistry, University of Western Ontario, Canada</w:t>
      </w:r>
    </w:p>
    <w:p w14:paraId="022FA131" w14:textId="745FB7C6" w:rsidR="003F5CA4" w:rsidRDefault="003F5CA4" w:rsidP="001122B3">
      <w:pPr>
        <w:pStyle w:val="DataField11pt-Single"/>
        <w:numPr>
          <w:ilvl w:val="0"/>
          <w:numId w:val="15"/>
        </w:numPr>
        <w:tabs>
          <w:tab w:val="clear" w:pos="720"/>
          <w:tab w:val="num" w:pos="426"/>
        </w:tabs>
        <w:ind w:left="142" w:hanging="142"/>
        <w:jc w:val="both"/>
      </w:pPr>
      <w:r>
        <w:rPr>
          <w:b/>
        </w:rPr>
        <w:t>2002</w:t>
      </w:r>
      <w:r w:rsidR="002E4FB4" w:rsidRPr="003F5CA4">
        <w:rPr>
          <w:b/>
        </w:rPr>
        <w:t>-</w:t>
      </w:r>
      <w:r>
        <w:rPr>
          <w:b/>
        </w:rPr>
        <w:tab/>
      </w:r>
      <w:r>
        <w:rPr>
          <w:b/>
        </w:rPr>
        <w:tab/>
      </w:r>
      <w:r>
        <w:t>Professor of Biochemistry, University of Western Ontario, Canada</w:t>
      </w:r>
    </w:p>
    <w:p w14:paraId="171A14D1" w14:textId="2604A326" w:rsidR="005E50ED" w:rsidRDefault="005E50ED" w:rsidP="001122B3">
      <w:pPr>
        <w:pStyle w:val="DataField11pt-Single"/>
        <w:numPr>
          <w:ilvl w:val="0"/>
          <w:numId w:val="15"/>
        </w:numPr>
        <w:tabs>
          <w:tab w:val="clear" w:pos="720"/>
          <w:tab w:val="num" w:pos="426"/>
        </w:tabs>
        <w:ind w:left="142" w:hanging="142"/>
        <w:jc w:val="both"/>
      </w:pPr>
      <w:r>
        <w:rPr>
          <w:b/>
        </w:rPr>
        <w:t>2019-</w:t>
      </w:r>
      <w:r>
        <w:tab/>
      </w:r>
      <w:r>
        <w:tab/>
        <w:t>Chair, Department of Biochemistry</w:t>
      </w:r>
    </w:p>
    <w:p w14:paraId="7F6DE49C" w14:textId="77777777" w:rsidR="002E4FB4" w:rsidRPr="009B37FD" w:rsidRDefault="002E4FB4" w:rsidP="001122B3">
      <w:pPr>
        <w:pStyle w:val="DataField11pt-Single"/>
        <w:jc w:val="both"/>
      </w:pPr>
    </w:p>
    <w:p w14:paraId="35E829DC" w14:textId="77777777" w:rsidR="002E4FB4" w:rsidRPr="009B37FD" w:rsidRDefault="002E4FB4" w:rsidP="001122B3">
      <w:pPr>
        <w:pStyle w:val="DataField11pt-Single"/>
        <w:jc w:val="both"/>
        <w:rPr>
          <w:b/>
        </w:rPr>
      </w:pPr>
      <w:r w:rsidRPr="009B37FD">
        <w:rPr>
          <w:b/>
        </w:rPr>
        <w:t>Other experience and Professional Memberships</w:t>
      </w:r>
    </w:p>
    <w:p w14:paraId="7DCA5A27" w14:textId="77777777" w:rsidR="003F5CA4" w:rsidRDefault="003F5CA4" w:rsidP="003F5CA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40"/>
          <w:tab w:val="left" w:pos="7200"/>
          <w:tab w:val="left" w:pos="7560"/>
          <w:tab w:val="left" w:pos="7920"/>
          <w:tab w:val="left" w:pos="8280"/>
          <w:tab w:val="left" w:pos="8640"/>
          <w:tab w:val="left" w:pos="9000"/>
          <w:tab w:val="left" w:pos="9360"/>
          <w:tab w:val="left" w:pos="9720"/>
          <w:tab w:val="left" w:pos="10080"/>
          <w:tab w:val="left" w:pos="10300"/>
        </w:tabs>
        <w:rPr>
          <w:rFonts w:ascii="Helvetica" w:hAnsi="Helvetica"/>
          <w:sz w:val="21"/>
        </w:rPr>
      </w:pPr>
      <w:r w:rsidRPr="003F5CA4">
        <w:rPr>
          <w:rFonts w:ascii="Helvetica" w:hAnsi="Helvetica"/>
          <w:b/>
          <w:sz w:val="21"/>
        </w:rPr>
        <w:t>1998-2008</w:t>
      </w:r>
      <w:r>
        <w:rPr>
          <w:rFonts w:ascii="Helvetica" w:hAnsi="Helvetica"/>
          <w:sz w:val="21"/>
        </w:rPr>
        <w:tab/>
        <w:t xml:space="preserve">      Medical Research Council of Canada: BMB/Genetics/Genomics invitee Peer Review </w:t>
      </w:r>
    </w:p>
    <w:p w14:paraId="56F17D1B" w14:textId="77777777" w:rsidR="003F5CA4" w:rsidRDefault="003F5CA4" w:rsidP="003F5CA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40"/>
          <w:tab w:val="left" w:pos="7200"/>
          <w:tab w:val="left" w:pos="7560"/>
          <w:tab w:val="left" w:pos="7920"/>
          <w:tab w:val="left" w:pos="8280"/>
          <w:tab w:val="left" w:pos="8640"/>
          <w:tab w:val="left" w:pos="9000"/>
          <w:tab w:val="left" w:pos="9360"/>
          <w:tab w:val="left" w:pos="9720"/>
          <w:tab w:val="left" w:pos="10080"/>
          <w:tab w:val="left" w:pos="10300"/>
        </w:tabs>
        <w:rPr>
          <w:rFonts w:ascii="Helvetica" w:hAnsi="Helvetica"/>
          <w:sz w:val="21"/>
        </w:rPr>
      </w:pPr>
      <w:r>
        <w:rPr>
          <w:rFonts w:ascii="Helvetica" w:hAnsi="Helvetica"/>
          <w:sz w:val="21"/>
        </w:rPr>
        <w:t xml:space="preserve">                         Panel Invitee, (one Peer Review Panel meeting each in 1998-2008)</w:t>
      </w:r>
    </w:p>
    <w:p w14:paraId="0959673A" w14:textId="77777777" w:rsidR="003F5CA4" w:rsidRDefault="003F5CA4" w:rsidP="003F5CA4">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rPr>
          <w:rFonts w:ascii="Helvetica" w:hAnsi="Helvetica"/>
          <w:sz w:val="21"/>
        </w:rPr>
      </w:pPr>
      <w:r w:rsidRPr="003F5CA4">
        <w:rPr>
          <w:rFonts w:ascii="Helvetica" w:hAnsi="Helvetica"/>
          <w:b/>
          <w:sz w:val="21"/>
        </w:rPr>
        <w:t>2006-2009</w:t>
      </w:r>
      <w:r>
        <w:rPr>
          <w:rFonts w:ascii="Helvetica" w:hAnsi="Helvetica"/>
          <w:sz w:val="21"/>
        </w:rPr>
        <w:tab/>
      </w:r>
      <w:r>
        <w:rPr>
          <w:rFonts w:ascii="Helvetica" w:hAnsi="Helvetica"/>
          <w:sz w:val="21"/>
        </w:rPr>
        <w:tab/>
        <w:t>National Cancer Institute of Canada, Model Organisms Panel B2 Member</w:t>
      </w:r>
    </w:p>
    <w:p w14:paraId="493C1B49" w14:textId="1AF3A846" w:rsidR="003F5CA4" w:rsidRDefault="003F5CA4" w:rsidP="003F5CA4">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rPr>
          <w:rFonts w:ascii="Helvetica" w:hAnsi="Helvetica"/>
          <w:sz w:val="21"/>
        </w:rPr>
      </w:pPr>
      <w:r w:rsidRPr="00EF027B">
        <w:rPr>
          <w:rFonts w:ascii="Helvetica" w:hAnsi="Helvetica"/>
          <w:b/>
          <w:sz w:val="21"/>
        </w:rPr>
        <w:t>2008-2013</w:t>
      </w:r>
      <w:r w:rsidRPr="00EF027B">
        <w:rPr>
          <w:rFonts w:ascii="Helvetica" w:hAnsi="Helvetica"/>
          <w:b/>
          <w:sz w:val="21"/>
        </w:rPr>
        <w:tab/>
      </w:r>
      <w:r>
        <w:rPr>
          <w:rFonts w:ascii="Helvetica" w:hAnsi="Helvetica"/>
          <w:sz w:val="21"/>
        </w:rPr>
        <w:tab/>
        <w:t>IODE Doctoral Scholarship committee, member</w:t>
      </w:r>
    </w:p>
    <w:p w14:paraId="45D9DD8F" w14:textId="4DC75E29" w:rsidR="003F5CA4" w:rsidRDefault="003F5CA4" w:rsidP="003F5CA4">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rPr>
          <w:rFonts w:ascii="Helvetica" w:hAnsi="Helvetica"/>
          <w:sz w:val="21"/>
        </w:rPr>
      </w:pPr>
      <w:r w:rsidRPr="00EF027B">
        <w:rPr>
          <w:rFonts w:ascii="Helvetica" w:hAnsi="Helvetica"/>
          <w:b/>
          <w:sz w:val="21"/>
        </w:rPr>
        <w:t>2010-</w:t>
      </w:r>
      <w:r w:rsidR="005E50ED">
        <w:rPr>
          <w:rFonts w:ascii="Helvetica" w:hAnsi="Helvetica"/>
          <w:b/>
          <w:sz w:val="21"/>
        </w:rPr>
        <w:t>2016</w:t>
      </w:r>
      <w:r>
        <w:rPr>
          <w:rFonts w:ascii="Helvetica" w:hAnsi="Helvetica"/>
          <w:sz w:val="21"/>
        </w:rPr>
        <w:tab/>
      </w:r>
      <w:r>
        <w:rPr>
          <w:rFonts w:ascii="Helvetica" w:hAnsi="Helvetica"/>
          <w:sz w:val="21"/>
        </w:rPr>
        <w:tab/>
        <w:t>Canadian Institutes of Health Research, Genetics Peer Review Panel Full Member</w:t>
      </w:r>
    </w:p>
    <w:p w14:paraId="3AFAC3DC" w14:textId="4FB5CB9E" w:rsidR="005E50ED" w:rsidRDefault="005E50ED" w:rsidP="003F5CA4">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rPr>
          <w:rFonts w:ascii="Helvetica" w:hAnsi="Helvetica"/>
          <w:sz w:val="21"/>
        </w:rPr>
      </w:pPr>
    </w:p>
    <w:p w14:paraId="29C5AE89" w14:textId="3C194241" w:rsidR="005E50ED" w:rsidRPr="005E50ED" w:rsidRDefault="005E50ED" w:rsidP="00BC178C">
      <w:pPr>
        <w:pStyle w:val="DataField11pt-Single"/>
        <w:jc w:val="both"/>
        <w:rPr>
          <w:bCs/>
        </w:rPr>
      </w:pPr>
      <w:r>
        <w:rPr>
          <w:b/>
        </w:rPr>
        <w:t>2016-</w:t>
      </w:r>
      <w:r>
        <w:rPr>
          <w:b/>
        </w:rPr>
        <w:tab/>
      </w:r>
      <w:r>
        <w:rPr>
          <w:b/>
        </w:rPr>
        <w:tab/>
      </w:r>
      <w:r>
        <w:rPr>
          <w:bCs/>
        </w:rPr>
        <w:t xml:space="preserve">Chair, </w:t>
      </w:r>
      <w:r>
        <w:rPr>
          <w:rFonts w:ascii="Helvetica" w:hAnsi="Helvetica"/>
          <w:sz w:val="21"/>
        </w:rPr>
        <w:t xml:space="preserve">Canadian Institutes of Health Research, </w:t>
      </w:r>
      <w:r>
        <w:rPr>
          <w:rFonts w:ascii="Helvetica" w:hAnsi="Helvetica"/>
          <w:sz w:val="21"/>
        </w:rPr>
        <w:t>Genomics Panel</w:t>
      </w:r>
    </w:p>
    <w:p w14:paraId="152FD04B" w14:textId="74743943" w:rsidR="00BC178C" w:rsidRPr="00BC178C" w:rsidRDefault="00BC178C" w:rsidP="00BC178C">
      <w:pPr>
        <w:pStyle w:val="DataField11pt-Single"/>
        <w:jc w:val="both"/>
      </w:pPr>
      <w:r>
        <w:rPr>
          <w:b/>
        </w:rPr>
        <w:t>2012-2015</w:t>
      </w:r>
      <w:r w:rsidRPr="00BC178C">
        <w:rPr>
          <w:b/>
        </w:rPr>
        <w:t xml:space="preserve"> </w:t>
      </w:r>
      <w:r>
        <w:rPr>
          <w:b/>
        </w:rPr>
        <w:tab/>
      </w:r>
      <w:r w:rsidRPr="00BC178C">
        <w:t>Editorial Board member Microbiome </w:t>
      </w:r>
    </w:p>
    <w:p w14:paraId="29B72AB8" w14:textId="399954BC" w:rsidR="00BC178C" w:rsidRDefault="00BC178C" w:rsidP="00BC178C">
      <w:pPr>
        <w:pStyle w:val="DataField11pt-Single"/>
        <w:jc w:val="both"/>
        <w:rPr>
          <w:b/>
        </w:rPr>
      </w:pPr>
      <w:r>
        <w:rPr>
          <w:b/>
        </w:rPr>
        <w:t>2014-present</w:t>
      </w:r>
      <w:r>
        <w:rPr>
          <w:b/>
        </w:rPr>
        <w:tab/>
      </w:r>
      <w:r w:rsidRPr="00BC178C">
        <w:t>CRC College of Reviewers</w:t>
      </w:r>
      <w:r>
        <w:rPr>
          <w:b/>
        </w:rPr>
        <w:t xml:space="preserve"> </w:t>
      </w:r>
    </w:p>
    <w:p w14:paraId="70AD2B20" w14:textId="72EE97C0" w:rsidR="00BC178C" w:rsidRPr="00BC178C" w:rsidRDefault="00BC178C" w:rsidP="00BC178C">
      <w:pPr>
        <w:pStyle w:val="DataField11pt-Single"/>
        <w:jc w:val="both"/>
      </w:pPr>
      <w:r>
        <w:rPr>
          <w:b/>
        </w:rPr>
        <w:t>2015</w:t>
      </w:r>
      <w:r>
        <w:rPr>
          <w:b/>
        </w:rPr>
        <w:tab/>
      </w:r>
      <w:r>
        <w:rPr>
          <w:b/>
        </w:rPr>
        <w:tab/>
      </w:r>
      <w:r w:rsidRPr="00BC178C">
        <w:t>Ontario Genomics Institute: SPARC and Genome Canada review panel</w:t>
      </w:r>
    </w:p>
    <w:p w14:paraId="2AD70723" w14:textId="77777777" w:rsidR="000D5B1D" w:rsidRDefault="000D5B1D" w:rsidP="000D5B1D">
      <w:pPr>
        <w:pStyle w:val="DataField11pt-Single"/>
        <w:jc w:val="both"/>
        <w:rPr>
          <w:b/>
        </w:rPr>
      </w:pPr>
      <w:r>
        <w:rPr>
          <w:b/>
        </w:rPr>
        <w:t>2015-2021</w:t>
      </w:r>
      <w:r>
        <w:rPr>
          <w:b/>
        </w:rPr>
        <w:tab/>
      </w:r>
      <w:r w:rsidRPr="00BC178C">
        <w:t>Associate Editor, Microbiome </w:t>
      </w:r>
    </w:p>
    <w:p w14:paraId="163996E5" w14:textId="6592C7D5" w:rsidR="000D5B1D" w:rsidRDefault="000D5B1D" w:rsidP="000D5B1D">
      <w:pPr>
        <w:pStyle w:val="DataField11pt-Single"/>
        <w:jc w:val="both"/>
        <w:rPr>
          <w:b/>
        </w:rPr>
      </w:pPr>
      <w:r>
        <w:rPr>
          <w:b/>
        </w:rPr>
        <w:t>20</w:t>
      </w:r>
      <w:r>
        <w:rPr>
          <w:b/>
        </w:rPr>
        <w:t>21</w:t>
      </w:r>
      <w:r>
        <w:rPr>
          <w:b/>
        </w:rPr>
        <w:t>-</w:t>
      </w:r>
      <w:r>
        <w:rPr>
          <w:b/>
        </w:rPr>
        <w:tab/>
      </w:r>
      <w:r>
        <w:rPr>
          <w:b/>
        </w:rPr>
        <w:tab/>
      </w:r>
      <w:r>
        <w:t>Consulting</w:t>
      </w:r>
      <w:r w:rsidRPr="00BC178C">
        <w:t xml:space="preserve"> Editor, Microbiome </w:t>
      </w:r>
    </w:p>
    <w:p w14:paraId="244D5816" w14:textId="2CB19F23" w:rsidR="002E4FB4" w:rsidRPr="009B37FD" w:rsidRDefault="002E4FB4" w:rsidP="001122B3">
      <w:pPr>
        <w:pStyle w:val="DataField11pt-Single"/>
        <w:jc w:val="both"/>
        <w:rPr>
          <w:b/>
        </w:rPr>
      </w:pPr>
    </w:p>
    <w:p w14:paraId="46391105" w14:textId="77777777" w:rsidR="002E4FB4" w:rsidRPr="009B37FD" w:rsidRDefault="002E4FB4" w:rsidP="001122B3">
      <w:pPr>
        <w:pStyle w:val="DataField11pt-Single"/>
        <w:jc w:val="both"/>
        <w:rPr>
          <w:b/>
        </w:rPr>
      </w:pPr>
      <w:r w:rsidRPr="009B37FD">
        <w:rPr>
          <w:b/>
        </w:rPr>
        <w:t>Honors</w:t>
      </w:r>
    </w:p>
    <w:p w14:paraId="77ED506C" w14:textId="77777777" w:rsidR="00EF027B" w:rsidRDefault="00EF027B" w:rsidP="00EF027B">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rsidRPr="00EF027B">
        <w:rPr>
          <w:b/>
        </w:rPr>
        <w:t>2005</w:t>
      </w:r>
      <w:r>
        <w:tab/>
      </w:r>
      <w:r>
        <w:tab/>
      </w:r>
      <w:r>
        <w:tab/>
        <w:t>Schulich School of Medicine Teaching Award</w:t>
      </w:r>
    </w:p>
    <w:p w14:paraId="66334547" w14:textId="77777777" w:rsidR="00EF027B" w:rsidRDefault="00EF027B" w:rsidP="00EF027B">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rsidRPr="00EF027B">
        <w:rPr>
          <w:b/>
        </w:rPr>
        <w:t>2007</w:t>
      </w:r>
      <w:r w:rsidRPr="00EF027B">
        <w:rPr>
          <w:b/>
        </w:rPr>
        <w:tab/>
      </w:r>
      <w:r>
        <w:tab/>
      </w:r>
      <w:r>
        <w:tab/>
        <w:t>University Student's Council Teaching Honor Roll</w:t>
      </w:r>
    </w:p>
    <w:p w14:paraId="76537FBF" w14:textId="77777777" w:rsidR="00EF027B" w:rsidRDefault="00EF027B" w:rsidP="00EF027B">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rsidRPr="00EF027B">
        <w:rPr>
          <w:b/>
        </w:rPr>
        <w:t>2009</w:t>
      </w:r>
      <w:r w:rsidRPr="00EF027B">
        <w:rPr>
          <w:b/>
        </w:rPr>
        <w:tab/>
      </w:r>
      <w:r>
        <w:tab/>
      </w:r>
      <w:r>
        <w:tab/>
        <w:t>University Student's Council Teaching Honor Roll</w:t>
      </w:r>
    </w:p>
    <w:p w14:paraId="7C58AF67" w14:textId="5A70CC5E" w:rsidR="00EF027B" w:rsidRDefault="00EF027B" w:rsidP="00EF027B">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rsidRPr="00EF027B">
        <w:rPr>
          <w:b/>
        </w:rPr>
        <w:t>20</w:t>
      </w:r>
      <w:r>
        <w:rPr>
          <w:b/>
        </w:rPr>
        <w:t>11</w:t>
      </w:r>
      <w:r w:rsidRPr="00EF027B">
        <w:rPr>
          <w:b/>
        </w:rPr>
        <w:tab/>
      </w:r>
      <w:r>
        <w:tab/>
      </w:r>
      <w:r>
        <w:tab/>
        <w:t>University Student's Council Teaching Honor Roll</w:t>
      </w:r>
    </w:p>
    <w:p w14:paraId="07EE2F28" w14:textId="4B63B78B" w:rsidR="00EF027B" w:rsidRDefault="00EF027B" w:rsidP="00EF027B">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rsidRPr="00EF027B">
        <w:rPr>
          <w:b/>
        </w:rPr>
        <w:t>2011-2013</w:t>
      </w:r>
      <w:r w:rsidR="00835F13">
        <w:t xml:space="preserve">      </w:t>
      </w:r>
      <w:r>
        <w:t>Faculty Scholar</w:t>
      </w:r>
    </w:p>
    <w:p w14:paraId="1FA6807F" w14:textId="77777777" w:rsidR="000D1787" w:rsidRPr="009B37FD" w:rsidRDefault="000D1787" w:rsidP="001122B3">
      <w:pPr>
        <w:pStyle w:val="DataField11pt-Single"/>
        <w:jc w:val="both"/>
        <w:rPr>
          <w:b/>
        </w:rPr>
      </w:pPr>
    </w:p>
    <w:p w14:paraId="519C4E32" w14:textId="35240190" w:rsidR="002E4FB4" w:rsidRPr="009B37FD" w:rsidRDefault="00100E60" w:rsidP="0011175F">
      <w:pPr>
        <w:pStyle w:val="DataField11pt-Single"/>
        <w:spacing w:after="120"/>
        <w:jc w:val="both"/>
        <w:rPr>
          <w:b/>
        </w:rPr>
      </w:pPr>
      <w:r w:rsidRPr="009B37FD">
        <w:rPr>
          <w:b/>
        </w:rPr>
        <w:t>C</w:t>
      </w:r>
      <w:r w:rsidR="001327B6" w:rsidRPr="009B37FD">
        <w:rPr>
          <w:b/>
        </w:rPr>
        <w:t xml:space="preserve">.  </w:t>
      </w:r>
      <w:r w:rsidR="00DE32E6">
        <w:rPr>
          <w:b/>
        </w:rPr>
        <w:t>Peer</w:t>
      </w:r>
      <w:r w:rsidR="002E4FB4" w:rsidRPr="009B37FD">
        <w:rPr>
          <w:b/>
        </w:rPr>
        <w:t xml:space="preserve"> reviewed Publications (</w:t>
      </w:r>
      <w:r w:rsidR="00A302EA">
        <w:rPr>
          <w:b/>
        </w:rPr>
        <w:t>last 3 years</w:t>
      </w:r>
      <w:r w:rsidR="002E4FB4" w:rsidRPr="009B37FD">
        <w:rPr>
          <w:b/>
        </w:rPr>
        <w:t>)</w:t>
      </w:r>
    </w:p>
    <w:p w14:paraId="0039A4F5" w14:textId="77777777" w:rsidR="00D90A00" w:rsidRPr="00D90A00" w:rsidRDefault="00D90A00" w:rsidP="00D90A00">
      <w:pPr>
        <w:pStyle w:val="ListParagraph"/>
        <w:numPr>
          <w:ilvl w:val="0"/>
          <w:numId w:val="43"/>
        </w:numPr>
        <w:spacing w:after="40"/>
      </w:pPr>
      <w:r w:rsidRPr="00D90A00">
        <w:rPr>
          <w:rFonts w:ascii="Palatino" w:hAnsi="Palatino"/>
          <w:sz w:val="22"/>
          <w:szCs w:val="22"/>
        </w:rPr>
        <w:t>J.</w:t>
      </w:r>
      <w:proofErr w:type="gramStart"/>
      <w:r w:rsidRPr="00D90A00">
        <w:rPr>
          <w:rFonts w:ascii="Palatino" w:hAnsi="Palatino"/>
          <w:sz w:val="22"/>
          <w:szCs w:val="22"/>
        </w:rPr>
        <w:t>R.Wu</w:t>
      </w:r>
      <w:proofErr w:type="gramEnd"/>
      <w:r w:rsidRPr="00D90A00">
        <w:rPr>
          <w:rFonts w:ascii="Palatino" w:hAnsi="Palatino"/>
          <w:sz w:val="22"/>
          <w:szCs w:val="22"/>
        </w:rPr>
        <w:t>,J.M.Macklaim,B.L.Genge,andG.B.Gloor,</w:t>
      </w:r>
      <w:r w:rsidRPr="00D90A00">
        <w:rPr>
          <w:rFonts w:ascii="Palatino" w:hAnsi="Palatino"/>
          <w:i/>
          <w:iCs/>
          <w:sz w:val="22"/>
          <w:szCs w:val="22"/>
        </w:rPr>
        <w:t>FindingtheCentre:CompositionalAsymmetryin High-Throughput Sequencing Datasets</w:t>
      </w:r>
      <w:r w:rsidRPr="00D90A00">
        <w:rPr>
          <w:rFonts w:ascii="Palatino" w:hAnsi="Palatino"/>
          <w:sz w:val="22"/>
          <w:szCs w:val="22"/>
        </w:rPr>
        <w:t xml:space="preserve">, pp. 329–346. Cham: Springer International Publishing, 2021. </w:t>
      </w:r>
    </w:p>
    <w:p w14:paraId="3E79F065"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L. A. Grieves, G. B. Gloor, T. R. Kelly, M. A. </w:t>
      </w:r>
      <w:proofErr w:type="spellStart"/>
      <w:r w:rsidRPr="00D90A00">
        <w:rPr>
          <w:rFonts w:ascii="Palatino" w:hAnsi="Palatino"/>
          <w:sz w:val="22"/>
          <w:szCs w:val="22"/>
        </w:rPr>
        <w:t>Bernards</w:t>
      </w:r>
      <w:proofErr w:type="spellEnd"/>
      <w:r w:rsidRPr="00D90A00">
        <w:rPr>
          <w:rFonts w:ascii="Palatino" w:hAnsi="Palatino"/>
          <w:sz w:val="22"/>
          <w:szCs w:val="22"/>
        </w:rPr>
        <w:t xml:space="preserve">, and E. A. MacDougall-Shackleton, “Preen gland microbiota of songbirds differ across populations but not sexes,” </w:t>
      </w:r>
      <w:r w:rsidRPr="00D90A00">
        <w:rPr>
          <w:rFonts w:ascii="Palatino" w:hAnsi="Palatino"/>
          <w:i/>
          <w:iCs/>
          <w:sz w:val="22"/>
          <w:szCs w:val="22"/>
        </w:rPr>
        <w:t xml:space="preserve">J </w:t>
      </w:r>
      <w:proofErr w:type="spellStart"/>
      <w:r w:rsidRPr="00D90A00">
        <w:rPr>
          <w:rFonts w:ascii="Palatino" w:hAnsi="Palatino"/>
          <w:i/>
          <w:iCs/>
          <w:sz w:val="22"/>
          <w:szCs w:val="22"/>
        </w:rPr>
        <w:t>Anim</w:t>
      </w:r>
      <w:proofErr w:type="spellEnd"/>
      <w:r w:rsidRPr="00D90A00">
        <w:rPr>
          <w:rFonts w:ascii="Palatino" w:hAnsi="Palatino"/>
          <w:i/>
          <w:iCs/>
          <w:sz w:val="22"/>
          <w:szCs w:val="22"/>
        </w:rPr>
        <w:t xml:space="preserve"> </w:t>
      </w:r>
      <w:proofErr w:type="spellStart"/>
      <w:r w:rsidRPr="00D90A00">
        <w:rPr>
          <w:rFonts w:ascii="Palatino" w:hAnsi="Palatino"/>
          <w:i/>
          <w:iCs/>
          <w:sz w:val="22"/>
          <w:szCs w:val="22"/>
        </w:rPr>
        <w:t>Ecol</w:t>
      </w:r>
      <w:proofErr w:type="spellEnd"/>
      <w:r w:rsidRPr="00D90A00">
        <w:rPr>
          <w:rFonts w:ascii="Palatino" w:hAnsi="Palatino"/>
          <w:sz w:val="22"/>
          <w:szCs w:val="22"/>
        </w:rPr>
        <w:t xml:space="preserve">, vol. 90, pp. 2202– 2212, 09 2021. </w:t>
      </w:r>
    </w:p>
    <w:p w14:paraId="67081EAB"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L. A. Grieves, G. B. Gloor, T. R. Kelly, M. A. </w:t>
      </w:r>
      <w:proofErr w:type="spellStart"/>
      <w:r w:rsidRPr="00D90A00">
        <w:rPr>
          <w:rFonts w:ascii="Palatino" w:hAnsi="Palatino"/>
          <w:sz w:val="22"/>
          <w:szCs w:val="22"/>
        </w:rPr>
        <w:t>Bernards</w:t>
      </w:r>
      <w:proofErr w:type="spellEnd"/>
      <w:r w:rsidRPr="00D90A00">
        <w:rPr>
          <w:rFonts w:ascii="Palatino" w:hAnsi="Palatino"/>
          <w:sz w:val="22"/>
          <w:szCs w:val="22"/>
        </w:rPr>
        <w:t xml:space="preserve">, and E. A. MacDougall-Shackleton, “Preen gland microbiota of songbirds differ across populations but not sexes,” </w:t>
      </w:r>
      <w:r w:rsidRPr="00D90A00">
        <w:rPr>
          <w:rFonts w:ascii="Palatino" w:hAnsi="Palatino"/>
          <w:i/>
          <w:iCs/>
          <w:sz w:val="22"/>
          <w:szCs w:val="22"/>
        </w:rPr>
        <w:t xml:space="preserve">J </w:t>
      </w:r>
      <w:proofErr w:type="spellStart"/>
      <w:r w:rsidRPr="00D90A00">
        <w:rPr>
          <w:rFonts w:ascii="Palatino" w:hAnsi="Palatino"/>
          <w:i/>
          <w:iCs/>
          <w:sz w:val="22"/>
          <w:szCs w:val="22"/>
        </w:rPr>
        <w:t>Anim</w:t>
      </w:r>
      <w:proofErr w:type="spellEnd"/>
      <w:r w:rsidRPr="00D90A00">
        <w:rPr>
          <w:rFonts w:ascii="Palatino" w:hAnsi="Palatino"/>
          <w:i/>
          <w:iCs/>
          <w:sz w:val="22"/>
          <w:szCs w:val="22"/>
        </w:rPr>
        <w:t xml:space="preserve"> </w:t>
      </w:r>
      <w:proofErr w:type="spellStart"/>
      <w:r w:rsidRPr="00D90A00">
        <w:rPr>
          <w:rFonts w:ascii="Palatino" w:hAnsi="Palatino"/>
          <w:i/>
          <w:iCs/>
          <w:sz w:val="22"/>
          <w:szCs w:val="22"/>
        </w:rPr>
        <w:t>Ecol</w:t>
      </w:r>
      <w:proofErr w:type="spellEnd"/>
      <w:r w:rsidRPr="00D90A00">
        <w:rPr>
          <w:rFonts w:ascii="Palatino" w:hAnsi="Palatino"/>
          <w:sz w:val="22"/>
          <w:szCs w:val="22"/>
        </w:rPr>
        <w:t xml:space="preserve">, vol. 90, pp. 2202– 2212, 09 2021. </w:t>
      </w:r>
    </w:p>
    <w:p w14:paraId="3D8D7564" w14:textId="77777777" w:rsidR="00D90A00" w:rsidRPr="00D90A00" w:rsidRDefault="00D90A00" w:rsidP="00D90A00">
      <w:pPr>
        <w:pStyle w:val="ListParagraph"/>
        <w:numPr>
          <w:ilvl w:val="0"/>
          <w:numId w:val="43"/>
        </w:numPr>
        <w:spacing w:after="40"/>
      </w:pPr>
      <w:r w:rsidRPr="00D90A00">
        <w:rPr>
          <w:rFonts w:ascii="Palatino" w:hAnsi="Palatino"/>
          <w:sz w:val="22"/>
          <w:szCs w:val="22"/>
        </w:rPr>
        <w:t>D. Nouri-</w:t>
      </w:r>
      <w:proofErr w:type="spellStart"/>
      <w:r w:rsidRPr="00D90A00">
        <w:rPr>
          <w:rFonts w:ascii="Palatino" w:hAnsi="Palatino"/>
          <w:sz w:val="22"/>
          <w:szCs w:val="22"/>
        </w:rPr>
        <w:t>Nejad</w:t>
      </w:r>
      <w:proofErr w:type="spellEnd"/>
      <w:r w:rsidRPr="00D90A00">
        <w:rPr>
          <w:rFonts w:ascii="Palatino" w:hAnsi="Palatino"/>
          <w:sz w:val="22"/>
          <w:szCs w:val="22"/>
        </w:rPr>
        <w:t>, B. L. O’Donnell, C. S. Patil, R. E. Sanchez-</w:t>
      </w:r>
      <w:proofErr w:type="spellStart"/>
      <w:r w:rsidRPr="00D90A00">
        <w:rPr>
          <w:rFonts w:ascii="Palatino" w:hAnsi="Palatino"/>
          <w:sz w:val="22"/>
          <w:szCs w:val="22"/>
        </w:rPr>
        <w:t>Pupo</w:t>
      </w:r>
      <w:proofErr w:type="spellEnd"/>
      <w:r w:rsidRPr="00D90A00">
        <w:rPr>
          <w:rFonts w:ascii="Palatino" w:hAnsi="Palatino"/>
          <w:sz w:val="22"/>
          <w:szCs w:val="22"/>
        </w:rPr>
        <w:t xml:space="preserve">, D. Johnston, S. </w:t>
      </w:r>
      <w:proofErr w:type="spellStart"/>
      <w:r w:rsidRPr="00D90A00">
        <w:rPr>
          <w:rFonts w:ascii="Palatino" w:hAnsi="Palatino"/>
          <w:sz w:val="22"/>
          <w:szCs w:val="22"/>
        </w:rPr>
        <w:t>Sayedyahossein</w:t>
      </w:r>
      <w:proofErr w:type="spellEnd"/>
      <w:r w:rsidRPr="00D90A00">
        <w:rPr>
          <w:rFonts w:ascii="Palatino" w:hAnsi="Palatino"/>
          <w:sz w:val="22"/>
          <w:szCs w:val="22"/>
        </w:rPr>
        <w:t xml:space="preserve">, K. </w:t>
      </w:r>
      <w:proofErr w:type="spellStart"/>
      <w:r w:rsidRPr="00D90A00">
        <w:rPr>
          <w:rFonts w:ascii="Palatino" w:hAnsi="Palatino"/>
          <w:sz w:val="22"/>
          <w:szCs w:val="22"/>
        </w:rPr>
        <w:t>Jurcic</w:t>
      </w:r>
      <w:proofErr w:type="spellEnd"/>
      <w:r w:rsidRPr="00D90A00">
        <w:rPr>
          <w:rFonts w:ascii="Palatino" w:hAnsi="Palatino"/>
          <w:sz w:val="22"/>
          <w:szCs w:val="22"/>
        </w:rPr>
        <w:t xml:space="preserve">, R. Lau, L. </w:t>
      </w:r>
      <w:proofErr w:type="spellStart"/>
      <w:r w:rsidRPr="00D90A00">
        <w:rPr>
          <w:rFonts w:ascii="Palatino" w:hAnsi="Palatino"/>
          <w:sz w:val="22"/>
          <w:szCs w:val="22"/>
        </w:rPr>
        <w:t>Gyenis</w:t>
      </w:r>
      <w:proofErr w:type="spellEnd"/>
      <w:r w:rsidRPr="00D90A00">
        <w:rPr>
          <w:rFonts w:ascii="Palatino" w:hAnsi="Palatino"/>
          <w:sz w:val="22"/>
          <w:szCs w:val="22"/>
        </w:rPr>
        <w:t xml:space="preserve">, D. W. Litchfield, M. F. Jackson, G. B. Gloor, and S. </w:t>
      </w:r>
      <w:proofErr w:type="spellStart"/>
      <w:r w:rsidRPr="00D90A00">
        <w:rPr>
          <w:rFonts w:ascii="Palatino" w:hAnsi="Palatino"/>
          <w:sz w:val="22"/>
          <w:szCs w:val="22"/>
        </w:rPr>
        <w:t>Penuela</w:t>
      </w:r>
      <w:proofErr w:type="spellEnd"/>
      <w:r w:rsidRPr="00D90A00">
        <w:rPr>
          <w:rFonts w:ascii="Palatino" w:hAnsi="Palatino"/>
          <w:sz w:val="22"/>
          <w:szCs w:val="22"/>
        </w:rPr>
        <w:t xml:space="preserve">, “Pannexin 1 mutation found in melanoma tumour reduces phosphorylation, glycosylation, and trafficking of the channel-forming protein,” </w:t>
      </w:r>
      <w:r w:rsidRPr="00D90A00">
        <w:rPr>
          <w:rFonts w:ascii="Palatino" w:hAnsi="Palatino"/>
          <w:i/>
          <w:iCs/>
          <w:sz w:val="22"/>
          <w:szCs w:val="22"/>
        </w:rPr>
        <w:t>Mol Biol Cell</w:t>
      </w:r>
      <w:r w:rsidRPr="00D90A00">
        <w:rPr>
          <w:rFonts w:ascii="Palatino" w:hAnsi="Palatino"/>
          <w:sz w:val="22"/>
          <w:szCs w:val="22"/>
        </w:rPr>
        <w:t xml:space="preserve">, p. mbcE19100585, 01 2021. </w:t>
      </w:r>
    </w:p>
    <w:p w14:paraId="76DD4D0C" w14:textId="53F1E12B" w:rsidR="00D90A00" w:rsidRPr="00D90A00" w:rsidRDefault="00D90A00" w:rsidP="00D90A00">
      <w:pPr>
        <w:pStyle w:val="ListParagraph"/>
        <w:numPr>
          <w:ilvl w:val="0"/>
          <w:numId w:val="43"/>
        </w:numPr>
        <w:spacing w:after="40"/>
      </w:pPr>
      <w:proofErr w:type="spellStart"/>
      <w:r w:rsidRPr="00D90A00">
        <w:rPr>
          <w:rFonts w:ascii="Palatino" w:hAnsi="Palatino"/>
          <w:sz w:val="22"/>
          <w:szCs w:val="22"/>
        </w:rPr>
        <w:t>Erb</w:t>
      </w:r>
      <w:proofErr w:type="spellEnd"/>
      <w:r w:rsidRPr="00D90A00">
        <w:rPr>
          <w:rFonts w:ascii="Palatino" w:hAnsi="Palatino"/>
          <w:sz w:val="22"/>
          <w:szCs w:val="22"/>
        </w:rPr>
        <w:t xml:space="preserve">, G. B. Gloor, and T. P. Quinn, “Editorial: Compositional data analysis and related methods applied to genomics—a first special issue from NAR Genomics and Bioinformatics,” </w:t>
      </w:r>
      <w:r w:rsidRPr="00D90A00">
        <w:rPr>
          <w:rFonts w:ascii="Palatino" w:hAnsi="Palatino"/>
          <w:i/>
          <w:iCs/>
          <w:sz w:val="22"/>
          <w:szCs w:val="22"/>
        </w:rPr>
        <w:t>NAR Genomics and Bioinformatics</w:t>
      </w:r>
      <w:r w:rsidRPr="00D90A00">
        <w:rPr>
          <w:rFonts w:ascii="Palatino" w:hAnsi="Palatino"/>
          <w:sz w:val="22"/>
          <w:szCs w:val="22"/>
        </w:rPr>
        <w:t xml:space="preserve">, vol. 2, 12 2020. lqaa103. </w:t>
      </w:r>
    </w:p>
    <w:p w14:paraId="22E1CFC1"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R. R. Cochrane, S. L. </w:t>
      </w:r>
      <w:proofErr w:type="spellStart"/>
      <w:r w:rsidRPr="00D90A00">
        <w:rPr>
          <w:rFonts w:ascii="Palatino" w:hAnsi="Palatino"/>
          <w:sz w:val="22"/>
          <w:szCs w:val="22"/>
        </w:rPr>
        <w:t>Brumwell</w:t>
      </w:r>
      <w:proofErr w:type="spellEnd"/>
      <w:r w:rsidRPr="00D90A00">
        <w:rPr>
          <w:rFonts w:ascii="Palatino" w:hAnsi="Palatino"/>
          <w:sz w:val="22"/>
          <w:szCs w:val="22"/>
        </w:rPr>
        <w:t xml:space="preserve">, A. Shrestha, D. J. </w:t>
      </w:r>
      <w:proofErr w:type="spellStart"/>
      <w:r w:rsidRPr="00D90A00">
        <w:rPr>
          <w:rFonts w:ascii="Palatino" w:hAnsi="Palatino"/>
          <w:sz w:val="22"/>
          <w:szCs w:val="22"/>
        </w:rPr>
        <w:t>Giguere</w:t>
      </w:r>
      <w:proofErr w:type="spellEnd"/>
      <w:r w:rsidRPr="00D90A00">
        <w:rPr>
          <w:rFonts w:ascii="Palatino" w:hAnsi="Palatino"/>
          <w:sz w:val="22"/>
          <w:szCs w:val="22"/>
        </w:rPr>
        <w:t xml:space="preserve">, S. </w:t>
      </w:r>
      <w:proofErr w:type="spellStart"/>
      <w:r w:rsidRPr="00D90A00">
        <w:rPr>
          <w:rFonts w:ascii="Palatino" w:hAnsi="Palatino"/>
          <w:sz w:val="22"/>
          <w:szCs w:val="22"/>
        </w:rPr>
        <w:t>Hamadache</w:t>
      </w:r>
      <w:proofErr w:type="spellEnd"/>
      <w:r w:rsidRPr="00D90A00">
        <w:rPr>
          <w:rFonts w:ascii="Palatino" w:hAnsi="Palatino"/>
          <w:sz w:val="22"/>
          <w:szCs w:val="22"/>
        </w:rPr>
        <w:t xml:space="preserve">, G. B. Gloor, D. R. Edgell, and B. J. </w:t>
      </w:r>
      <w:proofErr w:type="spellStart"/>
      <w:r w:rsidRPr="00D90A00">
        <w:rPr>
          <w:rFonts w:ascii="Palatino" w:hAnsi="Palatino"/>
          <w:sz w:val="22"/>
          <w:szCs w:val="22"/>
        </w:rPr>
        <w:t>Karas</w:t>
      </w:r>
      <w:proofErr w:type="spellEnd"/>
      <w:r w:rsidRPr="00D90A00">
        <w:rPr>
          <w:rFonts w:ascii="Palatino" w:hAnsi="Palatino"/>
          <w:sz w:val="22"/>
          <w:szCs w:val="22"/>
        </w:rPr>
        <w:t xml:space="preserve">, “Cloning of </w:t>
      </w:r>
      <w:proofErr w:type="spellStart"/>
      <w:r w:rsidRPr="00D90A00">
        <w:rPr>
          <w:rFonts w:ascii="Palatino" w:hAnsi="Palatino"/>
          <w:sz w:val="22"/>
          <w:szCs w:val="22"/>
        </w:rPr>
        <w:t>thalassiosira</w:t>
      </w:r>
      <w:proofErr w:type="spellEnd"/>
      <w:r w:rsidRPr="00D90A00">
        <w:rPr>
          <w:rFonts w:ascii="Palatino" w:hAnsi="Palatino"/>
          <w:sz w:val="22"/>
          <w:szCs w:val="22"/>
        </w:rPr>
        <w:t xml:space="preserve"> </w:t>
      </w:r>
      <w:proofErr w:type="spellStart"/>
      <w:r w:rsidRPr="00D90A00">
        <w:rPr>
          <w:rFonts w:ascii="Palatino" w:hAnsi="Palatino"/>
          <w:sz w:val="22"/>
          <w:szCs w:val="22"/>
        </w:rPr>
        <w:t>pseudonana’s</w:t>
      </w:r>
      <w:proofErr w:type="spellEnd"/>
      <w:r w:rsidRPr="00D90A00">
        <w:rPr>
          <w:rFonts w:ascii="Palatino" w:hAnsi="Palatino"/>
          <w:sz w:val="22"/>
          <w:szCs w:val="22"/>
        </w:rPr>
        <w:t xml:space="preserve"> mitochondrial genome in saccharomyces cerevisiae and </w:t>
      </w:r>
      <w:proofErr w:type="spellStart"/>
      <w:r w:rsidRPr="00D90A00">
        <w:rPr>
          <w:rFonts w:ascii="Palatino" w:hAnsi="Palatino"/>
          <w:sz w:val="22"/>
          <w:szCs w:val="22"/>
        </w:rPr>
        <w:t>escherichia</w:t>
      </w:r>
      <w:proofErr w:type="spellEnd"/>
      <w:r w:rsidRPr="00D90A00">
        <w:rPr>
          <w:rFonts w:ascii="Palatino" w:hAnsi="Palatino"/>
          <w:sz w:val="22"/>
          <w:szCs w:val="22"/>
        </w:rPr>
        <w:t xml:space="preserve"> coli,” </w:t>
      </w:r>
      <w:r w:rsidRPr="00D90A00">
        <w:rPr>
          <w:rFonts w:ascii="Palatino" w:hAnsi="Palatino"/>
          <w:i/>
          <w:iCs/>
          <w:sz w:val="22"/>
          <w:szCs w:val="22"/>
        </w:rPr>
        <w:t>Biology (Basel)</w:t>
      </w:r>
      <w:r w:rsidRPr="00D90A00">
        <w:rPr>
          <w:rFonts w:ascii="Palatino" w:hAnsi="Palatino"/>
          <w:sz w:val="22"/>
          <w:szCs w:val="22"/>
        </w:rPr>
        <w:t xml:space="preserve">, vol. 9, Oct 2020. </w:t>
      </w:r>
    </w:p>
    <w:p w14:paraId="4BEBE578"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K. F. Al, J. D. </w:t>
      </w:r>
      <w:proofErr w:type="spellStart"/>
      <w:r w:rsidRPr="00D90A00">
        <w:rPr>
          <w:rFonts w:ascii="Palatino" w:hAnsi="Palatino"/>
          <w:sz w:val="22"/>
          <w:szCs w:val="22"/>
        </w:rPr>
        <w:t>Denstedt</w:t>
      </w:r>
      <w:proofErr w:type="spellEnd"/>
      <w:r w:rsidRPr="00D90A00">
        <w:rPr>
          <w:rFonts w:ascii="Palatino" w:hAnsi="Palatino"/>
          <w:sz w:val="22"/>
          <w:szCs w:val="22"/>
        </w:rPr>
        <w:t xml:space="preserve">, B. A. </w:t>
      </w:r>
      <w:proofErr w:type="spellStart"/>
      <w:r w:rsidRPr="00D90A00">
        <w:rPr>
          <w:rFonts w:ascii="Palatino" w:hAnsi="Palatino"/>
          <w:sz w:val="22"/>
          <w:szCs w:val="22"/>
        </w:rPr>
        <w:t>Daisley</w:t>
      </w:r>
      <w:proofErr w:type="spellEnd"/>
      <w:r w:rsidRPr="00D90A00">
        <w:rPr>
          <w:rFonts w:ascii="Palatino" w:hAnsi="Palatino"/>
          <w:sz w:val="22"/>
          <w:szCs w:val="22"/>
        </w:rPr>
        <w:t xml:space="preserve">, J. </w:t>
      </w:r>
      <w:proofErr w:type="spellStart"/>
      <w:r w:rsidRPr="00D90A00">
        <w:rPr>
          <w:rFonts w:ascii="Palatino" w:hAnsi="Palatino"/>
          <w:sz w:val="22"/>
          <w:szCs w:val="22"/>
        </w:rPr>
        <w:t>Bjazevic</w:t>
      </w:r>
      <w:proofErr w:type="spellEnd"/>
      <w:r w:rsidRPr="00D90A00">
        <w:rPr>
          <w:rFonts w:ascii="Palatino" w:hAnsi="Palatino"/>
          <w:sz w:val="22"/>
          <w:szCs w:val="22"/>
        </w:rPr>
        <w:t xml:space="preserve">, B. K. Welk, S. E. </w:t>
      </w:r>
      <w:proofErr w:type="spellStart"/>
      <w:r w:rsidRPr="00D90A00">
        <w:rPr>
          <w:rFonts w:ascii="Palatino" w:hAnsi="Palatino"/>
          <w:sz w:val="22"/>
          <w:szCs w:val="22"/>
        </w:rPr>
        <w:t>Pautler</w:t>
      </w:r>
      <w:proofErr w:type="spellEnd"/>
      <w:r w:rsidRPr="00D90A00">
        <w:rPr>
          <w:rFonts w:ascii="Palatino" w:hAnsi="Palatino"/>
          <w:sz w:val="22"/>
          <w:szCs w:val="22"/>
        </w:rPr>
        <w:t xml:space="preserve">, G. B. Gloor, G. Reid, H. </w:t>
      </w:r>
      <w:proofErr w:type="spellStart"/>
      <w:r w:rsidRPr="00D90A00">
        <w:rPr>
          <w:rFonts w:ascii="Palatino" w:hAnsi="Palatino"/>
          <w:sz w:val="22"/>
          <w:szCs w:val="22"/>
        </w:rPr>
        <w:t>Razvi</w:t>
      </w:r>
      <w:proofErr w:type="spellEnd"/>
      <w:r w:rsidRPr="00D90A00">
        <w:rPr>
          <w:rFonts w:ascii="Palatino" w:hAnsi="Palatino"/>
          <w:sz w:val="22"/>
          <w:szCs w:val="22"/>
        </w:rPr>
        <w:t xml:space="preserve">, and J. P. Burton, “Ureteral stent microbiota is associated with patient comorbidities but not antibiotic exposure,” </w:t>
      </w:r>
      <w:r w:rsidRPr="00D90A00">
        <w:rPr>
          <w:rFonts w:ascii="Palatino" w:hAnsi="Palatino"/>
          <w:i/>
          <w:iCs/>
          <w:sz w:val="22"/>
          <w:szCs w:val="22"/>
        </w:rPr>
        <w:t>Cell Reports Medicine</w:t>
      </w:r>
      <w:r w:rsidRPr="00D90A00">
        <w:rPr>
          <w:rFonts w:ascii="Palatino" w:hAnsi="Palatino"/>
          <w:sz w:val="22"/>
          <w:szCs w:val="22"/>
        </w:rPr>
        <w:t xml:space="preserve">, vol. 1, no. 6, p. 100094, 2020. </w:t>
      </w:r>
    </w:p>
    <w:p w14:paraId="33CF1BF0"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S. Yang, G. Reid, J. R. G. Challis, G. B. Gloor, E. </w:t>
      </w:r>
      <w:proofErr w:type="spellStart"/>
      <w:r w:rsidRPr="00D90A00">
        <w:rPr>
          <w:rFonts w:ascii="Palatino" w:hAnsi="Palatino"/>
          <w:sz w:val="22"/>
          <w:szCs w:val="22"/>
        </w:rPr>
        <w:t>Asztalos</w:t>
      </w:r>
      <w:proofErr w:type="spellEnd"/>
      <w:r w:rsidRPr="00D90A00">
        <w:rPr>
          <w:rFonts w:ascii="Palatino" w:hAnsi="Palatino"/>
          <w:sz w:val="22"/>
          <w:szCs w:val="22"/>
        </w:rPr>
        <w:t xml:space="preserve">, D. Money, S. </w:t>
      </w:r>
      <w:proofErr w:type="spellStart"/>
      <w:r w:rsidRPr="00D90A00">
        <w:rPr>
          <w:rFonts w:ascii="Palatino" w:hAnsi="Palatino"/>
          <w:sz w:val="22"/>
          <w:szCs w:val="22"/>
        </w:rPr>
        <w:t>Seney</w:t>
      </w:r>
      <w:proofErr w:type="spellEnd"/>
      <w:r w:rsidRPr="00D90A00">
        <w:rPr>
          <w:rFonts w:ascii="Palatino" w:hAnsi="Palatino"/>
          <w:sz w:val="22"/>
          <w:szCs w:val="22"/>
        </w:rPr>
        <w:t xml:space="preserve">, and A. D. Bocking, “Effect of oral probiotic lactobacillus </w:t>
      </w:r>
      <w:proofErr w:type="spellStart"/>
      <w:r w:rsidRPr="00D90A00">
        <w:rPr>
          <w:rFonts w:ascii="Palatino" w:hAnsi="Palatino"/>
          <w:sz w:val="22"/>
          <w:szCs w:val="22"/>
        </w:rPr>
        <w:t>rhamnosus</w:t>
      </w:r>
      <w:proofErr w:type="spellEnd"/>
      <w:r w:rsidRPr="00D90A00">
        <w:rPr>
          <w:rFonts w:ascii="Palatino" w:hAnsi="Palatino"/>
          <w:sz w:val="22"/>
          <w:szCs w:val="22"/>
        </w:rPr>
        <w:t xml:space="preserve"> gr-1 and </w:t>
      </w:r>
      <w:proofErr w:type="spellStart"/>
      <w:r w:rsidRPr="00D90A00">
        <w:rPr>
          <w:rFonts w:ascii="Palatino" w:hAnsi="Palatino"/>
          <w:sz w:val="22"/>
          <w:szCs w:val="22"/>
        </w:rPr>
        <w:t>lactobacillusreuteri</w:t>
      </w:r>
      <w:proofErr w:type="spellEnd"/>
      <w:r w:rsidRPr="00D90A00">
        <w:rPr>
          <w:rFonts w:ascii="Palatino" w:hAnsi="Palatino"/>
          <w:sz w:val="22"/>
          <w:szCs w:val="22"/>
        </w:rPr>
        <w:t xml:space="preserve"> rc-14 on the vaginal microbiota, cytokines and chemokines in pregnant women,” </w:t>
      </w:r>
      <w:r w:rsidRPr="00D90A00">
        <w:rPr>
          <w:rFonts w:ascii="Palatino" w:hAnsi="Palatino"/>
          <w:i/>
          <w:iCs/>
          <w:sz w:val="22"/>
          <w:szCs w:val="22"/>
        </w:rPr>
        <w:t>Nutrients</w:t>
      </w:r>
      <w:r w:rsidRPr="00D90A00">
        <w:rPr>
          <w:rFonts w:ascii="Palatino" w:hAnsi="Palatino"/>
          <w:sz w:val="22"/>
          <w:szCs w:val="22"/>
        </w:rPr>
        <w:t xml:space="preserve">, vol. 12, Jan 2020. </w:t>
      </w:r>
    </w:p>
    <w:p w14:paraId="2B6F9CE2"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D. J. </w:t>
      </w:r>
      <w:proofErr w:type="spellStart"/>
      <w:r w:rsidRPr="00D90A00">
        <w:rPr>
          <w:rFonts w:ascii="Palatino" w:hAnsi="Palatino"/>
          <w:sz w:val="22"/>
          <w:szCs w:val="22"/>
        </w:rPr>
        <w:t>Giguere</w:t>
      </w:r>
      <w:proofErr w:type="spellEnd"/>
      <w:r w:rsidRPr="00D90A00">
        <w:rPr>
          <w:rFonts w:ascii="Palatino" w:hAnsi="Palatino"/>
          <w:sz w:val="22"/>
          <w:szCs w:val="22"/>
        </w:rPr>
        <w:t xml:space="preserve">, J. M. </w:t>
      </w:r>
      <w:proofErr w:type="spellStart"/>
      <w:r w:rsidRPr="00D90A00">
        <w:rPr>
          <w:rFonts w:ascii="Palatino" w:hAnsi="Palatino"/>
          <w:sz w:val="22"/>
          <w:szCs w:val="22"/>
        </w:rPr>
        <w:t>Macklaim</w:t>
      </w:r>
      <w:proofErr w:type="spellEnd"/>
      <w:r w:rsidRPr="00D90A00">
        <w:rPr>
          <w:rFonts w:ascii="Palatino" w:hAnsi="Palatino"/>
          <w:sz w:val="22"/>
          <w:szCs w:val="22"/>
        </w:rPr>
        <w:t xml:space="preserve">, B. Y. </w:t>
      </w:r>
      <w:proofErr w:type="spellStart"/>
      <w:r w:rsidRPr="00D90A00">
        <w:rPr>
          <w:rFonts w:ascii="Palatino" w:hAnsi="Palatino"/>
          <w:sz w:val="22"/>
          <w:szCs w:val="22"/>
        </w:rPr>
        <w:t>Lieng</w:t>
      </w:r>
      <w:proofErr w:type="spellEnd"/>
      <w:r w:rsidRPr="00D90A00">
        <w:rPr>
          <w:rFonts w:ascii="Palatino" w:hAnsi="Palatino"/>
          <w:sz w:val="22"/>
          <w:szCs w:val="22"/>
        </w:rPr>
        <w:t>, and G. B. Gloor, “</w:t>
      </w:r>
      <w:proofErr w:type="spellStart"/>
      <w:r w:rsidRPr="00D90A00">
        <w:rPr>
          <w:rFonts w:ascii="Palatino" w:hAnsi="Palatino"/>
          <w:sz w:val="22"/>
          <w:szCs w:val="22"/>
        </w:rPr>
        <w:t>omicplotr</w:t>
      </w:r>
      <w:proofErr w:type="spellEnd"/>
      <w:r w:rsidRPr="00D90A00">
        <w:rPr>
          <w:rFonts w:ascii="Palatino" w:hAnsi="Palatino"/>
          <w:sz w:val="22"/>
          <w:szCs w:val="22"/>
        </w:rPr>
        <w:t xml:space="preserve">: visualizing </w:t>
      </w:r>
      <w:proofErr w:type="spellStart"/>
      <w:r w:rsidRPr="00D90A00">
        <w:rPr>
          <w:rFonts w:ascii="Palatino" w:hAnsi="Palatino"/>
          <w:sz w:val="22"/>
          <w:szCs w:val="22"/>
        </w:rPr>
        <w:t>omic</w:t>
      </w:r>
      <w:proofErr w:type="spellEnd"/>
      <w:r w:rsidRPr="00D90A00">
        <w:rPr>
          <w:rFonts w:ascii="Palatino" w:hAnsi="Palatino"/>
          <w:sz w:val="22"/>
          <w:szCs w:val="22"/>
        </w:rPr>
        <w:t xml:space="preserve"> datasets as compositions,” </w:t>
      </w:r>
      <w:r w:rsidRPr="00D90A00">
        <w:rPr>
          <w:rFonts w:ascii="Palatino" w:hAnsi="Palatino"/>
          <w:i/>
          <w:iCs/>
          <w:sz w:val="22"/>
          <w:szCs w:val="22"/>
        </w:rPr>
        <w:t>BMC Bioinformatics</w:t>
      </w:r>
      <w:r w:rsidRPr="00D90A00">
        <w:rPr>
          <w:rFonts w:ascii="Palatino" w:hAnsi="Palatino"/>
          <w:sz w:val="22"/>
          <w:szCs w:val="22"/>
        </w:rPr>
        <w:t xml:space="preserve">, vol. 20, p. 580, Nov 2019. </w:t>
      </w:r>
    </w:p>
    <w:p w14:paraId="73E243A5"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L. Grieves, G. Gloor, M. </w:t>
      </w:r>
      <w:proofErr w:type="spellStart"/>
      <w:r w:rsidRPr="00D90A00">
        <w:rPr>
          <w:rFonts w:ascii="Palatino" w:hAnsi="Palatino"/>
          <w:sz w:val="22"/>
          <w:szCs w:val="22"/>
        </w:rPr>
        <w:t>Bernards</w:t>
      </w:r>
      <w:proofErr w:type="spellEnd"/>
      <w:r w:rsidRPr="00D90A00">
        <w:rPr>
          <w:rFonts w:ascii="Palatino" w:hAnsi="Palatino"/>
          <w:sz w:val="22"/>
          <w:szCs w:val="22"/>
        </w:rPr>
        <w:t xml:space="preserve">, and E. MacDougall-Shackleton, “Songbirds show odour-based discrimination of similarity and diversity at the major histocompatibility complex,” </w:t>
      </w:r>
      <w:r w:rsidRPr="00D90A00">
        <w:rPr>
          <w:rFonts w:ascii="Palatino" w:hAnsi="Palatino"/>
          <w:i/>
          <w:iCs/>
          <w:sz w:val="22"/>
          <w:szCs w:val="22"/>
        </w:rPr>
        <w:t>Animal Be- haviour</w:t>
      </w:r>
      <w:r w:rsidRPr="00D90A00">
        <w:rPr>
          <w:rFonts w:ascii="Palatino" w:hAnsi="Palatino"/>
          <w:sz w:val="22"/>
          <w:szCs w:val="22"/>
        </w:rPr>
        <w:t xml:space="preserve">, vol. 158, pp. 131 – 138, 2019. </w:t>
      </w:r>
    </w:p>
    <w:p w14:paraId="4A49FDF6" w14:textId="77777777" w:rsidR="00D90A00" w:rsidRPr="00D90A00" w:rsidRDefault="00D90A00" w:rsidP="00D90A00">
      <w:pPr>
        <w:pStyle w:val="ListParagraph"/>
        <w:numPr>
          <w:ilvl w:val="0"/>
          <w:numId w:val="43"/>
        </w:numPr>
        <w:spacing w:after="40"/>
      </w:pPr>
      <w:r w:rsidRPr="00D90A00">
        <w:rPr>
          <w:rFonts w:ascii="Palatino" w:hAnsi="Palatino"/>
          <w:sz w:val="22"/>
          <w:szCs w:val="22"/>
        </w:rPr>
        <w:t>T.</w:t>
      </w:r>
      <w:proofErr w:type="gramStart"/>
      <w:r w:rsidRPr="00D90A00">
        <w:rPr>
          <w:rFonts w:ascii="Palatino" w:hAnsi="Palatino"/>
          <w:sz w:val="22"/>
          <w:szCs w:val="22"/>
        </w:rPr>
        <w:t>A.Hamilton</w:t>
      </w:r>
      <w:proofErr w:type="gramEnd"/>
      <w:r w:rsidRPr="00D90A00">
        <w:rPr>
          <w:rFonts w:ascii="Palatino" w:hAnsi="Palatino"/>
          <w:sz w:val="22"/>
          <w:szCs w:val="22"/>
        </w:rPr>
        <w:t xml:space="preserve">,G.M.Pellegrino,J.A.Therrien,D.T.Ham,P.C.Bartlett,B.J.Karas,G.B.Gloor,and D. R. Edgell, “Efficient inter-species conjugative transfer of a </w:t>
      </w:r>
      <w:proofErr w:type="spellStart"/>
      <w:r w:rsidRPr="00D90A00">
        <w:rPr>
          <w:rFonts w:ascii="Palatino" w:hAnsi="Palatino"/>
          <w:sz w:val="22"/>
          <w:szCs w:val="22"/>
        </w:rPr>
        <w:t>crispr</w:t>
      </w:r>
      <w:proofErr w:type="spellEnd"/>
      <w:r w:rsidRPr="00D90A00">
        <w:rPr>
          <w:rFonts w:ascii="Palatino" w:hAnsi="Palatino"/>
          <w:sz w:val="22"/>
          <w:szCs w:val="22"/>
        </w:rPr>
        <w:t xml:space="preserve"> nuclease for targeted bacterial killing,” </w:t>
      </w:r>
      <w:r w:rsidRPr="00D90A00">
        <w:rPr>
          <w:rFonts w:ascii="Palatino" w:hAnsi="Palatino"/>
          <w:i/>
          <w:iCs/>
          <w:sz w:val="22"/>
          <w:szCs w:val="22"/>
        </w:rPr>
        <w:t xml:space="preserve">Nat </w:t>
      </w:r>
      <w:proofErr w:type="spellStart"/>
      <w:r w:rsidRPr="00D90A00">
        <w:rPr>
          <w:rFonts w:ascii="Palatino" w:hAnsi="Palatino"/>
          <w:i/>
          <w:iCs/>
          <w:sz w:val="22"/>
          <w:szCs w:val="22"/>
        </w:rPr>
        <w:t>Commun</w:t>
      </w:r>
      <w:proofErr w:type="spellEnd"/>
      <w:r w:rsidRPr="00D90A00">
        <w:rPr>
          <w:rFonts w:ascii="Palatino" w:hAnsi="Palatino"/>
          <w:sz w:val="22"/>
          <w:szCs w:val="22"/>
        </w:rPr>
        <w:t xml:space="preserve">, vol. 10, p. 4544, Oct 2019. </w:t>
      </w:r>
    </w:p>
    <w:p w14:paraId="13A0AB4C"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M. </w:t>
      </w:r>
      <w:proofErr w:type="spellStart"/>
      <w:r w:rsidRPr="00D90A00">
        <w:rPr>
          <w:rFonts w:ascii="Palatino" w:hAnsi="Palatino"/>
          <w:sz w:val="22"/>
          <w:szCs w:val="22"/>
        </w:rPr>
        <w:t>Laforet</w:t>
      </w:r>
      <w:proofErr w:type="spellEnd"/>
      <w:r w:rsidRPr="00D90A00">
        <w:rPr>
          <w:rFonts w:ascii="Palatino" w:hAnsi="Palatino"/>
          <w:sz w:val="22"/>
          <w:szCs w:val="22"/>
        </w:rPr>
        <w:t xml:space="preserve">, T. A. </w:t>
      </w:r>
      <w:proofErr w:type="spellStart"/>
      <w:r w:rsidRPr="00D90A00">
        <w:rPr>
          <w:rFonts w:ascii="Palatino" w:hAnsi="Palatino"/>
          <w:sz w:val="22"/>
          <w:szCs w:val="22"/>
        </w:rPr>
        <w:t>McMurrough</w:t>
      </w:r>
      <w:proofErr w:type="spellEnd"/>
      <w:r w:rsidRPr="00D90A00">
        <w:rPr>
          <w:rFonts w:ascii="Palatino" w:hAnsi="Palatino"/>
          <w:sz w:val="22"/>
          <w:szCs w:val="22"/>
        </w:rPr>
        <w:t xml:space="preserve">, M. Vu, C. M. Brown, K. Zhang, M. S. </w:t>
      </w:r>
      <w:proofErr w:type="spellStart"/>
      <w:r w:rsidRPr="00D90A00">
        <w:rPr>
          <w:rFonts w:ascii="Palatino" w:hAnsi="Palatino"/>
          <w:sz w:val="22"/>
          <w:szCs w:val="22"/>
        </w:rPr>
        <w:t>Junop</w:t>
      </w:r>
      <w:proofErr w:type="spellEnd"/>
      <w:r w:rsidRPr="00D90A00">
        <w:rPr>
          <w:rFonts w:ascii="Palatino" w:hAnsi="Palatino"/>
          <w:sz w:val="22"/>
          <w:szCs w:val="22"/>
        </w:rPr>
        <w:t>, G. B. Gloor, and D. R. Edgell, “Modifying a covarying protein-</w:t>
      </w:r>
      <w:proofErr w:type="spellStart"/>
      <w:r w:rsidRPr="00D90A00">
        <w:rPr>
          <w:rFonts w:ascii="Palatino" w:hAnsi="Palatino"/>
          <w:sz w:val="22"/>
          <w:szCs w:val="22"/>
        </w:rPr>
        <w:t>dna</w:t>
      </w:r>
      <w:proofErr w:type="spellEnd"/>
      <w:r w:rsidRPr="00D90A00">
        <w:rPr>
          <w:rFonts w:ascii="Palatino" w:hAnsi="Palatino"/>
          <w:sz w:val="22"/>
          <w:szCs w:val="22"/>
        </w:rPr>
        <w:t xml:space="preserve"> interaction changes substrate preference of a site- specific endonuclease,” </w:t>
      </w:r>
      <w:r w:rsidRPr="00D90A00">
        <w:rPr>
          <w:rFonts w:ascii="Palatino" w:hAnsi="Palatino"/>
          <w:i/>
          <w:iCs/>
          <w:sz w:val="22"/>
          <w:szCs w:val="22"/>
        </w:rPr>
        <w:t>Nucleic Acids Res</w:t>
      </w:r>
      <w:r w:rsidRPr="00D90A00">
        <w:rPr>
          <w:rFonts w:ascii="Palatino" w:hAnsi="Palatino"/>
          <w:sz w:val="22"/>
          <w:szCs w:val="22"/>
        </w:rPr>
        <w:t xml:space="preserve">, vol. 47, pp. 10830–10841, Nov 2019. </w:t>
      </w:r>
    </w:p>
    <w:p w14:paraId="15D84FCA"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T. P. Quinn, I. </w:t>
      </w:r>
      <w:proofErr w:type="spellStart"/>
      <w:r w:rsidRPr="00D90A00">
        <w:rPr>
          <w:rFonts w:ascii="Palatino" w:hAnsi="Palatino"/>
          <w:sz w:val="22"/>
          <w:szCs w:val="22"/>
        </w:rPr>
        <w:t>Erb</w:t>
      </w:r>
      <w:proofErr w:type="spellEnd"/>
      <w:r w:rsidRPr="00D90A00">
        <w:rPr>
          <w:rFonts w:ascii="Palatino" w:hAnsi="Palatino"/>
          <w:sz w:val="22"/>
          <w:szCs w:val="22"/>
        </w:rPr>
        <w:t xml:space="preserve">, G. Gloor, C. </w:t>
      </w:r>
      <w:proofErr w:type="spellStart"/>
      <w:r w:rsidRPr="00D90A00">
        <w:rPr>
          <w:rFonts w:ascii="Palatino" w:hAnsi="Palatino"/>
          <w:sz w:val="22"/>
          <w:szCs w:val="22"/>
        </w:rPr>
        <w:t>Notredame</w:t>
      </w:r>
      <w:proofErr w:type="spellEnd"/>
      <w:r w:rsidRPr="00D90A00">
        <w:rPr>
          <w:rFonts w:ascii="Palatino" w:hAnsi="Palatino"/>
          <w:sz w:val="22"/>
          <w:szCs w:val="22"/>
        </w:rPr>
        <w:t xml:space="preserve">, M. F. Richardson, and T. M. Crowley, “A field guide for the compositional analysis of any-omics data,” </w:t>
      </w:r>
      <w:proofErr w:type="spellStart"/>
      <w:r w:rsidRPr="00D90A00">
        <w:rPr>
          <w:rFonts w:ascii="Palatino" w:hAnsi="Palatino"/>
          <w:i/>
          <w:iCs/>
          <w:sz w:val="22"/>
          <w:szCs w:val="22"/>
        </w:rPr>
        <w:t>Gigascience</w:t>
      </w:r>
      <w:proofErr w:type="spellEnd"/>
      <w:r w:rsidRPr="00D90A00">
        <w:rPr>
          <w:rFonts w:ascii="Palatino" w:hAnsi="Palatino"/>
          <w:sz w:val="22"/>
          <w:szCs w:val="22"/>
        </w:rPr>
        <w:t xml:space="preserve">, vol. 8, Sep 2019. </w:t>
      </w:r>
    </w:p>
    <w:p w14:paraId="0CBFD15F" w14:textId="77777777" w:rsidR="00D90A00" w:rsidRPr="00D90A00" w:rsidRDefault="00D90A00" w:rsidP="00D90A00">
      <w:pPr>
        <w:pStyle w:val="ListParagraph"/>
        <w:numPr>
          <w:ilvl w:val="0"/>
          <w:numId w:val="43"/>
        </w:numPr>
        <w:spacing w:after="40"/>
      </w:pPr>
      <w:r w:rsidRPr="00D90A00">
        <w:rPr>
          <w:rFonts w:ascii="Palatino" w:hAnsi="Palatino"/>
          <w:sz w:val="22"/>
          <w:szCs w:val="22"/>
        </w:rPr>
        <w:lastRenderedPageBreak/>
        <w:t xml:space="preserve">C. Elwood, A. Y. K. Albert, E. </w:t>
      </w:r>
      <w:proofErr w:type="spellStart"/>
      <w:r w:rsidRPr="00D90A00">
        <w:rPr>
          <w:rFonts w:ascii="Palatino" w:hAnsi="Palatino"/>
          <w:sz w:val="22"/>
          <w:szCs w:val="22"/>
        </w:rPr>
        <w:t>McClymont</w:t>
      </w:r>
      <w:proofErr w:type="spellEnd"/>
      <w:r w:rsidRPr="00D90A00">
        <w:rPr>
          <w:rFonts w:ascii="Palatino" w:hAnsi="Palatino"/>
          <w:sz w:val="22"/>
          <w:szCs w:val="22"/>
        </w:rPr>
        <w:t xml:space="preserve">, E. Wagner, D. Mahal, K. </w:t>
      </w:r>
      <w:proofErr w:type="spellStart"/>
      <w:r w:rsidRPr="00D90A00">
        <w:rPr>
          <w:rFonts w:ascii="Palatino" w:hAnsi="Palatino"/>
          <w:sz w:val="22"/>
          <w:szCs w:val="22"/>
        </w:rPr>
        <w:t>Devakandan</w:t>
      </w:r>
      <w:proofErr w:type="spellEnd"/>
      <w:r w:rsidRPr="00D90A00">
        <w:rPr>
          <w:rFonts w:ascii="Palatino" w:hAnsi="Palatino"/>
          <w:sz w:val="22"/>
          <w:szCs w:val="22"/>
        </w:rPr>
        <w:t xml:space="preserve">, B. L. </w:t>
      </w:r>
      <w:proofErr w:type="spellStart"/>
      <w:r w:rsidRPr="00D90A00">
        <w:rPr>
          <w:rFonts w:ascii="Palatino" w:hAnsi="Palatino"/>
          <w:sz w:val="22"/>
          <w:szCs w:val="22"/>
        </w:rPr>
        <w:t>Quiqley</w:t>
      </w:r>
      <w:proofErr w:type="spellEnd"/>
      <w:r w:rsidRPr="00D90A00">
        <w:rPr>
          <w:rFonts w:ascii="Palatino" w:hAnsi="Palatino"/>
          <w:sz w:val="22"/>
          <w:szCs w:val="22"/>
        </w:rPr>
        <w:t xml:space="preserve">, Z. </w:t>
      </w:r>
      <w:proofErr w:type="spellStart"/>
      <w:r w:rsidRPr="00D90A00">
        <w:rPr>
          <w:rFonts w:ascii="Palatino" w:hAnsi="Palatino"/>
          <w:sz w:val="22"/>
          <w:szCs w:val="22"/>
        </w:rPr>
        <w:t>Pakzad</w:t>
      </w:r>
      <w:proofErr w:type="spellEnd"/>
      <w:r w:rsidRPr="00D90A00">
        <w:rPr>
          <w:rFonts w:ascii="Palatino" w:hAnsi="Palatino"/>
          <w:sz w:val="22"/>
          <w:szCs w:val="22"/>
        </w:rPr>
        <w:t xml:space="preserve">, M. H. </w:t>
      </w:r>
      <w:proofErr w:type="spellStart"/>
      <w:r w:rsidRPr="00D90A00">
        <w:rPr>
          <w:rFonts w:ascii="Palatino" w:hAnsi="Palatino"/>
          <w:sz w:val="22"/>
          <w:szCs w:val="22"/>
        </w:rPr>
        <w:t>Yudin</w:t>
      </w:r>
      <w:proofErr w:type="spellEnd"/>
      <w:r w:rsidRPr="00D90A00">
        <w:rPr>
          <w:rFonts w:ascii="Palatino" w:hAnsi="Palatino"/>
          <w:sz w:val="22"/>
          <w:szCs w:val="22"/>
        </w:rPr>
        <w:t xml:space="preserve">, J. E. Hill, D. Money, VOGUE Research Group, A. Bocking, T. </w:t>
      </w:r>
      <w:proofErr w:type="spellStart"/>
      <w:r w:rsidRPr="00D90A00">
        <w:rPr>
          <w:rFonts w:ascii="Palatino" w:hAnsi="Palatino"/>
          <w:sz w:val="22"/>
          <w:szCs w:val="22"/>
        </w:rPr>
        <w:t>Dumonceaux</w:t>
      </w:r>
      <w:proofErr w:type="spellEnd"/>
      <w:r w:rsidRPr="00D90A00">
        <w:rPr>
          <w:rFonts w:ascii="Palatino" w:hAnsi="Palatino"/>
          <w:sz w:val="22"/>
          <w:szCs w:val="22"/>
        </w:rPr>
        <w:t xml:space="preserve">, G. Gloor, S. Hemmingsen, J. E. Hill, M. Links, D. Money, K. </w:t>
      </w:r>
      <w:proofErr w:type="spellStart"/>
      <w:r w:rsidRPr="00D90A00">
        <w:rPr>
          <w:rFonts w:ascii="Palatino" w:hAnsi="Palatino"/>
          <w:sz w:val="22"/>
          <w:szCs w:val="22"/>
        </w:rPr>
        <w:t>O’Doherty</w:t>
      </w:r>
      <w:proofErr w:type="spellEnd"/>
      <w:r w:rsidRPr="00D90A00">
        <w:rPr>
          <w:rFonts w:ascii="Palatino" w:hAnsi="Palatino"/>
          <w:sz w:val="22"/>
          <w:szCs w:val="22"/>
        </w:rPr>
        <w:t xml:space="preserve">, G. Reid, J. van Schalkwyk, P. Tang, and M. H. </w:t>
      </w:r>
      <w:proofErr w:type="spellStart"/>
      <w:r w:rsidRPr="00D90A00">
        <w:rPr>
          <w:rFonts w:ascii="Palatino" w:hAnsi="Palatino"/>
          <w:sz w:val="22"/>
          <w:szCs w:val="22"/>
        </w:rPr>
        <w:t>Yudin</w:t>
      </w:r>
      <w:proofErr w:type="spellEnd"/>
      <w:r w:rsidRPr="00D90A00">
        <w:rPr>
          <w:rFonts w:ascii="Palatino" w:hAnsi="Palatino"/>
          <w:sz w:val="22"/>
          <w:szCs w:val="22"/>
        </w:rPr>
        <w:t xml:space="preserve">, “Different and diverse anaerobic microbiota were seen in women living with </w:t>
      </w:r>
      <w:proofErr w:type="spellStart"/>
      <w:r w:rsidRPr="00D90A00">
        <w:rPr>
          <w:rFonts w:ascii="Palatino" w:hAnsi="Palatino"/>
          <w:sz w:val="22"/>
          <w:szCs w:val="22"/>
        </w:rPr>
        <w:t>hiv</w:t>
      </w:r>
      <w:proofErr w:type="spellEnd"/>
      <w:r w:rsidRPr="00D90A00">
        <w:rPr>
          <w:rFonts w:ascii="Palatino" w:hAnsi="Palatino"/>
          <w:sz w:val="22"/>
          <w:szCs w:val="22"/>
        </w:rPr>
        <w:t xml:space="preserve"> with unsuppressed </w:t>
      </w:r>
      <w:proofErr w:type="spellStart"/>
      <w:r w:rsidRPr="00D90A00">
        <w:rPr>
          <w:rFonts w:ascii="Palatino" w:hAnsi="Palatino"/>
          <w:sz w:val="22"/>
          <w:szCs w:val="22"/>
        </w:rPr>
        <w:t>hiv</w:t>
      </w:r>
      <w:proofErr w:type="spellEnd"/>
      <w:r w:rsidRPr="00D90A00">
        <w:rPr>
          <w:rFonts w:ascii="Palatino" w:hAnsi="Palatino"/>
          <w:sz w:val="22"/>
          <w:szCs w:val="22"/>
        </w:rPr>
        <w:t xml:space="preserve"> viral load and in women with recurrent bacterial vaginosis: a cohort study,” </w:t>
      </w:r>
      <w:r w:rsidRPr="00D90A00">
        <w:rPr>
          <w:rFonts w:ascii="Palatino" w:hAnsi="Palatino"/>
          <w:i/>
          <w:iCs/>
          <w:sz w:val="22"/>
          <w:szCs w:val="22"/>
        </w:rPr>
        <w:t>BJOG</w:t>
      </w:r>
      <w:r w:rsidRPr="00D90A00">
        <w:rPr>
          <w:rFonts w:ascii="Palatino" w:hAnsi="Palatino"/>
          <w:sz w:val="22"/>
          <w:szCs w:val="22"/>
        </w:rPr>
        <w:t xml:space="preserve">, Sep 2019. </w:t>
      </w:r>
    </w:p>
    <w:p w14:paraId="35CFD259"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M. D. Berg, D. J. </w:t>
      </w:r>
      <w:proofErr w:type="spellStart"/>
      <w:r w:rsidRPr="00D90A00">
        <w:rPr>
          <w:rFonts w:ascii="Palatino" w:hAnsi="Palatino"/>
          <w:sz w:val="22"/>
          <w:szCs w:val="22"/>
        </w:rPr>
        <w:t>Giguere</w:t>
      </w:r>
      <w:proofErr w:type="spellEnd"/>
      <w:r w:rsidRPr="00D90A00">
        <w:rPr>
          <w:rFonts w:ascii="Palatino" w:hAnsi="Palatino"/>
          <w:sz w:val="22"/>
          <w:szCs w:val="22"/>
        </w:rPr>
        <w:t xml:space="preserve">, J. S. </w:t>
      </w:r>
      <w:proofErr w:type="spellStart"/>
      <w:r w:rsidRPr="00D90A00">
        <w:rPr>
          <w:rFonts w:ascii="Palatino" w:hAnsi="Palatino"/>
          <w:sz w:val="22"/>
          <w:szCs w:val="22"/>
        </w:rPr>
        <w:t>Dron</w:t>
      </w:r>
      <w:proofErr w:type="spellEnd"/>
      <w:r w:rsidRPr="00D90A00">
        <w:rPr>
          <w:rFonts w:ascii="Palatino" w:hAnsi="Palatino"/>
          <w:sz w:val="22"/>
          <w:szCs w:val="22"/>
        </w:rPr>
        <w:t xml:space="preserve">, J. T. Lant, J. </w:t>
      </w:r>
      <w:proofErr w:type="spellStart"/>
      <w:r w:rsidRPr="00D90A00">
        <w:rPr>
          <w:rFonts w:ascii="Palatino" w:hAnsi="Palatino"/>
          <w:sz w:val="22"/>
          <w:szCs w:val="22"/>
        </w:rPr>
        <w:t>Genereaux</w:t>
      </w:r>
      <w:proofErr w:type="spellEnd"/>
      <w:r w:rsidRPr="00D90A00">
        <w:rPr>
          <w:rFonts w:ascii="Palatino" w:hAnsi="Palatino"/>
          <w:sz w:val="22"/>
          <w:szCs w:val="22"/>
        </w:rPr>
        <w:t xml:space="preserve">, C. Liao, J. Wang, J. F. Robinson, G. B. Gloor, R. A. </w:t>
      </w:r>
      <w:proofErr w:type="spellStart"/>
      <w:r w:rsidRPr="00D90A00">
        <w:rPr>
          <w:rFonts w:ascii="Palatino" w:hAnsi="Palatino"/>
          <w:sz w:val="22"/>
          <w:szCs w:val="22"/>
        </w:rPr>
        <w:t>Hegele</w:t>
      </w:r>
      <w:proofErr w:type="spellEnd"/>
      <w:r w:rsidRPr="00D90A00">
        <w:rPr>
          <w:rFonts w:ascii="Palatino" w:hAnsi="Palatino"/>
          <w:sz w:val="22"/>
          <w:szCs w:val="22"/>
        </w:rPr>
        <w:t xml:space="preserve">, P. </w:t>
      </w:r>
      <w:proofErr w:type="spellStart"/>
      <w:r w:rsidRPr="00D90A00">
        <w:rPr>
          <w:rFonts w:ascii="Palatino" w:hAnsi="Palatino"/>
          <w:sz w:val="22"/>
          <w:szCs w:val="22"/>
        </w:rPr>
        <w:t>O’Donoghue</w:t>
      </w:r>
      <w:proofErr w:type="spellEnd"/>
      <w:r w:rsidRPr="00D90A00">
        <w:rPr>
          <w:rFonts w:ascii="Palatino" w:hAnsi="Palatino"/>
          <w:sz w:val="22"/>
          <w:szCs w:val="22"/>
        </w:rPr>
        <w:t xml:space="preserve">, and C. J. </w:t>
      </w:r>
      <w:proofErr w:type="spellStart"/>
      <w:r w:rsidRPr="00D90A00">
        <w:rPr>
          <w:rFonts w:ascii="Palatino" w:hAnsi="Palatino"/>
          <w:sz w:val="22"/>
          <w:szCs w:val="22"/>
        </w:rPr>
        <w:t>Brandl</w:t>
      </w:r>
      <w:proofErr w:type="spellEnd"/>
      <w:r w:rsidRPr="00D90A00">
        <w:rPr>
          <w:rFonts w:ascii="Palatino" w:hAnsi="Palatino"/>
          <w:sz w:val="22"/>
          <w:szCs w:val="22"/>
        </w:rPr>
        <w:t xml:space="preserve">, “Targeted sequencing reveals expanded </w:t>
      </w:r>
      <w:proofErr w:type="spellStart"/>
      <w:r w:rsidRPr="00D90A00">
        <w:rPr>
          <w:rFonts w:ascii="Palatino" w:hAnsi="Palatino"/>
          <w:sz w:val="22"/>
          <w:szCs w:val="22"/>
        </w:rPr>
        <w:t>ge</w:t>
      </w:r>
      <w:proofErr w:type="spellEnd"/>
      <w:r w:rsidRPr="00D90A00">
        <w:rPr>
          <w:rFonts w:ascii="Palatino" w:hAnsi="Palatino"/>
          <w:sz w:val="22"/>
          <w:szCs w:val="22"/>
        </w:rPr>
        <w:t xml:space="preserve">- </w:t>
      </w:r>
      <w:proofErr w:type="spellStart"/>
      <w:r w:rsidRPr="00D90A00">
        <w:rPr>
          <w:rFonts w:ascii="Palatino" w:hAnsi="Palatino"/>
          <w:sz w:val="22"/>
          <w:szCs w:val="22"/>
        </w:rPr>
        <w:t>netic</w:t>
      </w:r>
      <w:proofErr w:type="spellEnd"/>
      <w:r w:rsidRPr="00D90A00">
        <w:rPr>
          <w:rFonts w:ascii="Palatino" w:hAnsi="Palatino"/>
          <w:sz w:val="22"/>
          <w:szCs w:val="22"/>
        </w:rPr>
        <w:t xml:space="preserve"> diversity of human transfer </w:t>
      </w:r>
      <w:proofErr w:type="spellStart"/>
      <w:r w:rsidRPr="00D90A00">
        <w:rPr>
          <w:rFonts w:ascii="Palatino" w:hAnsi="Palatino"/>
          <w:sz w:val="22"/>
          <w:szCs w:val="22"/>
        </w:rPr>
        <w:t>rnas</w:t>
      </w:r>
      <w:proofErr w:type="spellEnd"/>
      <w:r w:rsidRPr="00D90A00">
        <w:rPr>
          <w:rFonts w:ascii="Palatino" w:hAnsi="Palatino"/>
          <w:sz w:val="22"/>
          <w:szCs w:val="22"/>
        </w:rPr>
        <w:t xml:space="preserve">,” </w:t>
      </w:r>
      <w:r w:rsidRPr="00D90A00">
        <w:rPr>
          <w:rFonts w:ascii="Palatino" w:hAnsi="Palatino"/>
          <w:i/>
          <w:iCs/>
          <w:sz w:val="22"/>
          <w:szCs w:val="22"/>
        </w:rPr>
        <w:t>RNA Biol</w:t>
      </w:r>
      <w:r w:rsidRPr="00D90A00">
        <w:rPr>
          <w:rFonts w:ascii="Palatino" w:hAnsi="Palatino"/>
          <w:sz w:val="22"/>
          <w:szCs w:val="22"/>
        </w:rPr>
        <w:t xml:space="preserve">, vol. 16, pp. 1574–1585, Aug 2019. </w:t>
      </w:r>
    </w:p>
    <w:p w14:paraId="00C579F3"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Z. </w:t>
      </w:r>
      <w:proofErr w:type="spellStart"/>
      <w:r w:rsidRPr="00D90A00">
        <w:rPr>
          <w:rFonts w:ascii="Palatino" w:hAnsi="Palatino"/>
          <w:sz w:val="22"/>
          <w:szCs w:val="22"/>
        </w:rPr>
        <w:t>Awamleh</w:t>
      </w:r>
      <w:proofErr w:type="spellEnd"/>
      <w:r w:rsidRPr="00D90A00">
        <w:rPr>
          <w:rFonts w:ascii="Palatino" w:hAnsi="Palatino"/>
          <w:sz w:val="22"/>
          <w:szCs w:val="22"/>
        </w:rPr>
        <w:t xml:space="preserve">, G. B. Gloor, and V. K. M. Han, “Placental </w:t>
      </w:r>
      <w:proofErr w:type="spellStart"/>
      <w:r w:rsidRPr="00D90A00">
        <w:rPr>
          <w:rFonts w:ascii="Palatino" w:hAnsi="Palatino"/>
          <w:sz w:val="22"/>
          <w:szCs w:val="22"/>
        </w:rPr>
        <w:t>micrornas</w:t>
      </w:r>
      <w:proofErr w:type="spellEnd"/>
      <w:r w:rsidRPr="00D90A00">
        <w:rPr>
          <w:rFonts w:ascii="Palatino" w:hAnsi="Palatino"/>
          <w:sz w:val="22"/>
          <w:szCs w:val="22"/>
        </w:rPr>
        <w:t xml:space="preserve"> in pregnancies with early onset intrauterine growth restriction and preeclampsia: potential impact on gene expression and </w:t>
      </w:r>
      <w:proofErr w:type="spellStart"/>
      <w:r w:rsidRPr="00D90A00">
        <w:rPr>
          <w:rFonts w:ascii="Palatino" w:hAnsi="Palatino"/>
          <w:sz w:val="22"/>
          <w:szCs w:val="22"/>
        </w:rPr>
        <w:t>patho</w:t>
      </w:r>
      <w:proofErr w:type="spellEnd"/>
      <w:r w:rsidRPr="00D90A00">
        <w:rPr>
          <w:rFonts w:ascii="Palatino" w:hAnsi="Palatino"/>
          <w:sz w:val="22"/>
          <w:szCs w:val="22"/>
        </w:rPr>
        <w:t xml:space="preserve">- physiology,” </w:t>
      </w:r>
      <w:r w:rsidRPr="00D90A00">
        <w:rPr>
          <w:rFonts w:ascii="Palatino" w:hAnsi="Palatino"/>
          <w:i/>
          <w:iCs/>
          <w:sz w:val="22"/>
          <w:szCs w:val="22"/>
        </w:rPr>
        <w:t>BMC Med Genomics</w:t>
      </w:r>
      <w:r w:rsidRPr="00D90A00">
        <w:rPr>
          <w:rFonts w:ascii="Palatino" w:hAnsi="Palatino"/>
          <w:sz w:val="22"/>
          <w:szCs w:val="22"/>
        </w:rPr>
        <w:t xml:space="preserve">, vol. 12, p. 91, 06 2019. </w:t>
      </w:r>
    </w:p>
    <w:p w14:paraId="32E41C0C"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D. G. Wootton, M. J. Cox, G. B. Gloor, D. </w:t>
      </w:r>
      <w:proofErr w:type="spellStart"/>
      <w:r w:rsidRPr="00D90A00">
        <w:rPr>
          <w:rFonts w:ascii="Palatino" w:hAnsi="Palatino"/>
          <w:sz w:val="22"/>
          <w:szCs w:val="22"/>
        </w:rPr>
        <w:t>Litt</w:t>
      </w:r>
      <w:proofErr w:type="spellEnd"/>
      <w:r w:rsidRPr="00D90A00">
        <w:rPr>
          <w:rFonts w:ascii="Palatino" w:hAnsi="Palatino"/>
          <w:sz w:val="22"/>
          <w:szCs w:val="22"/>
        </w:rPr>
        <w:t xml:space="preserve">, K. </w:t>
      </w:r>
      <w:proofErr w:type="spellStart"/>
      <w:r w:rsidRPr="00D90A00">
        <w:rPr>
          <w:rFonts w:ascii="Palatino" w:hAnsi="Palatino"/>
          <w:sz w:val="22"/>
          <w:szCs w:val="22"/>
        </w:rPr>
        <w:t>Hoschler</w:t>
      </w:r>
      <w:proofErr w:type="spellEnd"/>
      <w:r w:rsidRPr="00D90A00">
        <w:rPr>
          <w:rFonts w:ascii="Palatino" w:hAnsi="Palatino"/>
          <w:sz w:val="22"/>
          <w:szCs w:val="22"/>
        </w:rPr>
        <w:t xml:space="preserve">, E. German, J. Court, O. </w:t>
      </w:r>
      <w:proofErr w:type="spellStart"/>
      <w:r w:rsidRPr="00D90A00">
        <w:rPr>
          <w:rFonts w:ascii="Palatino" w:hAnsi="Palatino"/>
          <w:sz w:val="22"/>
          <w:szCs w:val="22"/>
        </w:rPr>
        <w:t>Eneje</w:t>
      </w:r>
      <w:proofErr w:type="spellEnd"/>
      <w:r w:rsidRPr="00D90A00">
        <w:rPr>
          <w:rFonts w:ascii="Palatino" w:hAnsi="Palatino"/>
          <w:sz w:val="22"/>
          <w:szCs w:val="22"/>
        </w:rPr>
        <w:t xml:space="preserve">, L. </w:t>
      </w:r>
      <w:proofErr w:type="spellStart"/>
      <w:r w:rsidRPr="00D90A00">
        <w:rPr>
          <w:rFonts w:ascii="Palatino" w:hAnsi="Palatino"/>
          <w:sz w:val="22"/>
          <w:szCs w:val="22"/>
        </w:rPr>
        <w:t>Keogan</w:t>
      </w:r>
      <w:proofErr w:type="spellEnd"/>
      <w:r w:rsidRPr="00D90A00">
        <w:rPr>
          <w:rFonts w:ascii="Palatino" w:hAnsi="Palatino"/>
          <w:sz w:val="22"/>
          <w:szCs w:val="22"/>
        </w:rPr>
        <w:t xml:space="preserve">, L. Macfarlane, S. Wilks, P. J. Diggle, M. Woodhead, M. F. Moffatt, W. O. C. Cookson, and S. B. Gordon, “A haemophilus sp. dominates the microbiota of sputum from </w:t>
      </w:r>
      <w:proofErr w:type="spellStart"/>
      <w:r w:rsidRPr="00D90A00">
        <w:rPr>
          <w:rFonts w:ascii="Palatino" w:hAnsi="Palatino"/>
          <w:sz w:val="22"/>
          <w:szCs w:val="22"/>
        </w:rPr>
        <w:t>uk</w:t>
      </w:r>
      <w:proofErr w:type="spellEnd"/>
      <w:r w:rsidRPr="00D90A00">
        <w:rPr>
          <w:rFonts w:ascii="Palatino" w:hAnsi="Palatino"/>
          <w:sz w:val="22"/>
          <w:szCs w:val="22"/>
        </w:rPr>
        <w:t xml:space="preserve"> adults with non-severe community acquired pneumonia and chronic lung disease,” </w:t>
      </w:r>
      <w:r w:rsidRPr="00D90A00">
        <w:rPr>
          <w:rFonts w:ascii="Palatino" w:hAnsi="Palatino"/>
          <w:i/>
          <w:iCs/>
          <w:sz w:val="22"/>
          <w:szCs w:val="22"/>
        </w:rPr>
        <w:t>Sci Rep</w:t>
      </w:r>
      <w:r w:rsidRPr="00D90A00">
        <w:rPr>
          <w:rFonts w:ascii="Palatino" w:hAnsi="Palatino"/>
          <w:sz w:val="22"/>
          <w:szCs w:val="22"/>
        </w:rPr>
        <w:t xml:space="preserve">, vol. 9, p. 2388, Feb 2019. </w:t>
      </w:r>
    </w:p>
    <w:p w14:paraId="7414B7BF" w14:textId="557B3D7B" w:rsidR="00D90A00" w:rsidRPr="00D90A00" w:rsidRDefault="00D90A00" w:rsidP="00D90A00">
      <w:pPr>
        <w:pStyle w:val="ListParagraph"/>
        <w:numPr>
          <w:ilvl w:val="0"/>
          <w:numId w:val="43"/>
        </w:numPr>
        <w:spacing w:after="40"/>
      </w:pPr>
      <w:r w:rsidRPr="00D90A00">
        <w:rPr>
          <w:rFonts w:ascii="Palatino" w:hAnsi="Palatino"/>
          <w:sz w:val="22"/>
          <w:szCs w:val="22"/>
        </w:rPr>
        <w:t xml:space="preserve">Almeida, A. L. Mitchell, M. Boland, S. C. Forster, G. B. Gloor, A. </w:t>
      </w:r>
      <w:proofErr w:type="spellStart"/>
      <w:r w:rsidRPr="00D90A00">
        <w:rPr>
          <w:rFonts w:ascii="Palatino" w:hAnsi="Palatino"/>
          <w:sz w:val="22"/>
          <w:szCs w:val="22"/>
        </w:rPr>
        <w:t>Tarkowska</w:t>
      </w:r>
      <w:proofErr w:type="spellEnd"/>
      <w:r w:rsidRPr="00D90A00">
        <w:rPr>
          <w:rFonts w:ascii="Palatino" w:hAnsi="Palatino"/>
          <w:sz w:val="22"/>
          <w:szCs w:val="22"/>
        </w:rPr>
        <w:t xml:space="preserve">, T. D. Lawley, and R. D. Finn, “A new genomic blueprint of the human gut microbiota,” </w:t>
      </w:r>
      <w:r w:rsidRPr="00D90A00">
        <w:rPr>
          <w:rFonts w:ascii="Palatino" w:hAnsi="Palatino"/>
          <w:i/>
          <w:iCs/>
          <w:sz w:val="22"/>
          <w:szCs w:val="22"/>
        </w:rPr>
        <w:t>Nature</w:t>
      </w:r>
      <w:r w:rsidRPr="00D90A00">
        <w:rPr>
          <w:rFonts w:ascii="Palatino" w:hAnsi="Palatino"/>
          <w:sz w:val="22"/>
          <w:szCs w:val="22"/>
        </w:rPr>
        <w:t xml:space="preserve">, vol. 568, p. 499, Feb 2019. </w:t>
      </w:r>
    </w:p>
    <w:p w14:paraId="59DA195A" w14:textId="428A4E5B" w:rsidR="00D90A00" w:rsidRPr="00D90A00" w:rsidRDefault="00D90A00" w:rsidP="00D90A00">
      <w:pPr>
        <w:pStyle w:val="ListParagraph"/>
        <w:numPr>
          <w:ilvl w:val="0"/>
          <w:numId w:val="43"/>
        </w:numPr>
        <w:spacing w:after="40"/>
      </w:pPr>
      <w:r>
        <w:rPr>
          <w:rFonts w:ascii="Palatino" w:hAnsi="Palatino"/>
          <w:sz w:val="22"/>
          <w:szCs w:val="22"/>
        </w:rPr>
        <w:t>B.</w:t>
      </w:r>
      <w:r w:rsidRPr="00D90A00">
        <w:rPr>
          <w:rFonts w:ascii="Palatino" w:hAnsi="Palatino"/>
          <w:sz w:val="22"/>
          <w:szCs w:val="22"/>
        </w:rPr>
        <w:t xml:space="preserve">R. Joris and G. B. Gloor, “Unaccounted risk of cardiovascular disease: the role of the microbiome in lipid metabolism,” </w:t>
      </w:r>
      <w:proofErr w:type="spellStart"/>
      <w:r w:rsidRPr="00D90A00">
        <w:rPr>
          <w:rFonts w:ascii="Palatino" w:hAnsi="Palatino"/>
          <w:i/>
          <w:iCs/>
          <w:sz w:val="22"/>
          <w:szCs w:val="22"/>
        </w:rPr>
        <w:t>Curr</w:t>
      </w:r>
      <w:proofErr w:type="spellEnd"/>
      <w:r w:rsidRPr="00D90A00">
        <w:rPr>
          <w:rFonts w:ascii="Palatino" w:hAnsi="Palatino"/>
          <w:i/>
          <w:iCs/>
          <w:sz w:val="22"/>
          <w:szCs w:val="22"/>
        </w:rPr>
        <w:t xml:space="preserve"> </w:t>
      </w:r>
      <w:proofErr w:type="spellStart"/>
      <w:r w:rsidRPr="00D90A00">
        <w:rPr>
          <w:rFonts w:ascii="Palatino" w:hAnsi="Palatino"/>
          <w:i/>
          <w:iCs/>
          <w:sz w:val="22"/>
          <w:szCs w:val="22"/>
        </w:rPr>
        <w:t>Opin</w:t>
      </w:r>
      <w:proofErr w:type="spellEnd"/>
      <w:r w:rsidRPr="00D90A00">
        <w:rPr>
          <w:rFonts w:ascii="Palatino" w:hAnsi="Palatino"/>
          <w:i/>
          <w:iCs/>
          <w:sz w:val="22"/>
          <w:szCs w:val="22"/>
        </w:rPr>
        <w:t xml:space="preserve"> </w:t>
      </w:r>
      <w:proofErr w:type="spellStart"/>
      <w:r w:rsidRPr="00D90A00">
        <w:rPr>
          <w:rFonts w:ascii="Palatino" w:hAnsi="Palatino"/>
          <w:i/>
          <w:iCs/>
          <w:sz w:val="22"/>
          <w:szCs w:val="22"/>
        </w:rPr>
        <w:t>Lipidol</w:t>
      </w:r>
      <w:proofErr w:type="spellEnd"/>
      <w:r w:rsidRPr="00D90A00">
        <w:rPr>
          <w:rFonts w:ascii="Palatino" w:hAnsi="Palatino"/>
          <w:sz w:val="22"/>
          <w:szCs w:val="22"/>
        </w:rPr>
        <w:t xml:space="preserve">, Jan 2019. </w:t>
      </w:r>
    </w:p>
    <w:p w14:paraId="1F0B76C7"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M. D. Berg, J. </w:t>
      </w:r>
      <w:proofErr w:type="spellStart"/>
      <w:r w:rsidRPr="00D90A00">
        <w:rPr>
          <w:rFonts w:ascii="Palatino" w:hAnsi="Palatino"/>
          <w:sz w:val="22"/>
          <w:szCs w:val="22"/>
        </w:rPr>
        <w:t>Genereaux</w:t>
      </w:r>
      <w:proofErr w:type="spellEnd"/>
      <w:r w:rsidRPr="00D90A00">
        <w:rPr>
          <w:rFonts w:ascii="Palatino" w:hAnsi="Palatino"/>
          <w:sz w:val="22"/>
          <w:szCs w:val="22"/>
        </w:rPr>
        <w:t xml:space="preserve">, Y. Zhu, S. </w:t>
      </w:r>
      <w:proofErr w:type="spellStart"/>
      <w:r w:rsidRPr="00D90A00">
        <w:rPr>
          <w:rFonts w:ascii="Palatino" w:hAnsi="Palatino"/>
          <w:sz w:val="22"/>
          <w:szCs w:val="22"/>
        </w:rPr>
        <w:t>Mian</w:t>
      </w:r>
      <w:proofErr w:type="spellEnd"/>
      <w:r w:rsidRPr="00D90A00">
        <w:rPr>
          <w:rFonts w:ascii="Palatino" w:hAnsi="Palatino"/>
          <w:sz w:val="22"/>
          <w:szCs w:val="22"/>
        </w:rPr>
        <w:t xml:space="preserve">, G. B. Gloor, and C. J. </w:t>
      </w:r>
      <w:proofErr w:type="spellStart"/>
      <w:r w:rsidRPr="00D90A00">
        <w:rPr>
          <w:rFonts w:ascii="Palatino" w:hAnsi="Palatino"/>
          <w:sz w:val="22"/>
          <w:szCs w:val="22"/>
        </w:rPr>
        <w:t>Brandl</w:t>
      </w:r>
      <w:proofErr w:type="spellEnd"/>
      <w:r w:rsidRPr="00D90A00">
        <w:rPr>
          <w:rFonts w:ascii="Palatino" w:hAnsi="Palatino"/>
          <w:sz w:val="22"/>
          <w:szCs w:val="22"/>
        </w:rPr>
        <w:t xml:space="preserve">, “Acceptor stem differences contribute to species-specific use of yeast and human </w:t>
      </w:r>
      <w:proofErr w:type="spellStart"/>
      <w:r w:rsidRPr="00D90A00">
        <w:rPr>
          <w:rFonts w:ascii="Palatino" w:hAnsi="Palatino"/>
          <w:sz w:val="22"/>
          <w:szCs w:val="22"/>
        </w:rPr>
        <w:t>tRNAser</w:t>
      </w:r>
      <w:proofErr w:type="spellEnd"/>
      <w:r w:rsidRPr="00D90A00">
        <w:rPr>
          <w:rFonts w:ascii="Palatino" w:hAnsi="Palatino"/>
          <w:sz w:val="22"/>
          <w:szCs w:val="22"/>
        </w:rPr>
        <w:t xml:space="preserve">,” </w:t>
      </w:r>
      <w:r w:rsidRPr="00D90A00">
        <w:rPr>
          <w:rFonts w:ascii="Palatino" w:hAnsi="Palatino"/>
          <w:i/>
          <w:iCs/>
          <w:sz w:val="22"/>
          <w:szCs w:val="22"/>
        </w:rPr>
        <w:t>Genes (Basel)</w:t>
      </w:r>
      <w:r w:rsidRPr="00D90A00">
        <w:rPr>
          <w:rFonts w:ascii="Palatino" w:hAnsi="Palatino"/>
          <w:sz w:val="22"/>
          <w:szCs w:val="22"/>
        </w:rPr>
        <w:t xml:space="preserve">, vol. 9, p. 612, Dec 2018. </w:t>
      </w:r>
    </w:p>
    <w:p w14:paraId="15D8650C"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T. A. </w:t>
      </w:r>
      <w:proofErr w:type="spellStart"/>
      <w:r w:rsidRPr="00D90A00">
        <w:rPr>
          <w:rFonts w:ascii="Palatino" w:hAnsi="Palatino"/>
          <w:sz w:val="22"/>
          <w:szCs w:val="22"/>
        </w:rPr>
        <w:t>McMurrough</w:t>
      </w:r>
      <w:proofErr w:type="spellEnd"/>
      <w:r w:rsidRPr="00D90A00">
        <w:rPr>
          <w:rFonts w:ascii="Palatino" w:hAnsi="Palatino"/>
          <w:sz w:val="22"/>
          <w:szCs w:val="22"/>
        </w:rPr>
        <w:t xml:space="preserve">, C. M. Brown, K. Zhang, G. </w:t>
      </w:r>
      <w:proofErr w:type="spellStart"/>
      <w:r w:rsidRPr="00D90A00">
        <w:rPr>
          <w:rFonts w:ascii="Palatino" w:hAnsi="Palatino"/>
          <w:sz w:val="22"/>
          <w:szCs w:val="22"/>
        </w:rPr>
        <w:t>Hausner</w:t>
      </w:r>
      <w:proofErr w:type="spellEnd"/>
      <w:r w:rsidRPr="00D90A00">
        <w:rPr>
          <w:rFonts w:ascii="Palatino" w:hAnsi="Palatino"/>
          <w:sz w:val="22"/>
          <w:szCs w:val="22"/>
        </w:rPr>
        <w:t xml:space="preserve">, M. S. </w:t>
      </w:r>
      <w:proofErr w:type="spellStart"/>
      <w:r w:rsidRPr="00D90A00">
        <w:rPr>
          <w:rFonts w:ascii="Palatino" w:hAnsi="Palatino"/>
          <w:sz w:val="22"/>
          <w:szCs w:val="22"/>
        </w:rPr>
        <w:t>Junop</w:t>
      </w:r>
      <w:proofErr w:type="spellEnd"/>
      <w:r w:rsidRPr="00D90A00">
        <w:rPr>
          <w:rFonts w:ascii="Palatino" w:hAnsi="Palatino"/>
          <w:sz w:val="22"/>
          <w:szCs w:val="22"/>
        </w:rPr>
        <w:t xml:space="preserve">, G. B. Gloor, and D. R. Edgell, “Active site residue identity regulates cleavage preference of LAGLIDADG homing endonucleases,” </w:t>
      </w:r>
      <w:r w:rsidRPr="00D90A00">
        <w:rPr>
          <w:rFonts w:ascii="Palatino" w:hAnsi="Palatino"/>
          <w:i/>
          <w:iCs/>
          <w:sz w:val="22"/>
          <w:szCs w:val="22"/>
        </w:rPr>
        <w:t>Nucleic Acids Res</w:t>
      </w:r>
      <w:r w:rsidRPr="00D90A00">
        <w:rPr>
          <w:rFonts w:ascii="Palatino" w:hAnsi="Palatino"/>
          <w:sz w:val="22"/>
          <w:szCs w:val="22"/>
        </w:rPr>
        <w:t xml:space="preserve">, vol. 46, pp. 11990–12007, Oct 2018. </w:t>
      </w:r>
    </w:p>
    <w:p w14:paraId="29A92C0B"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M. I. </w:t>
      </w:r>
      <w:proofErr w:type="spellStart"/>
      <w:r w:rsidRPr="00D90A00">
        <w:rPr>
          <w:rFonts w:ascii="Palatino" w:hAnsi="Palatino"/>
          <w:sz w:val="22"/>
          <w:szCs w:val="22"/>
        </w:rPr>
        <w:t>Petrova</w:t>
      </w:r>
      <w:proofErr w:type="spellEnd"/>
      <w:r w:rsidRPr="00D90A00">
        <w:rPr>
          <w:rFonts w:ascii="Palatino" w:hAnsi="Palatino"/>
          <w:sz w:val="22"/>
          <w:szCs w:val="22"/>
        </w:rPr>
        <w:t xml:space="preserve">, J. M. </w:t>
      </w:r>
      <w:proofErr w:type="spellStart"/>
      <w:r w:rsidRPr="00D90A00">
        <w:rPr>
          <w:rFonts w:ascii="Palatino" w:hAnsi="Palatino"/>
          <w:sz w:val="22"/>
          <w:szCs w:val="22"/>
        </w:rPr>
        <w:t>Macklaim</w:t>
      </w:r>
      <w:proofErr w:type="spellEnd"/>
      <w:r w:rsidRPr="00D90A00">
        <w:rPr>
          <w:rFonts w:ascii="Palatino" w:hAnsi="Palatino"/>
          <w:sz w:val="22"/>
          <w:szCs w:val="22"/>
        </w:rPr>
        <w:t xml:space="preserve">, S. </w:t>
      </w:r>
      <w:proofErr w:type="spellStart"/>
      <w:r w:rsidRPr="00D90A00">
        <w:rPr>
          <w:rFonts w:ascii="Palatino" w:hAnsi="Palatino"/>
          <w:sz w:val="22"/>
          <w:szCs w:val="22"/>
        </w:rPr>
        <w:t>Wuyts</w:t>
      </w:r>
      <w:proofErr w:type="spellEnd"/>
      <w:r w:rsidRPr="00D90A00">
        <w:rPr>
          <w:rFonts w:ascii="Palatino" w:hAnsi="Palatino"/>
          <w:sz w:val="22"/>
          <w:szCs w:val="22"/>
        </w:rPr>
        <w:t xml:space="preserve">, T. Verhoeven, J. </w:t>
      </w:r>
      <w:proofErr w:type="spellStart"/>
      <w:r w:rsidRPr="00D90A00">
        <w:rPr>
          <w:rFonts w:ascii="Palatino" w:hAnsi="Palatino"/>
          <w:sz w:val="22"/>
          <w:szCs w:val="22"/>
        </w:rPr>
        <w:t>Vanderleyden</w:t>
      </w:r>
      <w:proofErr w:type="spellEnd"/>
      <w:r w:rsidRPr="00D90A00">
        <w:rPr>
          <w:rFonts w:ascii="Palatino" w:hAnsi="Palatino"/>
          <w:sz w:val="22"/>
          <w:szCs w:val="22"/>
        </w:rPr>
        <w:t xml:space="preserve">, G. B. Gloor, S. </w:t>
      </w:r>
      <w:proofErr w:type="spellStart"/>
      <w:r w:rsidRPr="00D90A00">
        <w:rPr>
          <w:rFonts w:ascii="Palatino" w:hAnsi="Palatino"/>
          <w:sz w:val="22"/>
          <w:szCs w:val="22"/>
        </w:rPr>
        <w:t>Lebeer</w:t>
      </w:r>
      <w:proofErr w:type="spellEnd"/>
      <w:r w:rsidRPr="00D90A00">
        <w:rPr>
          <w:rFonts w:ascii="Palatino" w:hAnsi="Palatino"/>
          <w:sz w:val="22"/>
          <w:szCs w:val="22"/>
        </w:rPr>
        <w:t xml:space="preserve">, and G. Reid, “Comparative genomic and phenotypic analysis of the vaginal probiotic lactobacillus </w:t>
      </w:r>
      <w:proofErr w:type="spellStart"/>
      <w:r w:rsidRPr="00D90A00">
        <w:rPr>
          <w:rFonts w:ascii="Palatino" w:hAnsi="Palatino"/>
          <w:sz w:val="22"/>
          <w:szCs w:val="22"/>
        </w:rPr>
        <w:t>rham</w:t>
      </w:r>
      <w:proofErr w:type="spellEnd"/>
      <w:r w:rsidRPr="00D90A00">
        <w:rPr>
          <w:rFonts w:ascii="Palatino" w:hAnsi="Palatino"/>
          <w:sz w:val="22"/>
          <w:szCs w:val="22"/>
        </w:rPr>
        <w:t xml:space="preserve">- </w:t>
      </w:r>
      <w:proofErr w:type="spellStart"/>
      <w:r w:rsidRPr="00D90A00">
        <w:rPr>
          <w:rFonts w:ascii="Palatino" w:hAnsi="Palatino"/>
          <w:sz w:val="22"/>
          <w:szCs w:val="22"/>
        </w:rPr>
        <w:t>nosus</w:t>
      </w:r>
      <w:proofErr w:type="spellEnd"/>
      <w:r w:rsidRPr="00D90A00">
        <w:rPr>
          <w:rFonts w:ascii="Palatino" w:hAnsi="Palatino"/>
          <w:sz w:val="22"/>
          <w:szCs w:val="22"/>
        </w:rPr>
        <w:t xml:space="preserve"> GR-1,” </w:t>
      </w:r>
      <w:r w:rsidRPr="00D90A00">
        <w:rPr>
          <w:rFonts w:ascii="Palatino" w:hAnsi="Palatino"/>
          <w:i/>
          <w:iCs/>
          <w:sz w:val="22"/>
          <w:szCs w:val="22"/>
        </w:rPr>
        <w:t>Front Microbiol</w:t>
      </w:r>
      <w:r w:rsidRPr="00D90A00">
        <w:rPr>
          <w:rFonts w:ascii="Palatino" w:hAnsi="Palatino"/>
          <w:sz w:val="22"/>
          <w:szCs w:val="22"/>
        </w:rPr>
        <w:t xml:space="preserve">, vol. 9, p. 1278, 2018. </w:t>
      </w:r>
    </w:p>
    <w:p w14:paraId="5A0B5BB1" w14:textId="77777777" w:rsidR="00D90A00" w:rsidRPr="00D90A00" w:rsidRDefault="00D90A00" w:rsidP="00D90A00">
      <w:pPr>
        <w:pStyle w:val="ListParagraph"/>
        <w:numPr>
          <w:ilvl w:val="0"/>
          <w:numId w:val="43"/>
        </w:numPr>
        <w:spacing w:after="40"/>
      </w:pPr>
      <w:r w:rsidRPr="00D90A00">
        <w:rPr>
          <w:rFonts w:ascii="Palatino" w:hAnsi="Palatino"/>
          <w:sz w:val="22"/>
          <w:szCs w:val="22"/>
        </w:rPr>
        <w:t>G.</w:t>
      </w:r>
      <w:proofErr w:type="gramStart"/>
      <w:r w:rsidRPr="00D90A00">
        <w:rPr>
          <w:rFonts w:ascii="Palatino" w:hAnsi="Palatino"/>
          <w:sz w:val="22"/>
          <w:szCs w:val="22"/>
        </w:rPr>
        <w:t>B.Gloor</w:t>
      </w:r>
      <w:proofErr w:type="gramEnd"/>
      <w:r w:rsidRPr="00D90A00">
        <w:rPr>
          <w:rFonts w:ascii="Palatino" w:hAnsi="Palatino"/>
          <w:sz w:val="22"/>
          <w:szCs w:val="22"/>
        </w:rPr>
        <w:t xml:space="preserve">,R.G.Wong,E.Allen-Vercoe,V.Dinculescu,M.Pignanelli,C.Bogiatzi,G.Reid,andJ.D. Spence, “Data on the gut and saliva microbiota from a cohort of atherosclerosis patients determined by 16s </w:t>
      </w:r>
      <w:proofErr w:type="spellStart"/>
      <w:r w:rsidRPr="00D90A00">
        <w:rPr>
          <w:rFonts w:ascii="Palatino" w:hAnsi="Palatino"/>
          <w:sz w:val="22"/>
          <w:szCs w:val="22"/>
        </w:rPr>
        <w:t>rrna</w:t>
      </w:r>
      <w:proofErr w:type="spellEnd"/>
      <w:r w:rsidRPr="00D90A00">
        <w:rPr>
          <w:rFonts w:ascii="Palatino" w:hAnsi="Palatino"/>
          <w:sz w:val="22"/>
          <w:szCs w:val="22"/>
        </w:rPr>
        <w:t xml:space="preserve"> gene sequencing,” </w:t>
      </w:r>
      <w:r w:rsidRPr="00D90A00">
        <w:rPr>
          <w:rFonts w:ascii="Palatino" w:hAnsi="Palatino"/>
          <w:i/>
          <w:iCs/>
          <w:sz w:val="22"/>
          <w:szCs w:val="22"/>
        </w:rPr>
        <w:t>Data Brief</w:t>
      </w:r>
      <w:r w:rsidRPr="00D90A00">
        <w:rPr>
          <w:rFonts w:ascii="Palatino" w:hAnsi="Palatino"/>
          <w:sz w:val="22"/>
          <w:szCs w:val="22"/>
        </w:rPr>
        <w:t xml:space="preserve">, vol. 19, pp. 481–485, Aug 2018. </w:t>
      </w:r>
    </w:p>
    <w:p w14:paraId="00C969E6" w14:textId="77777777" w:rsidR="00D90A00" w:rsidRPr="00D90A00" w:rsidRDefault="00D90A00" w:rsidP="00D90A00">
      <w:pPr>
        <w:pStyle w:val="ListParagraph"/>
        <w:numPr>
          <w:ilvl w:val="0"/>
          <w:numId w:val="43"/>
        </w:numPr>
        <w:spacing w:after="40"/>
      </w:pPr>
      <w:r w:rsidRPr="00D90A00">
        <w:rPr>
          <w:rFonts w:ascii="Palatino" w:hAnsi="Palatino"/>
          <w:sz w:val="22"/>
          <w:szCs w:val="22"/>
        </w:rPr>
        <w:t xml:space="preserve">M. </w:t>
      </w:r>
      <w:proofErr w:type="spellStart"/>
      <w:r w:rsidRPr="00D90A00">
        <w:rPr>
          <w:rFonts w:ascii="Palatino" w:hAnsi="Palatino"/>
          <w:sz w:val="22"/>
          <w:szCs w:val="22"/>
        </w:rPr>
        <w:t>Pignanelli</w:t>
      </w:r>
      <w:proofErr w:type="spellEnd"/>
      <w:r w:rsidRPr="00D90A00">
        <w:rPr>
          <w:rFonts w:ascii="Palatino" w:hAnsi="Palatino"/>
          <w:sz w:val="22"/>
          <w:szCs w:val="22"/>
        </w:rPr>
        <w:t xml:space="preserve">, C. </w:t>
      </w:r>
      <w:proofErr w:type="spellStart"/>
      <w:r w:rsidRPr="00D90A00">
        <w:rPr>
          <w:rFonts w:ascii="Palatino" w:hAnsi="Palatino"/>
          <w:sz w:val="22"/>
          <w:szCs w:val="22"/>
        </w:rPr>
        <w:t>Bogiatzi</w:t>
      </w:r>
      <w:proofErr w:type="spellEnd"/>
      <w:r w:rsidRPr="00D90A00">
        <w:rPr>
          <w:rFonts w:ascii="Palatino" w:hAnsi="Palatino"/>
          <w:sz w:val="22"/>
          <w:szCs w:val="22"/>
        </w:rPr>
        <w:t>, G. Gloor, E. Allen-</w:t>
      </w:r>
      <w:proofErr w:type="spellStart"/>
      <w:r w:rsidRPr="00D90A00">
        <w:rPr>
          <w:rFonts w:ascii="Palatino" w:hAnsi="Palatino"/>
          <w:sz w:val="22"/>
          <w:szCs w:val="22"/>
        </w:rPr>
        <w:t>Vercoe</w:t>
      </w:r>
      <w:proofErr w:type="spellEnd"/>
      <w:r w:rsidRPr="00D90A00">
        <w:rPr>
          <w:rFonts w:ascii="Palatino" w:hAnsi="Palatino"/>
          <w:sz w:val="22"/>
          <w:szCs w:val="22"/>
        </w:rPr>
        <w:t xml:space="preserve">, G. Reid, B. L. Urquhart, K. N. </w:t>
      </w:r>
      <w:proofErr w:type="spellStart"/>
      <w:r w:rsidRPr="00D90A00">
        <w:rPr>
          <w:rFonts w:ascii="Palatino" w:hAnsi="Palatino"/>
          <w:sz w:val="22"/>
          <w:szCs w:val="22"/>
        </w:rPr>
        <w:t>Ruetz</w:t>
      </w:r>
      <w:proofErr w:type="spellEnd"/>
      <w:r w:rsidRPr="00D90A00">
        <w:rPr>
          <w:rFonts w:ascii="Palatino" w:hAnsi="Palatino"/>
          <w:sz w:val="22"/>
          <w:szCs w:val="22"/>
        </w:rPr>
        <w:t xml:space="preserve">, T. J. </w:t>
      </w:r>
      <w:proofErr w:type="spellStart"/>
      <w:r w:rsidRPr="00D90A00">
        <w:rPr>
          <w:rFonts w:ascii="Palatino" w:hAnsi="Palatino"/>
          <w:sz w:val="22"/>
          <w:szCs w:val="22"/>
        </w:rPr>
        <w:t>Velenosi</w:t>
      </w:r>
      <w:proofErr w:type="spellEnd"/>
      <w:r w:rsidRPr="00D90A00">
        <w:rPr>
          <w:rFonts w:ascii="Palatino" w:hAnsi="Palatino"/>
          <w:sz w:val="22"/>
          <w:szCs w:val="22"/>
        </w:rPr>
        <w:t xml:space="preserve">, and J. D. Spence, “Moderate renal impairment and toxic metabolites produced by the in- </w:t>
      </w:r>
      <w:proofErr w:type="spellStart"/>
      <w:r w:rsidRPr="00D90A00">
        <w:rPr>
          <w:rFonts w:ascii="Palatino" w:hAnsi="Palatino"/>
          <w:sz w:val="22"/>
          <w:szCs w:val="22"/>
        </w:rPr>
        <w:t>testinal</w:t>
      </w:r>
      <w:proofErr w:type="spellEnd"/>
      <w:r w:rsidRPr="00D90A00">
        <w:rPr>
          <w:rFonts w:ascii="Palatino" w:hAnsi="Palatino"/>
          <w:sz w:val="22"/>
          <w:szCs w:val="22"/>
        </w:rPr>
        <w:t xml:space="preserve"> microbiome: Dietary implications,” </w:t>
      </w:r>
      <w:r w:rsidRPr="00D90A00">
        <w:rPr>
          <w:rFonts w:ascii="Palatino" w:hAnsi="Palatino"/>
          <w:i/>
          <w:iCs/>
          <w:sz w:val="22"/>
          <w:szCs w:val="22"/>
        </w:rPr>
        <w:t xml:space="preserve">J Ren </w:t>
      </w:r>
      <w:proofErr w:type="spellStart"/>
      <w:r w:rsidRPr="00D90A00">
        <w:rPr>
          <w:rFonts w:ascii="Palatino" w:hAnsi="Palatino"/>
          <w:i/>
          <w:iCs/>
          <w:sz w:val="22"/>
          <w:szCs w:val="22"/>
        </w:rPr>
        <w:t>Nutr</w:t>
      </w:r>
      <w:proofErr w:type="spellEnd"/>
      <w:r w:rsidRPr="00D90A00">
        <w:rPr>
          <w:rFonts w:ascii="Palatino" w:hAnsi="Palatino"/>
          <w:sz w:val="22"/>
          <w:szCs w:val="22"/>
        </w:rPr>
        <w:t xml:space="preserve">, vol. 29, pp. 55–64, Aug 2018. </w:t>
      </w:r>
    </w:p>
    <w:p w14:paraId="49F052CD" w14:textId="77777777" w:rsidR="00D90A00" w:rsidRPr="00D90A00" w:rsidRDefault="00D90A00" w:rsidP="00D90A00">
      <w:pPr>
        <w:pStyle w:val="ListParagraph"/>
        <w:numPr>
          <w:ilvl w:val="0"/>
          <w:numId w:val="43"/>
        </w:numPr>
        <w:spacing w:after="40"/>
      </w:pPr>
      <w:r w:rsidRPr="00D90A00">
        <w:rPr>
          <w:rFonts w:ascii="Palatino" w:hAnsi="Palatino"/>
          <w:sz w:val="22"/>
          <w:szCs w:val="22"/>
        </w:rPr>
        <w:t>M.</w:t>
      </w:r>
      <w:proofErr w:type="gramStart"/>
      <w:r w:rsidRPr="00D90A00">
        <w:rPr>
          <w:rFonts w:ascii="Palatino" w:hAnsi="Palatino"/>
          <w:sz w:val="22"/>
          <w:szCs w:val="22"/>
        </w:rPr>
        <w:t>Pignanelli,C</w:t>
      </w:r>
      <w:proofErr w:type="gramEnd"/>
      <w:r w:rsidRPr="00D90A00">
        <w:rPr>
          <w:rFonts w:ascii="Palatino" w:hAnsi="Palatino"/>
          <w:sz w:val="22"/>
          <w:szCs w:val="22"/>
        </w:rPr>
        <w:t xml:space="preserve">.Just,C.Bogiatzi,V.Dinculescu,G.B.Gloor,E.Allen-Vercoe,G.Reid,B.L.Urquhart, K. N. </w:t>
      </w:r>
      <w:proofErr w:type="spellStart"/>
      <w:r w:rsidRPr="00D90A00">
        <w:rPr>
          <w:rFonts w:ascii="Palatino" w:hAnsi="Palatino"/>
          <w:sz w:val="22"/>
          <w:szCs w:val="22"/>
        </w:rPr>
        <w:t>Ruetz</w:t>
      </w:r>
      <w:proofErr w:type="spellEnd"/>
      <w:r w:rsidRPr="00D90A00">
        <w:rPr>
          <w:rFonts w:ascii="Palatino" w:hAnsi="Palatino"/>
          <w:sz w:val="22"/>
          <w:szCs w:val="22"/>
        </w:rPr>
        <w:t xml:space="preserve">, T. J. </w:t>
      </w:r>
      <w:proofErr w:type="spellStart"/>
      <w:r w:rsidRPr="00D90A00">
        <w:rPr>
          <w:rFonts w:ascii="Palatino" w:hAnsi="Palatino"/>
          <w:sz w:val="22"/>
          <w:szCs w:val="22"/>
        </w:rPr>
        <w:t>Velenosi</w:t>
      </w:r>
      <w:proofErr w:type="spellEnd"/>
      <w:r w:rsidRPr="00D90A00">
        <w:rPr>
          <w:rFonts w:ascii="Palatino" w:hAnsi="Palatino"/>
          <w:sz w:val="22"/>
          <w:szCs w:val="22"/>
        </w:rPr>
        <w:t xml:space="preserve">, and J. D. Spence, “Mediterranean diet score: Associations with metabolic products of the intestinal microbiome, carotid plaque burden, and renal function,” </w:t>
      </w:r>
      <w:r w:rsidRPr="00D90A00">
        <w:rPr>
          <w:rFonts w:ascii="Palatino" w:hAnsi="Palatino"/>
          <w:i/>
          <w:iCs/>
          <w:sz w:val="22"/>
          <w:szCs w:val="22"/>
        </w:rPr>
        <w:t>Nutrients</w:t>
      </w:r>
      <w:r w:rsidRPr="00D90A00">
        <w:rPr>
          <w:rFonts w:ascii="Palatino" w:hAnsi="Palatino"/>
          <w:sz w:val="22"/>
          <w:szCs w:val="22"/>
        </w:rPr>
        <w:t xml:space="preserve">, vol. 10, Jun 2018. </w:t>
      </w:r>
    </w:p>
    <w:p w14:paraId="500D4727" w14:textId="6E896231" w:rsidR="00D90A00" w:rsidRPr="00D90A00" w:rsidRDefault="00D90A00" w:rsidP="00D90A00">
      <w:pPr>
        <w:pStyle w:val="ListParagraph"/>
        <w:numPr>
          <w:ilvl w:val="0"/>
          <w:numId w:val="43"/>
        </w:numPr>
        <w:spacing w:after="40"/>
      </w:pPr>
      <w:r w:rsidRPr="00D90A00">
        <w:rPr>
          <w:rFonts w:ascii="Palatino" w:hAnsi="Palatino"/>
          <w:sz w:val="22"/>
          <w:szCs w:val="22"/>
        </w:rPr>
        <w:t xml:space="preserve">McMillan, S. </w:t>
      </w:r>
      <w:proofErr w:type="spellStart"/>
      <w:r w:rsidRPr="00D90A00">
        <w:rPr>
          <w:rFonts w:ascii="Palatino" w:hAnsi="Palatino"/>
          <w:sz w:val="22"/>
          <w:szCs w:val="22"/>
        </w:rPr>
        <w:t>Rulisa</w:t>
      </w:r>
      <w:proofErr w:type="spellEnd"/>
      <w:r w:rsidRPr="00D90A00">
        <w:rPr>
          <w:rFonts w:ascii="Palatino" w:hAnsi="Palatino"/>
          <w:sz w:val="22"/>
          <w:szCs w:val="22"/>
        </w:rPr>
        <w:t xml:space="preserve">, G. B. Gloor, J. M. </w:t>
      </w:r>
      <w:proofErr w:type="spellStart"/>
      <w:r w:rsidRPr="00D90A00">
        <w:rPr>
          <w:rFonts w:ascii="Palatino" w:hAnsi="Palatino"/>
          <w:sz w:val="22"/>
          <w:szCs w:val="22"/>
        </w:rPr>
        <w:t>Macklaim</w:t>
      </w:r>
      <w:proofErr w:type="spellEnd"/>
      <w:r w:rsidRPr="00D90A00">
        <w:rPr>
          <w:rFonts w:ascii="Palatino" w:hAnsi="Palatino"/>
          <w:sz w:val="22"/>
          <w:szCs w:val="22"/>
        </w:rPr>
        <w:t xml:space="preserve">, M. </w:t>
      </w:r>
      <w:proofErr w:type="spellStart"/>
      <w:r w:rsidRPr="00D90A00">
        <w:rPr>
          <w:rFonts w:ascii="Palatino" w:hAnsi="Palatino"/>
          <w:sz w:val="22"/>
          <w:szCs w:val="22"/>
        </w:rPr>
        <w:t>Sumarah</w:t>
      </w:r>
      <w:proofErr w:type="spellEnd"/>
      <w:r w:rsidRPr="00D90A00">
        <w:rPr>
          <w:rFonts w:ascii="Palatino" w:hAnsi="Palatino"/>
          <w:sz w:val="22"/>
          <w:szCs w:val="22"/>
        </w:rPr>
        <w:t xml:space="preserve">, and G. Reid, “Pilot assessment of probiotics for pregnant women in </w:t>
      </w:r>
      <w:proofErr w:type="spellStart"/>
      <w:r w:rsidRPr="00D90A00">
        <w:rPr>
          <w:rFonts w:ascii="Palatino" w:hAnsi="Palatino"/>
          <w:sz w:val="22"/>
          <w:szCs w:val="22"/>
        </w:rPr>
        <w:t>rwanda</w:t>
      </w:r>
      <w:proofErr w:type="spellEnd"/>
      <w:r w:rsidRPr="00D90A00">
        <w:rPr>
          <w:rFonts w:ascii="Palatino" w:hAnsi="Palatino"/>
          <w:sz w:val="22"/>
          <w:szCs w:val="22"/>
        </w:rPr>
        <w:t xml:space="preserve">,” </w:t>
      </w:r>
      <w:proofErr w:type="spellStart"/>
      <w:r w:rsidRPr="00D90A00">
        <w:rPr>
          <w:rFonts w:ascii="Palatino" w:hAnsi="Palatino"/>
          <w:i/>
          <w:iCs/>
          <w:sz w:val="22"/>
          <w:szCs w:val="22"/>
        </w:rPr>
        <w:t>PLoS</w:t>
      </w:r>
      <w:proofErr w:type="spellEnd"/>
      <w:r w:rsidRPr="00D90A00">
        <w:rPr>
          <w:rFonts w:ascii="Palatino" w:hAnsi="Palatino"/>
          <w:i/>
          <w:iCs/>
          <w:sz w:val="22"/>
          <w:szCs w:val="22"/>
        </w:rPr>
        <w:t xml:space="preserve"> One</w:t>
      </w:r>
      <w:r w:rsidRPr="00D90A00">
        <w:rPr>
          <w:rFonts w:ascii="Palatino" w:hAnsi="Palatino"/>
          <w:sz w:val="22"/>
          <w:szCs w:val="22"/>
        </w:rPr>
        <w:t xml:space="preserve">, vol. 13, no. 6, p. e0195081, 2018. </w:t>
      </w:r>
    </w:p>
    <w:p w14:paraId="286F86F9" w14:textId="06B33318" w:rsidR="00D90A00" w:rsidRPr="00D90A00" w:rsidRDefault="00D90A00" w:rsidP="00D90A00">
      <w:pPr>
        <w:pStyle w:val="ListParagraph"/>
        <w:numPr>
          <w:ilvl w:val="0"/>
          <w:numId w:val="43"/>
        </w:numPr>
        <w:spacing w:after="40"/>
      </w:pPr>
      <w:r w:rsidRPr="00D90A00">
        <w:rPr>
          <w:rFonts w:ascii="Palatino" w:hAnsi="Palatino"/>
          <w:sz w:val="22"/>
          <w:szCs w:val="22"/>
        </w:rPr>
        <w:t xml:space="preserve">J. M. </w:t>
      </w:r>
      <w:proofErr w:type="spellStart"/>
      <w:r w:rsidRPr="00D90A00">
        <w:rPr>
          <w:rFonts w:ascii="Palatino" w:hAnsi="Palatino"/>
          <w:sz w:val="22"/>
          <w:szCs w:val="22"/>
        </w:rPr>
        <w:t>Macklaim</w:t>
      </w:r>
      <w:proofErr w:type="spellEnd"/>
      <w:r w:rsidRPr="00D90A00">
        <w:rPr>
          <w:rFonts w:ascii="Palatino" w:hAnsi="Palatino"/>
          <w:sz w:val="22"/>
          <w:szCs w:val="22"/>
        </w:rPr>
        <w:t xml:space="preserve"> and G. B. Gloor, “From RNA-seq to biological inference: Using compositional data analysis in meta-transcriptomics,” </w:t>
      </w:r>
      <w:r w:rsidRPr="00D90A00">
        <w:rPr>
          <w:rFonts w:ascii="Palatino" w:hAnsi="Palatino"/>
          <w:i/>
          <w:iCs/>
          <w:sz w:val="22"/>
          <w:szCs w:val="22"/>
        </w:rPr>
        <w:t>Methods Mol Biol</w:t>
      </w:r>
      <w:r w:rsidRPr="00D90A00">
        <w:rPr>
          <w:rFonts w:ascii="Palatino" w:hAnsi="Palatino"/>
          <w:sz w:val="22"/>
          <w:szCs w:val="22"/>
        </w:rPr>
        <w:t xml:space="preserve">, vol. 1849, pp. 193–213, 2018. </w:t>
      </w:r>
    </w:p>
    <w:p w14:paraId="5999D632" w14:textId="4431B422" w:rsidR="00D90A00" w:rsidRPr="00D90A00" w:rsidRDefault="00D90A00" w:rsidP="00D90A00">
      <w:pPr>
        <w:pStyle w:val="ListParagraph"/>
        <w:numPr>
          <w:ilvl w:val="0"/>
          <w:numId w:val="43"/>
        </w:numPr>
        <w:spacing w:after="40"/>
      </w:pPr>
      <w:proofErr w:type="spellStart"/>
      <w:r w:rsidRPr="00D90A00">
        <w:rPr>
          <w:rFonts w:ascii="Palatino" w:hAnsi="Palatino"/>
          <w:sz w:val="22"/>
          <w:szCs w:val="22"/>
        </w:rPr>
        <w:t>Bogiatzi</w:t>
      </w:r>
      <w:proofErr w:type="spellEnd"/>
      <w:r w:rsidRPr="00D90A00">
        <w:rPr>
          <w:rFonts w:ascii="Palatino" w:hAnsi="Palatino"/>
          <w:sz w:val="22"/>
          <w:szCs w:val="22"/>
        </w:rPr>
        <w:t>, G. Gloor, E. Allen-</w:t>
      </w:r>
      <w:proofErr w:type="spellStart"/>
      <w:r w:rsidRPr="00D90A00">
        <w:rPr>
          <w:rFonts w:ascii="Palatino" w:hAnsi="Palatino"/>
          <w:sz w:val="22"/>
          <w:szCs w:val="22"/>
        </w:rPr>
        <w:t>Vercoe</w:t>
      </w:r>
      <w:proofErr w:type="spellEnd"/>
      <w:r w:rsidRPr="00D90A00">
        <w:rPr>
          <w:rFonts w:ascii="Palatino" w:hAnsi="Palatino"/>
          <w:sz w:val="22"/>
          <w:szCs w:val="22"/>
        </w:rPr>
        <w:t xml:space="preserve">, G. Reid, R. G. Wong, B. L. Urquhart, V. </w:t>
      </w:r>
      <w:proofErr w:type="spellStart"/>
      <w:r w:rsidRPr="00D90A00">
        <w:rPr>
          <w:rFonts w:ascii="Palatino" w:hAnsi="Palatino"/>
          <w:sz w:val="22"/>
          <w:szCs w:val="22"/>
        </w:rPr>
        <w:t>Dinculescu</w:t>
      </w:r>
      <w:proofErr w:type="spellEnd"/>
      <w:r w:rsidRPr="00D90A00">
        <w:rPr>
          <w:rFonts w:ascii="Palatino" w:hAnsi="Palatino"/>
          <w:sz w:val="22"/>
          <w:szCs w:val="22"/>
        </w:rPr>
        <w:t xml:space="preserve">, K. N. </w:t>
      </w:r>
      <w:proofErr w:type="spellStart"/>
      <w:r w:rsidRPr="00D90A00">
        <w:rPr>
          <w:rFonts w:ascii="Palatino" w:hAnsi="Palatino"/>
          <w:sz w:val="22"/>
          <w:szCs w:val="22"/>
        </w:rPr>
        <w:t>Ruetz</w:t>
      </w:r>
      <w:proofErr w:type="spellEnd"/>
      <w:r w:rsidRPr="00D90A00">
        <w:rPr>
          <w:rFonts w:ascii="Palatino" w:hAnsi="Palatino"/>
          <w:sz w:val="22"/>
          <w:szCs w:val="22"/>
        </w:rPr>
        <w:t xml:space="preserve">, T. J. </w:t>
      </w:r>
      <w:proofErr w:type="spellStart"/>
      <w:r w:rsidRPr="00D90A00">
        <w:rPr>
          <w:rFonts w:ascii="Palatino" w:hAnsi="Palatino"/>
          <w:sz w:val="22"/>
          <w:szCs w:val="22"/>
        </w:rPr>
        <w:t>Velenosi</w:t>
      </w:r>
      <w:proofErr w:type="spellEnd"/>
      <w:r w:rsidRPr="00D90A00">
        <w:rPr>
          <w:rFonts w:ascii="Palatino" w:hAnsi="Palatino"/>
          <w:sz w:val="22"/>
          <w:szCs w:val="22"/>
        </w:rPr>
        <w:t xml:space="preserve">, M. </w:t>
      </w:r>
      <w:proofErr w:type="spellStart"/>
      <w:r w:rsidRPr="00D90A00">
        <w:rPr>
          <w:rFonts w:ascii="Palatino" w:hAnsi="Palatino"/>
          <w:sz w:val="22"/>
          <w:szCs w:val="22"/>
        </w:rPr>
        <w:t>Pignanelli</w:t>
      </w:r>
      <w:proofErr w:type="spellEnd"/>
      <w:r w:rsidRPr="00D90A00">
        <w:rPr>
          <w:rFonts w:ascii="Palatino" w:hAnsi="Palatino"/>
          <w:sz w:val="22"/>
          <w:szCs w:val="22"/>
        </w:rPr>
        <w:t xml:space="preserve">, and J. D. Spence, “Metabolic products of the intestinal micro- biome and extremes of atherosclerosis,” </w:t>
      </w:r>
      <w:r w:rsidRPr="00D90A00">
        <w:rPr>
          <w:rFonts w:ascii="Palatino" w:hAnsi="Palatino"/>
          <w:i/>
          <w:iCs/>
          <w:sz w:val="22"/>
          <w:szCs w:val="22"/>
        </w:rPr>
        <w:t>Atherosclerosis</w:t>
      </w:r>
      <w:r w:rsidRPr="00D90A00">
        <w:rPr>
          <w:rFonts w:ascii="Palatino" w:hAnsi="Palatino"/>
          <w:sz w:val="22"/>
          <w:szCs w:val="22"/>
        </w:rPr>
        <w:t xml:space="preserve">, vol. 273, pp. 91–97, Jun 2018. </w:t>
      </w:r>
    </w:p>
    <w:p w14:paraId="29409734" w14:textId="77777777" w:rsidR="00C61F7A" w:rsidRDefault="00C61F7A" w:rsidP="00BF4433">
      <w:pPr>
        <w:pStyle w:val="DataField11pt-Single"/>
        <w:jc w:val="both"/>
        <w:rPr>
          <w:b/>
          <w:szCs w:val="22"/>
        </w:rPr>
      </w:pPr>
    </w:p>
    <w:p w14:paraId="7E43FE2F" w14:textId="4023E269" w:rsidR="00935168" w:rsidRDefault="00935168" w:rsidP="00BF4433">
      <w:pPr>
        <w:pStyle w:val="DataField11pt-Single"/>
        <w:jc w:val="both"/>
        <w:rPr>
          <w:b/>
          <w:szCs w:val="22"/>
        </w:rPr>
      </w:pPr>
      <w:r>
        <w:rPr>
          <w:b/>
          <w:szCs w:val="22"/>
        </w:rPr>
        <w:t>C.1 Invited presentations</w:t>
      </w:r>
    </w:p>
    <w:p w14:paraId="117B3EC6" w14:textId="77777777" w:rsidR="00935168" w:rsidRDefault="00935168" w:rsidP="00BF4433">
      <w:pPr>
        <w:pStyle w:val="DataField11pt-Single"/>
        <w:jc w:val="both"/>
        <w:rPr>
          <w:b/>
          <w:szCs w:val="22"/>
        </w:rPr>
      </w:pPr>
    </w:p>
    <w:p w14:paraId="22460198"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2020, Invited speaker, Genentech (Zoom presentation) </w:t>
      </w:r>
    </w:p>
    <w:p w14:paraId="72B7F823"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2020, Invited speaker and organiser, ISAPP Annual Meeting </w:t>
      </w:r>
    </w:p>
    <w:p w14:paraId="16B74157"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2019, Invited workshop speaker, Computational and Methodological Statistics 2019, London, England </w:t>
      </w:r>
    </w:p>
    <w:p w14:paraId="0F526C5E"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2019, Invited Participant/Speaker, Emerging Challenges in Microbiome Data Analysis, BIRS, Banff, Canada </w:t>
      </w:r>
    </w:p>
    <w:p w14:paraId="681409BE"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2019, Invited Speaker, Barcelona Microbiome Debates, Barcelona, Spain </w:t>
      </w:r>
    </w:p>
    <w:p w14:paraId="63C6B5AF"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2019, Invited Speaker, Department of Bioinformatics, North Carolina State University, Charlotte </w:t>
      </w:r>
    </w:p>
    <w:p w14:paraId="5934D77C" w14:textId="77777777" w:rsidR="00D90A00" w:rsidRPr="00D90A00" w:rsidRDefault="00D90A00" w:rsidP="00D90A00">
      <w:pPr>
        <w:pStyle w:val="ListParagraph"/>
        <w:numPr>
          <w:ilvl w:val="0"/>
          <w:numId w:val="42"/>
        </w:numPr>
        <w:spacing w:after="40"/>
      </w:pPr>
      <w:r w:rsidRPr="00D90A00">
        <w:rPr>
          <w:rFonts w:ascii="Palatino" w:hAnsi="Palatino"/>
          <w:sz w:val="22"/>
          <w:szCs w:val="22"/>
        </w:rPr>
        <w:lastRenderedPageBreak/>
        <w:t xml:space="preserve">2019, Invited Speaker, Department of Biology, North Carolina State University, </w:t>
      </w:r>
    </w:p>
    <w:p w14:paraId="5B3B92E0"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2019, Invited Speaker, Program in Bioinformatics, Duke University, </w:t>
      </w:r>
    </w:p>
    <w:p w14:paraId="177E8B9F"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2019, Invited Webinar Presenter, International Society for the Application of Probiotics and Probiotics (ISAPP) </w:t>
      </w:r>
    </w:p>
    <w:p w14:paraId="6CBF09FB"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2019, Invited Speaker, North American Microbiome Congress, Washington, USA 3 </w:t>
      </w:r>
    </w:p>
    <w:p w14:paraId="57F6AD01"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2018, Invited Webinar Presenter, International Life Sciences Institute (ILSI) </w:t>
      </w:r>
    </w:p>
    <w:p w14:paraId="2D57E1D2"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2018, Invited industrial speaker (KGK Biosciences), Supply Side West, Las Vegas, USA </w:t>
      </w:r>
    </w:p>
    <w:p w14:paraId="1F7F02B1"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2018, Invited speaker, Department of Physiology and Pharmacology, UWO </w:t>
      </w:r>
    </w:p>
    <w:p w14:paraId="66970C20"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2018, Invited speaker, Department of Epidemiology, SUNY Buffalo, USA </w:t>
      </w:r>
    </w:p>
    <w:p w14:paraId="4BB920EF"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2018, Invited speaker, EMBL-EBI, EBI Seminar Series, </w:t>
      </w:r>
      <w:proofErr w:type="spellStart"/>
      <w:r w:rsidRPr="00D90A00">
        <w:rPr>
          <w:rFonts w:ascii="Palatino" w:hAnsi="Palatino"/>
          <w:sz w:val="22"/>
          <w:szCs w:val="22"/>
        </w:rPr>
        <w:t>Hinxton</w:t>
      </w:r>
      <w:proofErr w:type="spellEnd"/>
      <w:r w:rsidRPr="00D90A00">
        <w:rPr>
          <w:rFonts w:ascii="Palatino" w:hAnsi="Palatino"/>
          <w:sz w:val="22"/>
          <w:szCs w:val="22"/>
        </w:rPr>
        <w:t xml:space="preserve">, Cambridgeshire, UK </w:t>
      </w:r>
    </w:p>
    <w:p w14:paraId="18314D97"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2018, Invited speaker, Gairdner Foundation Symposium on health through food and microbes, London, CA </w:t>
      </w:r>
    </w:p>
    <w:p w14:paraId="367A4863"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2018, Invited speaker Gynecological Research Symposium, The Society of Gynecologic Oncology of Canada, Toronto, CA </w:t>
      </w:r>
    </w:p>
    <w:p w14:paraId="0C37D017" w14:textId="77777777" w:rsidR="00D90A00" w:rsidRPr="00D90A00" w:rsidRDefault="00D90A00" w:rsidP="00D90A00">
      <w:pPr>
        <w:pStyle w:val="ListParagraph"/>
        <w:numPr>
          <w:ilvl w:val="0"/>
          <w:numId w:val="42"/>
        </w:numPr>
        <w:spacing w:after="40"/>
      </w:pPr>
      <w:r w:rsidRPr="00D90A00">
        <w:rPr>
          <w:rFonts w:ascii="Palatino" w:hAnsi="Palatino"/>
          <w:sz w:val="22"/>
          <w:szCs w:val="22"/>
        </w:rPr>
        <w:t xml:space="preserve">2018, Workshop organizer and presenter, Compositional Data analysis methods, NGS’18, Barcelona, Cat- </w:t>
      </w:r>
      <w:proofErr w:type="spellStart"/>
      <w:r w:rsidRPr="00D90A00">
        <w:rPr>
          <w:rFonts w:ascii="Palatino" w:hAnsi="Palatino"/>
          <w:sz w:val="22"/>
          <w:szCs w:val="22"/>
        </w:rPr>
        <w:t>alonia</w:t>
      </w:r>
      <w:proofErr w:type="spellEnd"/>
      <w:r w:rsidRPr="00D90A00">
        <w:rPr>
          <w:rFonts w:ascii="Palatino" w:hAnsi="Palatino"/>
          <w:sz w:val="22"/>
          <w:szCs w:val="22"/>
        </w:rPr>
        <w:t xml:space="preserve"> </w:t>
      </w:r>
    </w:p>
    <w:p w14:paraId="3BB19DA0" w14:textId="77777777" w:rsidR="00935168" w:rsidRDefault="00935168" w:rsidP="00BF4433">
      <w:pPr>
        <w:pStyle w:val="DataField11pt-Single"/>
        <w:jc w:val="both"/>
        <w:rPr>
          <w:b/>
          <w:szCs w:val="22"/>
        </w:rPr>
      </w:pPr>
    </w:p>
    <w:p w14:paraId="2DF56EDF" w14:textId="66C3BD59" w:rsidR="00C61F7A" w:rsidRDefault="00935168" w:rsidP="00BF4433">
      <w:pPr>
        <w:pStyle w:val="DataField11pt-Single"/>
        <w:jc w:val="both"/>
        <w:rPr>
          <w:b/>
          <w:szCs w:val="22"/>
        </w:rPr>
      </w:pPr>
      <w:r>
        <w:rPr>
          <w:b/>
          <w:szCs w:val="22"/>
        </w:rPr>
        <w:t>C.2</w:t>
      </w:r>
      <w:r w:rsidR="00C61F7A">
        <w:rPr>
          <w:b/>
          <w:szCs w:val="22"/>
        </w:rPr>
        <w:t xml:space="preserve"> Software</w:t>
      </w:r>
    </w:p>
    <w:p w14:paraId="398F4CA3" w14:textId="4C4879AD" w:rsidR="00C61F7A" w:rsidRDefault="00C61F7A" w:rsidP="00C61F7A">
      <w:pPr>
        <w:pStyle w:val="DataField11pt-Single"/>
        <w:jc w:val="both"/>
        <w:rPr>
          <w:szCs w:val="22"/>
        </w:rPr>
      </w:pPr>
      <w:r>
        <w:rPr>
          <w:szCs w:val="22"/>
        </w:rPr>
        <w:t>ALDEx2</w:t>
      </w:r>
      <w:r>
        <w:rPr>
          <w:szCs w:val="22"/>
        </w:rPr>
        <w:tab/>
      </w:r>
      <w:proofErr w:type="spellStart"/>
      <w:r w:rsidRPr="00C61F7A">
        <w:rPr>
          <w:szCs w:val="22"/>
        </w:rPr>
        <w:t>ALDEx</w:t>
      </w:r>
      <w:proofErr w:type="spellEnd"/>
      <w:r w:rsidRPr="00C61F7A">
        <w:rPr>
          <w:szCs w:val="22"/>
        </w:rPr>
        <w:t xml:space="preserve"> tool to </w:t>
      </w:r>
      <w:r>
        <w:rPr>
          <w:szCs w:val="22"/>
        </w:rPr>
        <w:t>determine pairwise differences between groups in</w:t>
      </w:r>
      <w:r w:rsidRPr="00C61F7A">
        <w:rPr>
          <w:szCs w:val="22"/>
        </w:rPr>
        <w:t xml:space="preserve"> compositional high-throughput s</w:t>
      </w:r>
      <w:r>
        <w:rPr>
          <w:szCs w:val="22"/>
        </w:rPr>
        <w:t>equence data. Available on Bioconductor since 2014</w:t>
      </w:r>
    </w:p>
    <w:p w14:paraId="3284D44D" w14:textId="0233D139" w:rsidR="00C61F7A" w:rsidRPr="00C61F7A" w:rsidRDefault="00C61F7A" w:rsidP="00BF4433">
      <w:pPr>
        <w:pStyle w:val="DataField11pt-Single"/>
        <w:jc w:val="both"/>
        <w:rPr>
          <w:szCs w:val="22"/>
        </w:rPr>
      </w:pPr>
      <w:proofErr w:type="spellStart"/>
      <w:r>
        <w:rPr>
          <w:szCs w:val="22"/>
        </w:rPr>
        <w:t>CoDaSeq</w:t>
      </w:r>
      <w:proofErr w:type="spellEnd"/>
      <w:r>
        <w:rPr>
          <w:szCs w:val="22"/>
        </w:rPr>
        <w:tab/>
        <w:t xml:space="preserve">Compositional data analysis tools for exploration of </w:t>
      </w:r>
      <w:r w:rsidRPr="00C61F7A">
        <w:rPr>
          <w:szCs w:val="22"/>
        </w:rPr>
        <w:t>compositional high-throughput s</w:t>
      </w:r>
      <w:r>
        <w:rPr>
          <w:szCs w:val="22"/>
        </w:rPr>
        <w:t>equence data. Available on github.com/</w:t>
      </w:r>
      <w:proofErr w:type="spellStart"/>
      <w:r>
        <w:rPr>
          <w:szCs w:val="22"/>
        </w:rPr>
        <w:t>ggloor</w:t>
      </w:r>
      <w:proofErr w:type="spellEnd"/>
      <w:r>
        <w:rPr>
          <w:szCs w:val="22"/>
        </w:rPr>
        <w:t>/</w:t>
      </w:r>
      <w:proofErr w:type="spellStart"/>
      <w:r>
        <w:rPr>
          <w:szCs w:val="22"/>
        </w:rPr>
        <w:t>CoDaSeq</w:t>
      </w:r>
      <w:proofErr w:type="spellEnd"/>
    </w:p>
    <w:p w14:paraId="3BAB37B4" w14:textId="77777777" w:rsidR="00C61F7A" w:rsidRDefault="00C61F7A" w:rsidP="00BF4433">
      <w:pPr>
        <w:pStyle w:val="DataField11pt-Single"/>
        <w:jc w:val="both"/>
        <w:rPr>
          <w:b/>
          <w:szCs w:val="22"/>
        </w:rPr>
      </w:pPr>
    </w:p>
    <w:p w14:paraId="126EA1DA" w14:textId="03614EB4" w:rsidR="00A302EA" w:rsidRPr="00A302EA" w:rsidRDefault="00A302EA" w:rsidP="00BF4433">
      <w:pPr>
        <w:pStyle w:val="DataField11pt-Single"/>
        <w:jc w:val="both"/>
        <w:rPr>
          <w:b/>
          <w:szCs w:val="22"/>
        </w:rPr>
      </w:pPr>
      <w:r w:rsidRPr="00A302EA">
        <w:rPr>
          <w:b/>
          <w:szCs w:val="22"/>
        </w:rPr>
        <w:t>D. Research support</w:t>
      </w:r>
    </w:p>
    <w:p w14:paraId="3943D84D" w14:textId="77777777" w:rsidR="00A302EA" w:rsidRPr="00A302EA" w:rsidRDefault="00A302EA" w:rsidP="00A302EA">
      <w:pPr>
        <w:pStyle w:val="DataField11pt-Single"/>
        <w:ind w:left="360"/>
        <w:jc w:val="both"/>
        <w:rPr>
          <w:b/>
          <w:szCs w:val="22"/>
          <w:u w:val="single"/>
        </w:rPr>
      </w:pPr>
      <w:r w:rsidRPr="00A302EA">
        <w:rPr>
          <w:b/>
          <w:szCs w:val="22"/>
          <w:u w:val="single"/>
        </w:rPr>
        <w:t>Ongoing research support</w:t>
      </w:r>
    </w:p>
    <w:p w14:paraId="4FE6C71F" w14:textId="77777777" w:rsidR="000555DC" w:rsidRDefault="000555DC" w:rsidP="00227461">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p>
    <w:p w14:paraId="346A25BA" w14:textId="77777777" w:rsidR="002A2E1A" w:rsidRPr="002A2E1A" w:rsidRDefault="002A2E1A" w:rsidP="002A2E1A">
      <w:pPr>
        <w:spacing w:after="40"/>
      </w:pPr>
      <w:r w:rsidRPr="002A2E1A">
        <w:rPr>
          <w:rFonts w:ascii="Palatino" w:hAnsi="Palatino"/>
          <w:b/>
          <w:bCs/>
          <w:sz w:val="22"/>
          <w:szCs w:val="22"/>
        </w:rPr>
        <w:t xml:space="preserve">NSERC Alliance Grant, 2022-2024: </w:t>
      </w:r>
      <w:r w:rsidRPr="002A2E1A">
        <w:rPr>
          <w:rFonts w:ascii="Palatino" w:hAnsi="Palatino"/>
          <w:sz w:val="22"/>
          <w:szCs w:val="22"/>
        </w:rPr>
        <w:t xml:space="preserve">Rapid scaling of viral spike protein production for SARS-CoV-2 test- </w:t>
      </w:r>
      <w:proofErr w:type="spellStart"/>
      <w:r w:rsidRPr="002A2E1A">
        <w:rPr>
          <w:rFonts w:ascii="Palatino" w:hAnsi="Palatino"/>
          <w:sz w:val="22"/>
          <w:szCs w:val="22"/>
        </w:rPr>
        <w:t>ing</w:t>
      </w:r>
      <w:proofErr w:type="spellEnd"/>
      <w:r w:rsidRPr="002A2E1A">
        <w:rPr>
          <w:rFonts w:ascii="Palatino" w:hAnsi="Palatino"/>
          <w:sz w:val="22"/>
          <w:szCs w:val="22"/>
        </w:rPr>
        <w:t xml:space="preserve"> using </w:t>
      </w:r>
      <w:proofErr w:type="spellStart"/>
      <w:r w:rsidRPr="002A2E1A">
        <w:rPr>
          <w:rFonts w:ascii="Palatino" w:hAnsi="Palatino"/>
          <w:i/>
          <w:iCs/>
          <w:sz w:val="22"/>
          <w:szCs w:val="22"/>
        </w:rPr>
        <w:t>Phaeodactylum</w:t>
      </w:r>
      <w:proofErr w:type="spellEnd"/>
      <w:r w:rsidRPr="002A2E1A">
        <w:rPr>
          <w:rFonts w:ascii="Palatino" w:hAnsi="Palatino"/>
          <w:i/>
          <w:iCs/>
          <w:sz w:val="22"/>
          <w:szCs w:val="22"/>
        </w:rPr>
        <w:t xml:space="preserve"> </w:t>
      </w:r>
      <w:proofErr w:type="spellStart"/>
      <w:r w:rsidRPr="002A2E1A">
        <w:rPr>
          <w:rFonts w:ascii="Palatino" w:hAnsi="Palatino"/>
          <w:i/>
          <w:iCs/>
          <w:sz w:val="22"/>
          <w:szCs w:val="22"/>
        </w:rPr>
        <w:t>tricornutum</w:t>
      </w:r>
      <w:proofErr w:type="spellEnd"/>
      <w:r w:rsidRPr="002A2E1A">
        <w:rPr>
          <w:rFonts w:ascii="Palatino" w:hAnsi="Palatino"/>
          <w:i/>
          <w:iCs/>
          <w:sz w:val="22"/>
          <w:szCs w:val="22"/>
        </w:rPr>
        <w:t xml:space="preserve"> </w:t>
      </w:r>
    </w:p>
    <w:p w14:paraId="67362E4E" w14:textId="77777777" w:rsidR="002A2E1A" w:rsidRPr="002A2E1A" w:rsidRDefault="002A2E1A" w:rsidP="002A2E1A">
      <w:pPr>
        <w:spacing w:after="40"/>
      </w:pPr>
      <w:r w:rsidRPr="002A2E1A">
        <w:rPr>
          <w:rFonts w:ascii="Palatino" w:hAnsi="Palatino"/>
          <w:i/>
          <w:iCs/>
          <w:sz w:val="22"/>
          <w:szCs w:val="22"/>
        </w:rPr>
        <w:t>PI: Edgell DR</w:t>
      </w:r>
      <w:r w:rsidRPr="002A2E1A">
        <w:rPr>
          <w:rFonts w:ascii="Palatino" w:hAnsi="Palatino"/>
          <w:sz w:val="22"/>
          <w:szCs w:val="22"/>
        </w:rPr>
        <w:t xml:space="preserve">, Co-PI Gloor GB, </w:t>
      </w:r>
      <w:proofErr w:type="spellStart"/>
      <w:r w:rsidRPr="002A2E1A">
        <w:rPr>
          <w:rFonts w:ascii="Palatino" w:hAnsi="Palatino"/>
          <w:sz w:val="22"/>
          <w:szCs w:val="22"/>
        </w:rPr>
        <w:t>Karas</w:t>
      </w:r>
      <w:proofErr w:type="spellEnd"/>
      <w:r w:rsidRPr="002A2E1A">
        <w:rPr>
          <w:rFonts w:ascii="Palatino" w:hAnsi="Palatino"/>
          <w:sz w:val="22"/>
          <w:szCs w:val="22"/>
        </w:rPr>
        <w:t xml:space="preserve"> B. Suncor total: $800000 </w:t>
      </w:r>
    </w:p>
    <w:p w14:paraId="311FFF60" w14:textId="77777777" w:rsidR="002A2E1A" w:rsidRDefault="002A2E1A" w:rsidP="002A2E1A">
      <w:pPr>
        <w:spacing w:after="40"/>
        <w:rPr>
          <w:rFonts w:ascii="Palatino" w:hAnsi="Palatino"/>
          <w:b/>
          <w:bCs/>
          <w:sz w:val="22"/>
          <w:szCs w:val="22"/>
        </w:rPr>
      </w:pPr>
    </w:p>
    <w:p w14:paraId="249B4918" w14:textId="3490C69B" w:rsidR="002A2E1A" w:rsidRPr="002A2E1A" w:rsidRDefault="002A2E1A" w:rsidP="002A2E1A">
      <w:pPr>
        <w:spacing w:after="40"/>
      </w:pPr>
      <w:r w:rsidRPr="002A2E1A">
        <w:rPr>
          <w:rFonts w:ascii="Palatino" w:hAnsi="Palatino"/>
          <w:b/>
          <w:bCs/>
          <w:sz w:val="22"/>
          <w:szCs w:val="22"/>
        </w:rPr>
        <w:t xml:space="preserve">Mitacs Accelerate, 2020: </w:t>
      </w:r>
      <w:r w:rsidRPr="002A2E1A">
        <w:rPr>
          <w:rFonts w:ascii="Palatino" w:hAnsi="Palatino"/>
          <w:sz w:val="22"/>
          <w:szCs w:val="22"/>
        </w:rPr>
        <w:t xml:space="preserve">Rapid scaling of viral spike protein production for SARS-CoV-2 testing using </w:t>
      </w:r>
      <w:proofErr w:type="spellStart"/>
      <w:r w:rsidRPr="002A2E1A">
        <w:rPr>
          <w:rFonts w:ascii="Palatino" w:hAnsi="Palatino"/>
          <w:i/>
          <w:iCs/>
          <w:sz w:val="22"/>
          <w:szCs w:val="22"/>
        </w:rPr>
        <w:t>Phaeodactylum</w:t>
      </w:r>
      <w:proofErr w:type="spellEnd"/>
      <w:r w:rsidRPr="002A2E1A">
        <w:rPr>
          <w:rFonts w:ascii="Palatino" w:hAnsi="Palatino"/>
          <w:i/>
          <w:iCs/>
          <w:sz w:val="22"/>
          <w:szCs w:val="22"/>
        </w:rPr>
        <w:t xml:space="preserve"> </w:t>
      </w:r>
      <w:proofErr w:type="spellStart"/>
      <w:r w:rsidRPr="002A2E1A">
        <w:rPr>
          <w:rFonts w:ascii="Palatino" w:hAnsi="Palatino"/>
          <w:i/>
          <w:iCs/>
          <w:sz w:val="22"/>
          <w:szCs w:val="22"/>
        </w:rPr>
        <w:t>tricornutum</w:t>
      </w:r>
      <w:proofErr w:type="spellEnd"/>
      <w:r w:rsidRPr="002A2E1A">
        <w:rPr>
          <w:rFonts w:ascii="Palatino" w:hAnsi="Palatino"/>
          <w:i/>
          <w:iCs/>
          <w:sz w:val="22"/>
          <w:szCs w:val="22"/>
        </w:rPr>
        <w:t xml:space="preserve"> </w:t>
      </w:r>
    </w:p>
    <w:p w14:paraId="744FE0A0" w14:textId="77777777" w:rsidR="002A2E1A" w:rsidRPr="002A2E1A" w:rsidRDefault="002A2E1A" w:rsidP="002A2E1A">
      <w:pPr>
        <w:spacing w:after="40"/>
      </w:pPr>
      <w:r w:rsidRPr="002A2E1A">
        <w:rPr>
          <w:rFonts w:ascii="Palatino" w:hAnsi="Palatino"/>
          <w:i/>
          <w:iCs/>
          <w:sz w:val="22"/>
          <w:szCs w:val="22"/>
        </w:rPr>
        <w:t>PI: Gloor GB</w:t>
      </w:r>
      <w:r w:rsidRPr="002A2E1A">
        <w:rPr>
          <w:rFonts w:ascii="Palatino" w:hAnsi="Palatino"/>
          <w:sz w:val="22"/>
          <w:szCs w:val="22"/>
        </w:rPr>
        <w:t xml:space="preserve">, Co-PI Edgell DR, Partner organization: Suncor total: $40000 </w:t>
      </w:r>
    </w:p>
    <w:p w14:paraId="71B8FCC1" w14:textId="77777777" w:rsidR="002A2E1A" w:rsidRDefault="002A2E1A" w:rsidP="002A2E1A">
      <w:pPr>
        <w:spacing w:after="40"/>
        <w:rPr>
          <w:rFonts w:ascii="Palatino" w:hAnsi="Palatino"/>
          <w:b/>
          <w:bCs/>
          <w:sz w:val="22"/>
          <w:szCs w:val="22"/>
        </w:rPr>
      </w:pPr>
    </w:p>
    <w:p w14:paraId="37696232" w14:textId="3394E243" w:rsidR="002A2E1A" w:rsidRPr="002A2E1A" w:rsidRDefault="002A2E1A" w:rsidP="002A2E1A">
      <w:pPr>
        <w:spacing w:after="40"/>
      </w:pPr>
      <w:r w:rsidRPr="002A2E1A">
        <w:rPr>
          <w:rFonts w:ascii="Palatino" w:hAnsi="Palatino"/>
          <w:b/>
          <w:bCs/>
          <w:sz w:val="22"/>
          <w:szCs w:val="22"/>
        </w:rPr>
        <w:t xml:space="preserve">NSERC Alliance Grant 2020-2024: </w:t>
      </w:r>
      <w:r w:rsidRPr="002A2E1A">
        <w:rPr>
          <w:rFonts w:ascii="Palatino" w:hAnsi="Palatino"/>
          <w:sz w:val="22"/>
          <w:szCs w:val="22"/>
        </w:rPr>
        <w:t xml:space="preserve">Development and validation of rapid point of care food safety assays for Salmonella and Campylobacter - Rapid detection facilitated by CRISPR </w:t>
      </w:r>
    </w:p>
    <w:p w14:paraId="60E8EC9B" w14:textId="77777777" w:rsidR="002A2E1A" w:rsidRPr="002A2E1A" w:rsidRDefault="002A2E1A" w:rsidP="002A2E1A">
      <w:pPr>
        <w:spacing w:after="40"/>
      </w:pPr>
      <w:proofErr w:type="gramStart"/>
      <w:r w:rsidRPr="002A2E1A">
        <w:rPr>
          <w:rFonts w:ascii="Palatino" w:hAnsi="Palatino"/>
          <w:i/>
          <w:iCs/>
          <w:sz w:val="22"/>
          <w:szCs w:val="22"/>
        </w:rPr>
        <w:t>PI;</w:t>
      </w:r>
      <w:proofErr w:type="gramEnd"/>
      <w:r w:rsidRPr="002A2E1A">
        <w:rPr>
          <w:rFonts w:ascii="Palatino" w:hAnsi="Palatino"/>
          <w:i/>
          <w:iCs/>
          <w:sz w:val="22"/>
          <w:szCs w:val="22"/>
        </w:rPr>
        <w:t xml:space="preserve"> </w:t>
      </w:r>
      <w:proofErr w:type="spellStart"/>
      <w:r w:rsidRPr="002A2E1A">
        <w:rPr>
          <w:rFonts w:ascii="Palatino" w:hAnsi="Palatino"/>
          <w:i/>
          <w:iCs/>
          <w:sz w:val="22"/>
          <w:szCs w:val="22"/>
        </w:rPr>
        <w:t>Rieder</w:t>
      </w:r>
      <w:proofErr w:type="spellEnd"/>
      <w:r w:rsidRPr="002A2E1A">
        <w:rPr>
          <w:rFonts w:ascii="Palatino" w:hAnsi="Palatino"/>
          <w:i/>
          <w:iCs/>
          <w:sz w:val="22"/>
          <w:szCs w:val="22"/>
        </w:rPr>
        <w:t>, M</w:t>
      </w:r>
      <w:r w:rsidRPr="002A2E1A">
        <w:rPr>
          <w:rFonts w:ascii="Palatino" w:hAnsi="Palatino"/>
          <w:sz w:val="22"/>
          <w:szCs w:val="22"/>
        </w:rPr>
        <w:t xml:space="preserve">, Co-applicants Gloor, GB, Edgell, DR and </w:t>
      </w:r>
      <w:proofErr w:type="spellStart"/>
      <w:r w:rsidRPr="002A2E1A">
        <w:rPr>
          <w:rFonts w:ascii="Palatino" w:hAnsi="Palatino"/>
          <w:sz w:val="22"/>
          <w:szCs w:val="22"/>
        </w:rPr>
        <w:t>Karas</w:t>
      </w:r>
      <w:proofErr w:type="spellEnd"/>
      <w:r w:rsidRPr="002A2E1A">
        <w:rPr>
          <w:rFonts w:ascii="Palatino" w:hAnsi="Palatino"/>
          <w:sz w:val="22"/>
          <w:szCs w:val="22"/>
        </w:rPr>
        <w:t xml:space="preserve">, B. Industrial Partner is International Point of Care Ray, D and </w:t>
      </w:r>
      <w:proofErr w:type="spellStart"/>
      <w:r w:rsidRPr="002A2E1A">
        <w:rPr>
          <w:rFonts w:ascii="Palatino" w:hAnsi="Palatino"/>
          <w:sz w:val="22"/>
          <w:szCs w:val="22"/>
        </w:rPr>
        <w:t>Styba</w:t>
      </w:r>
      <w:proofErr w:type="spellEnd"/>
      <w:r w:rsidRPr="002A2E1A">
        <w:rPr>
          <w:rFonts w:ascii="Palatino" w:hAnsi="Palatino"/>
          <w:sz w:val="22"/>
          <w:szCs w:val="22"/>
        </w:rPr>
        <w:t xml:space="preserve">, G. </w:t>
      </w:r>
    </w:p>
    <w:p w14:paraId="62C9EB58" w14:textId="77777777" w:rsidR="002A2E1A" w:rsidRPr="002A2E1A" w:rsidRDefault="002A2E1A" w:rsidP="002A2E1A">
      <w:pPr>
        <w:spacing w:after="40"/>
      </w:pPr>
      <w:r w:rsidRPr="002A2E1A">
        <w:rPr>
          <w:rFonts w:ascii="Palatino" w:hAnsi="Palatino"/>
          <w:sz w:val="22"/>
          <w:szCs w:val="22"/>
        </w:rPr>
        <w:t xml:space="preserve">total: $730999 + 1:1 matching from IPOC </w:t>
      </w:r>
    </w:p>
    <w:p w14:paraId="0ED43926" w14:textId="77777777" w:rsidR="002A2E1A" w:rsidRDefault="002A2E1A" w:rsidP="002A2E1A">
      <w:pPr>
        <w:spacing w:after="40"/>
        <w:rPr>
          <w:rFonts w:ascii="Palatino" w:hAnsi="Palatino"/>
          <w:b/>
          <w:bCs/>
          <w:sz w:val="22"/>
          <w:szCs w:val="22"/>
        </w:rPr>
      </w:pPr>
    </w:p>
    <w:p w14:paraId="77568487" w14:textId="60C55ED7" w:rsidR="002A2E1A" w:rsidRPr="002A2E1A" w:rsidRDefault="002A2E1A" w:rsidP="002A2E1A">
      <w:pPr>
        <w:spacing w:after="40"/>
      </w:pPr>
      <w:r w:rsidRPr="002A2E1A">
        <w:rPr>
          <w:rFonts w:ascii="Palatino" w:hAnsi="Palatino"/>
          <w:b/>
          <w:bCs/>
          <w:sz w:val="22"/>
          <w:szCs w:val="22"/>
        </w:rPr>
        <w:t xml:space="preserve">Weston Family Microbiome Initiative 2020-2022: </w:t>
      </w:r>
      <w:r w:rsidRPr="002A2E1A">
        <w:rPr>
          <w:rFonts w:ascii="Palatino" w:hAnsi="Palatino"/>
          <w:sz w:val="22"/>
          <w:szCs w:val="22"/>
        </w:rPr>
        <w:t xml:space="preserve">A Jekyll and Hyde role for gut bacterial proteases in the regulation of pain </w:t>
      </w:r>
    </w:p>
    <w:p w14:paraId="4D272F05" w14:textId="77777777" w:rsidR="002A2E1A" w:rsidRPr="002A2E1A" w:rsidRDefault="002A2E1A" w:rsidP="002A2E1A">
      <w:pPr>
        <w:spacing w:after="40"/>
      </w:pPr>
      <w:r w:rsidRPr="002A2E1A">
        <w:rPr>
          <w:rFonts w:ascii="Palatino" w:hAnsi="Palatino"/>
          <w:i/>
          <w:iCs/>
          <w:sz w:val="22"/>
          <w:szCs w:val="22"/>
        </w:rPr>
        <w:t>Co-PI: Lomax, AEG, Reed, DE</w:t>
      </w:r>
      <w:r w:rsidRPr="002A2E1A">
        <w:rPr>
          <w:rFonts w:ascii="Palatino" w:hAnsi="Palatino"/>
          <w:sz w:val="22"/>
          <w:szCs w:val="22"/>
        </w:rPr>
        <w:t xml:space="preserve">, Co-applicants Gloor, GB, </w:t>
      </w:r>
      <w:proofErr w:type="spellStart"/>
      <w:r w:rsidRPr="002A2E1A">
        <w:rPr>
          <w:rFonts w:ascii="Palatino" w:hAnsi="Palatino"/>
          <w:sz w:val="22"/>
          <w:szCs w:val="22"/>
        </w:rPr>
        <w:t>Vanner</w:t>
      </w:r>
      <w:proofErr w:type="spellEnd"/>
      <w:r w:rsidRPr="002A2E1A">
        <w:rPr>
          <w:rFonts w:ascii="Palatino" w:hAnsi="Palatino"/>
          <w:sz w:val="22"/>
          <w:szCs w:val="22"/>
        </w:rPr>
        <w:t>, SJ, Allen-</w:t>
      </w:r>
      <w:proofErr w:type="spellStart"/>
      <w:r w:rsidRPr="002A2E1A">
        <w:rPr>
          <w:rFonts w:ascii="Palatino" w:hAnsi="Palatino"/>
          <w:sz w:val="22"/>
          <w:szCs w:val="22"/>
        </w:rPr>
        <w:t>Vercoe</w:t>
      </w:r>
      <w:proofErr w:type="spellEnd"/>
      <w:r w:rsidRPr="002A2E1A">
        <w:rPr>
          <w:rFonts w:ascii="Palatino" w:hAnsi="Palatino"/>
          <w:sz w:val="22"/>
          <w:szCs w:val="22"/>
        </w:rPr>
        <w:t xml:space="preserve"> E, Reed, DE, Ross, AC, </w:t>
      </w:r>
      <w:proofErr w:type="spellStart"/>
      <w:r w:rsidRPr="002A2E1A">
        <w:rPr>
          <w:rFonts w:ascii="Palatino" w:hAnsi="Palatino"/>
          <w:sz w:val="22"/>
          <w:szCs w:val="22"/>
        </w:rPr>
        <w:t>Sheth</w:t>
      </w:r>
      <w:proofErr w:type="spellEnd"/>
      <w:r w:rsidRPr="002A2E1A">
        <w:rPr>
          <w:rFonts w:ascii="Palatino" w:hAnsi="Palatino"/>
          <w:sz w:val="22"/>
          <w:szCs w:val="22"/>
        </w:rPr>
        <w:t xml:space="preserve">, P, </w:t>
      </w:r>
      <w:proofErr w:type="spellStart"/>
      <w:r w:rsidRPr="002A2E1A">
        <w:rPr>
          <w:rFonts w:ascii="Palatino" w:hAnsi="Palatino"/>
          <w:sz w:val="22"/>
          <w:szCs w:val="22"/>
        </w:rPr>
        <w:t>Bercik</w:t>
      </w:r>
      <w:proofErr w:type="spellEnd"/>
      <w:r w:rsidRPr="002A2E1A">
        <w:rPr>
          <w:rFonts w:ascii="Palatino" w:hAnsi="Palatino"/>
          <w:sz w:val="22"/>
          <w:szCs w:val="22"/>
        </w:rPr>
        <w:t xml:space="preserve">, P, De Palma, G </w:t>
      </w:r>
    </w:p>
    <w:p w14:paraId="7343B5F2" w14:textId="77777777" w:rsidR="002A2E1A" w:rsidRPr="002A2E1A" w:rsidRDefault="002A2E1A" w:rsidP="002A2E1A">
      <w:pPr>
        <w:spacing w:after="40"/>
      </w:pPr>
      <w:r w:rsidRPr="002A2E1A">
        <w:rPr>
          <w:rFonts w:ascii="Palatino" w:hAnsi="Palatino"/>
          <w:sz w:val="22"/>
          <w:szCs w:val="22"/>
        </w:rPr>
        <w:t xml:space="preserve">Applied research into the microbial causes of pain in IBD patients. Gloor role is metagenomic and meta- transcriptomic profiling of patient microbiome samples. </w:t>
      </w:r>
    </w:p>
    <w:p w14:paraId="07A7EAAC" w14:textId="77777777" w:rsidR="002A2E1A" w:rsidRPr="002A2E1A" w:rsidRDefault="002A2E1A" w:rsidP="002A2E1A">
      <w:pPr>
        <w:spacing w:after="40"/>
      </w:pPr>
      <w:r w:rsidRPr="002A2E1A">
        <w:rPr>
          <w:rFonts w:ascii="Palatino" w:hAnsi="Palatino"/>
          <w:sz w:val="22"/>
          <w:szCs w:val="22"/>
        </w:rPr>
        <w:t xml:space="preserve">total: $3213000 </w:t>
      </w:r>
    </w:p>
    <w:p w14:paraId="03B6C223" w14:textId="77777777" w:rsidR="002A2E1A" w:rsidRDefault="002A2E1A" w:rsidP="002A2E1A">
      <w:pPr>
        <w:spacing w:after="40"/>
        <w:rPr>
          <w:rFonts w:ascii="Palatino" w:hAnsi="Palatino"/>
          <w:b/>
          <w:bCs/>
          <w:sz w:val="22"/>
          <w:szCs w:val="22"/>
        </w:rPr>
      </w:pPr>
    </w:p>
    <w:p w14:paraId="4FE26F5F" w14:textId="7EA10E83" w:rsidR="002A2E1A" w:rsidRPr="002A2E1A" w:rsidRDefault="002A2E1A" w:rsidP="002A2E1A">
      <w:pPr>
        <w:spacing w:after="40"/>
      </w:pPr>
      <w:r w:rsidRPr="002A2E1A">
        <w:rPr>
          <w:rFonts w:ascii="Palatino" w:hAnsi="Palatino"/>
          <w:b/>
          <w:bCs/>
          <w:sz w:val="22"/>
          <w:szCs w:val="22"/>
        </w:rPr>
        <w:t xml:space="preserve">CIHR Project Grant 2019-2022: </w:t>
      </w:r>
      <w:r w:rsidRPr="002A2E1A">
        <w:rPr>
          <w:rFonts w:ascii="Palatino" w:hAnsi="Palatino"/>
          <w:sz w:val="22"/>
          <w:szCs w:val="22"/>
        </w:rPr>
        <w:t xml:space="preserve">Metabolic and Metagenomic effects of repopulation of the intestinal mi- </w:t>
      </w:r>
      <w:proofErr w:type="spellStart"/>
      <w:r w:rsidRPr="002A2E1A">
        <w:rPr>
          <w:rFonts w:ascii="Palatino" w:hAnsi="Palatino"/>
          <w:sz w:val="22"/>
          <w:szCs w:val="22"/>
        </w:rPr>
        <w:t>crobiome</w:t>
      </w:r>
      <w:proofErr w:type="spellEnd"/>
      <w:r w:rsidRPr="002A2E1A">
        <w:rPr>
          <w:rFonts w:ascii="Palatino" w:hAnsi="Palatino"/>
          <w:sz w:val="22"/>
          <w:szCs w:val="22"/>
        </w:rPr>
        <w:t xml:space="preserve"> in patients with severe unexplained atherosclerosis (extended due to covid-19) </w:t>
      </w:r>
    </w:p>
    <w:p w14:paraId="3CD773C4" w14:textId="77777777" w:rsidR="002A2E1A" w:rsidRPr="002A2E1A" w:rsidRDefault="002A2E1A" w:rsidP="002A2E1A">
      <w:pPr>
        <w:spacing w:after="40"/>
      </w:pPr>
      <w:r w:rsidRPr="002A2E1A">
        <w:rPr>
          <w:rFonts w:ascii="Palatino" w:hAnsi="Palatino"/>
          <w:i/>
          <w:iCs/>
          <w:sz w:val="22"/>
          <w:szCs w:val="22"/>
        </w:rPr>
        <w:t>PI: Spence, DJ</w:t>
      </w:r>
      <w:r w:rsidRPr="002A2E1A">
        <w:rPr>
          <w:rFonts w:ascii="Palatino" w:hAnsi="Palatino"/>
          <w:sz w:val="22"/>
          <w:szCs w:val="22"/>
        </w:rPr>
        <w:t xml:space="preserve">, Co-applicants </w:t>
      </w:r>
      <w:proofErr w:type="spellStart"/>
      <w:r w:rsidRPr="002A2E1A">
        <w:rPr>
          <w:rFonts w:ascii="Palatino" w:hAnsi="Palatino"/>
          <w:sz w:val="22"/>
          <w:szCs w:val="22"/>
        </w:rPr>
        <w:t>Azarpazhooh</w:t>
      </w:r>
      <w:proofErr w:type="spellEnd"/>
      <w:r w:rsidRPr="002A2E1A">
        <w:rPr>
          <w:rFonts w:ascii="Palatino" w:hAnsi="Palatino"/>
          <w:sz w:val="22"/>
          <w:szCs w:val="22"/>
        </w:rPr>
        <w:t xml:space="preserve">, Mahmoud Reza; Burton, Jeremy P; Gloor, Gregory B; Silver- man, Michael; Urquhart, Bradley L </w:t>
      </w:r>
    </w:p>
    <w:p w14:paraId="30810164" w14:textId="77777777" w:rsidR="002A2E1A" w:rsidRPr="002A2E1A" w:rsidRDefault="002A2E1A" w:rsidP="002A2E1A">
      <w:pPr>
        <w:spacing w:after="40"/>
      </w:pPr>
      <w:r w:rsidRPr="002A2E1A">
        <w:rPr>
          <w:rFonts w:ascii="Palatino" w:hAnsi="Palatino"/>
          <w:sz w:val="22"/>
          <w:szCs w:val="22"/>
        </w:rPr>
        <w:lastRenderedPageBreak/>
        <w:t xml:space="preserve">Clinical trial to determine the effect of stool transplant on progression of atherosclerosis in patients pre- disposed coronary artery disease. Gloor role is metagenomic and </w:t>
      </w:r>
      <w:proofErr w:type="spellStart"/>
      <w:r w:rsidRPr="002A2E1A">
        <w:rPr>
          <w:rFonts w:ascii="Palatino" w:hAnsi="Palatino"/>
          <w:sz w:val="22"/>
          <w:szCs w:val="22"/>
        </w:rPr>
        <w:t>metatranscriptomic</w:t>
      </w:r>
      <w:proofErr w:type="spellEnd"/>
      <w:r w:rsidRPr="002A2E1A">
        <w:rPr>
          <w:rFonts w:ascii="Palatino" w:hAnsi="Palatino"/>
          <w:sz w:val="22"/>
          <w:szCs w:val="22"/>
        </w:rPr>
        <w:t xml:space="preserve"> profiling of patient microbiome samples. </w:t>
      </w:r>
    </w:p>
    <w:p w14:paraId="601F3557" w14:textId="77777777" w:rsidR="002A2E1A" w:rsidRPr="002A2E1A" w:rsidRDefault="002A2E1A" w:rsidP="002A2E1A">
      <w:pPr>
        <w:spacing w:after="40"/>
      </w:pPr>
      <w:r w:rsidRPr="002A2E1A">
        <w:rPr>
          <w:rFonts w:ascii="Palatino" w:hAnsi="Palatino"/>
          <w:sz w:val="22"/>
          <w:szCs w:val="22"/>
        </w:rPr>
        <w:t xml:space="preserve">total: $200000 </w:t>
      </w:r>
    </w:p>
    <w:p w14:paraId="2F68AF0B" w14:textId="77777777" w:rsidR="002A2E1A" w:rsidRDefault="002A2E1A" w:rsidP="002A2E1A">
      <w:pPr>
        <w:spacing w:after="40"/>
        <w:rPr>
          <w:rFonts w:ascii="Palatino" w:hAnsi="Palatino"/>
          <w:b/>
          <w:bCs/>
          <w:sz w:val="22"/>
          <w:szCs w:val="22"/>
        </w:rPr>
      </w:pPr>
    </w:p>
    <w:p w14:paraId="284E268B" w14:textId="154266A6" w:rsidR="002A2E1A" w:rsidRPr="002A2E1A" w:rsidRDefault="002A2E1A" w:rsidP="002A2E1A">
      <w:pPr>
        <w:spacing w:after="40"/>
      </w:pPr>
      <w:r w:rsidRPr="002A2E1A">
        <w:rPr>
          <w:rFonts w:ascii="Palatino" w:hAnsi="Palatino"/>
          <w:b/>
          <w:bCs/>
          <w:sz w:val="22"/>
          <w:szCs w:val="22"/>
        </w:rPr>
        <w:t xml:space="preserve">CIHR Project Grant, 2019-2024: </w:t>
      </w:r>
      <w:r w:rsidRPr="002A2E1A">
        <w:rPr>
          <w:rFonts w:ascii="Palatino" w:hAnsi="Palatino"/>
          <w:sz w:val="22"/>
          <w:szCs w:val="22"/>
        </w:rPr>
        <w:t xml:space="preserve">Modulation of pain in IBD by microbial proteases </w:t>
      </w:r>
    </w:p>
    <w:p w14:paraId="59297777" w14:textId="77777777" w:rsidR="002A2E1A" w:rsidRPr="002A2E1A" w:rsidRDefault="002A2E1A" w:rsidP="002A2E1A">
      <w:pPr>
        <w:spacing w:after="40"/>
      </w:pPr>
      <w:r w:rsidRPr="002A2E1A">
        <w:rPr>
          <w:rFonts w:ascii="Palatino" w:hAnsi="Palatino"/>
          <w:i/>
          <w:iCs/>
          <w:sz w:val="22"/>
          <w:szCs w:val="22"/>
        </w:rPr>
        <w:t>PI: Lomax, AEG</w:t>
      </w:r>
      <w:r w:rsidRPr="002A2E1A">
        <w:rPr>
          <w:rFonts w:ascii="Palatino" w:hAnsi="Palatino"/>
          <w:sz w:val="22"/>
          <w:szCs w:val="22"/>
        </w:rPr>
        <w:t>, Co-PI Gloor, GB, Allen-</w:t>
      </w:r>
      <w:proofErr w:type="spellStart"/>
      <w:r w:rsidRPr="002A2E1A">
        <w:rPr>
          <w:rFonts w:ascii="Palatino" w:hAnsi="Palatino"/>
          <w:sz w:val="22"/>
          <w:szCs w:val="22"/>
        </w:rPr>
        <w:t>Vercoe</w:t>
      </w:r>
      <w:proofErr w:type="spellEnd"/>
      <w:r w:rsidRPr="002A2E1A">
        <w:rPr>
          <w:rFonts w:ascii="Palatino" w:hAnsi="Palatino"/>
          <w:sz w:val="22"/>
          <w:szCs w:val="22"/>
        </w:rPr>
        <w:t xml:space="preserve"> E, Reed, DE, Ross, AC, </w:t>
      </w:r>
      <w:proofErr w:type="spellStart"/>
      <w:r w:rsidRPr="002A2E1A">
        <w:rPr>
          <w:rFonts w:ascii="Palatino" w:hAnsi="Palatino"/>
          <w:sz w:val="22"/>
          <w:szCs w:val="22"/>
        </w:rPr>
        <w:t>Vanner</w:t>
      </w:r>
      <w:proofErr w:type="spellEnd"/>
      <w:r w:rsidRPr="002A2E1A">
        <w:rPr>
          <w:rFonts w:ascii="Palatino" w:hAnsi="Palatino"/>
          <w:sz w:val="22"/>
          <w:szCs w:val="22"/>
        </w:rPr>
        <w:t xml:space="preserve">, SJ </w:t>
      </w:r>
    </w:p>
    <w:p w14:paraId="26D8E952" w14:textId="77777777" w:rsidR="002A2E1A" w:rsidRPr="002A2E1A" w:rsidRDefault="002A2E1A" w:rsidP="002A2E1A">
      <w:pPr>
        <w:spacing w:after="40"/>
      </w:pPr>
      <w:r w:rsidRPr="002A2E1A">
        <w:rPr>
          <w:rFonts w:ascii="Palatino" w:hAnsi="Palatino"/>
          <w:sz w:val="22"/>
          <w:szCs w:val="22"/>
        </w:rPr>
        <w:t xml:space="preserve">Basic research into the microbial causes of pain in IBD patients. Gloor role is metagenomic and meta- transcriptomic profiling of patient microbiome samples. </w:t>
      </w:r>
    </w:p>
    <w:p w14:paraId="6A7BC780" w14:textId="5E101070" w:rsidR="002A2E1A" w:rsidRDefault="002A2E1A" w:rsidP="002A2E1A">
      <w:pPr>
        <w:spacing w:after="40"/>
        <w:rPr>
          <w:rFonts w:ascii="Palatino" w:hAnsi="Palatino"/>
          <w:sz w:val="22"/>
          <w:szCs w:val="22"/>
        </w:rPr>
      </w:pPr>
      <w:r w:rsidRPr="002A2E1A">
        <w:rPr>
          <w:rFonts w:ascii="Palatino" w:hAnsi="Palatino"/>
          <w:sz w:val="22"/>
          <w:szCs w:val="22"/>
        </w:rPr>
        <w:t xml:space="preserve">total: $395990 </w:t>
      </w:r>
    </w:p>
    <w:p w14:paraId="2953718E" w14:textId="77777777" w:rsidR="002A2E1A" w:rsidRPr="002A2E1A" w:rsidRDefault="002A2E1A" w:rsidP="002A2E1A">
      <w:pPr>
        <w:spacing w:after="40"/>
      </w:pPr>
    </w:p>
    <w:p w14:paraId="7F1F3D50" w14:textId="22DC8B40" w:rsidR="002A2E1A" w:rsidRDefault="002A2E1A" w:rsidP="002A2E1A">
      <w:pPr>
        <w:spacing w:after="40"/>
      </w:pPr>
      <w:r w:rsidRPr="002A2E1A">
        <w:rPr>
          <w:rFonts w:ascii="Palatino" w:hAnsi="Palatino"/>
          <w:b/>
          <w:bCs/>
          <w:sz w:val="22"/>
          <w:szCs w:val="22"/>
        </w:rPr>
        <w:t>CIHR Project Grant, 201</w:t>
      </w:r>
      <w:r>
        <w:rPr>
          <w:rFonts w:ascii="Palatino" w:hAnsi="Palatino"/>
          <w:b/>
          <w:bCs/>
          <w:sz w:val="22"/>
          <w:szCs w:val="22"/>
        </w:rPr>
        <w:t>8</w:t>
      </w:r>
      <w:r w:rsidRPr="002A2E1A">
        <w:rPr>
          <w:rFonts w:ascii="Palatino" w:hAnsi="Palatino"/>
          <w:b/>
          <w:bCs/>
          <w:sz w:val="22"/>
          <w:szCs w:val="22"/>
        </w:rPr>
        <w:t>-202</w:t>
      </w:r>
      <w:r>
        <w:rPr>
          <w:rFonts w:ascii="Palatino" w:hAnsi="Palatino"/>
          <w:b/>
          <w:bCs/>
          <w:sz w:val="22"/>
          <w:szCs w:val="22"/>
        </w:rPr>
        <w:t>3</w:t>
      </w:r>
      <w:r w:rsidRPr="002A2E1A">
        <w:rPr>
          <w:rFonts w:ascii="Palatino" w:hAnsi="Palatino"/>
          <w:b/>
          <w:bCs/>
          <w:sz w:val="22"/>
          <w:szCs w:val="22"/>
        </w:rPr>
        <w:t xml:space="preserve">: </w:t>
      </w:r>
      <w:r>
        <w:rPr>
          <w:rFonts w:ascii="Palatino" w:hAnsi="Palatino"/>
          <w:b/>
          <w:bCs/>
          <w:sz w:val="22"/>
          <w:szCs w:val="22"/>
        </w:rPr>
        <w:t xml:space="preserve"> </w:t>
      </w:r>
      <w:proofErr w:type="spellStart"/>
      <w:r w:rsidRPr="002A2E1A">
        <w:rPr>
          <w:rFonts w:ascii="Palatino" w:hAnsi="Palatino"/>
          <w:sz w:val="22"/>
          <w:szCs w:val="22"/>
        </w:rPr>
        <w:t>ConCRISPR:Conjugative</w:t>
      </w:r>
      <w:r>
        <w:rPr>
          <w:rFonts w:ascii="Palatino" w:hAnsi="Palatino"/>
          <w:sz w:val="22"/>
          <w:szCs w:val="22"/>
        </w:rPr>
        <w:t>c</w:t>
      </w:r>
      <w:proofErr w:type="spellEnd"/>
      <w:r>
        <w:rPr>
          <w:rFonts w:ascii="Palatino" w:hAnsi="Palatino"/>
          <w:sz w:val="22"/>
          <w:szCs w:val="22"/>
        </w:rPr>
        <w:t xml:space="preserve"> </w:t>
      </w:r>
      <w:r w:rsidRPr="002A2E1A">
        <w:rPr>
          <w:rFonts w:ascii="Palatino" w:hAnsi="Palatino"/>
          <w:sz w:val="22"/>
          <w:szCs w:val="22"/>
        </w:rPr>
        <w:t>delivery</w:t>
      </w:r>
      <w:r>
        <w:rPr>
          <w:rFonts w:ascii="Palatino" w:hAnsi="Palatino"/>
          <w:sz w:val="22"/>
          <w:szCs w:val="22"/>
        </w:rPr>
        <w:t xml:space="preserve"> </w:t>
      </w:r>
      <w:r w:rsidRPr="002A2E1A">
        <w:rPr>
          <w:rFonts w:ascii="Palatino" w:hAnsi="Palatino"/>
          <w:sz w:val="22"/>
          <w:szCs w:val="22"/>
        </w:rPr>
        <w:t>of</w:t>
      </w:r>
      <w:r>
        <w:rPr>
          <w:rFonts w:ascii="Palatino" w:hAnsi="Palatino"/>
          <w:sz w:val="22"/>
          <w:szCs w:val="22"/>
        </w:rPr>
        <w:t xml:space="preserve"> </w:t>
      </w:r>
      <w:r w:rsidRPr="002A2E1A">
        <w:rPr>
          <w:rFonts w:ascii="Palatino" w:hAnsi="Palatino"/>
          <w:sz w:val="22"/>
          <w:szCs w:val="22"/>
        </w:rPr>
        <w:t>a</w:t>
      </w:r>
      <w:r>
        <w:rPr>
          <w:rFonts w:ascii="Palatino" w:hAnsi="Palatino"/>
          <w:sz w:val="22"/>
          <w:szCs w:val="22"/>
        </w:rPr>
        <w:t xml:space="preserve"> </w:t>
      </w:r>
      <w:r w:rsidRPr="002A2E1A">
        <w:rPr>
          <w:rFonts w:ascii="Palatino" w:hAnsi="Palatino"/>
          <w:sz w:val="22"/>
          <w:szCs w:val="22"/>
        </w:rPr>
        <w:t>hybrid</w:t>
      </w:r>
      <w:r>
        <w:rPr>
          <w:rFonts w:ascii="Palatino" w:hAnsi="Palatino"/>
          <w:sz w:val="22"/>
          <w:szCs w:val="22"/>
        </w:rPr>
        <w:t xml:space="preserve"> </w:t>
      </w:r>
      <w:r w:rsidRPr="002A2E1A">
        <w:rPr>
          <w:rFonts w:ascii="Palatino" w:hAnsi="Palatino"/>
          <w:sz w:val="22"/>
          <w:szCs w:val="22"/>
        </w:rPr>
        <w:t>CRISPR/</w:t>
      </w:r>
      <w:proofErr w:type="spellStart"/>
      <w:r w:rsidRPr="002A2E1A">
        <w:rPr>
          <w:rFonts w:ascii="Palatino" w:hAnsi="Palatino"/>
          <w:sz w:val="22"/>
          <w:szCs w:val="22"/>
        </w:rPr>
        <w:t>Tev</w:t>
      </w:r>
      <w:proofErr w:type="spellEnd"/>
      <w:r>
        <w:rPr>
          <w:rFonts w:ascii="Palatino" w:hAnsi="Palatino"/>
          <w:sz w:val="22"/>
          <w:szCs w:val="22"/>
        </w:rPr>
        <w:t xml:space="preserve"> </w:t>
      </w:r>
      <w:r w:rsidRPr="002A2E1A">
        <w:rPr>
          <w:rFonts w:ascii="Palatino" w:hAnsi="Palatino"/>
          <w:sz w:val="22"/>
          <w:szCs w:val="22"/>
        </w:rPr>
        <w:t>nuclease</w:t>
      </w:r>
      <w:r>
        <w:rPr>
          <w:rFonts w:ascii="Palatino" w:hAnsi="Palatino"/>
          <w:sz w:val="22"/>
          <w:szCs w:val="22"/>
        </w:rPr>
        <w:t xml:space="preserve"> </w:t>
      </w:r>
      <w:r w:rsidRPr="002A2E1A">
        <w:rPr>
          <w:rFonts w:ascii="Palatino" w:hAnsi="Palatino"/>
          <w:sz w:val="22"/>
          <w:szCs w:val="22"/>
        </w:rPr>
        <w:t xml:space="preserve">system for specific microbiota modulation in the mammalian gut </w:t>
      </w:r>
    </w:p>
    <w:p w14:paraId="59BB0275" w14:textId="44DD76B1" w:rsidR="002A2E1A" w:rsidRPr="002A2E1A" w:rsidRDefault="002A2E1A" w:rsidP="002A2E1A">
      <w:pPr>
        <w:spacing w:after="40"/>
      </w:pPr>
      <w:r w:rsidRPr="002A2E1A">
        <w:rPr>
          <w:rFonts w:ascii="Palatino" w:hAnsi="Palatino"/>
          <w:i/>
          <w:iCs/>
          <w:sz w:val="22"/>
          <w:szCs w:val="22"/>
        </w:rPr>
        <w:t>PI: Edgell, DE</w:t>
      </w:r>
      <w:r w:rsidRPr="002A2E1A">
        <w:rPr>
          <w:rFonts w:ascii="Palatino" w:hAnsi="Palatino"/>
          <w:sz w:val="22"/>
          <w:szCs w:val="22"/>
        </w:rPr>
        <w:t xml:space="preserve">, Co-PI Gloor, </w:t>
      </w:r>
      <w:proofErr w:type="gramStart"/>
      <w:r w:rsidRPr="002A2E1A">
        <w:rPr>
          <w:rFonts w:ascii="Palatino" w:hAnsi="Palatino"/>
          <w:sz w:val="22"/>
          <w:szCs w:val="22"/>
        </w:rPr>
        <w:t>GB</w:t>
      </w:r>
      <w:proofErr w:type="gramEnd"/>
      <w:r w:rsidRPr="002A2E1A">
        <w:rPr>
          <w:rFonts w:ascii="Palatino" w:hAnsi="Palatino"/>
          <w:sz w:val="22"/>
          <w:szCs w:val="22"/>
        </w:rPr>
        <w:t xml:space="preserve"> and </w:t>
      </w:r>
      <w:proofErr w:type="spellStart"/>
      <w:r w:rsidRPr="002A2E1A">
        <w:rPr>
          <w:rFonts w:ascii="Palatino" w:hAnsi="Palatino"/>
          <w:sz w:val="22"/>
          <w:szCs w:val="22"/>
        </w:rPr>
        <w:t>Karas</w:t>
      </w:r>
      <w:proofErr w:type="spellEnd"/>
      <w:r w:rsidRPr="002A2E1A">
        <w:rPr>
          <w:rFonts w:ascii="Palatino" w:hAnsi="Palatino"/>
          <w:sz w:val="22"/>
          <w:szCs w:val="22"/>
        </w:rPr>
        <w:t xml:space="preserve"> B </w:t>
      </w:r>
    </w:p>
    <w:p w14:paraId="765A2DB9" w14:textId="77777777" w:rsidR="002A2E1A" w:rsidRPr="002A2E1A" w:rsidRDefault="002A2E1A" w:rsidP="002A2E1A">
      <w:pPr>
        <w:spacing w:after="40"/>
      </w:pPr>
      <w:r w:rsidRPr="002A2E1A">
        <w:rPr>
          <w:rFonts w:ascii="Palatino" w:hAnsi="Palatino"/>
          <w:sz w:val="22"/>
          <w:szCs w:val="22"/>
        </w:rPr>
        <w:t xml:space="preserve">Basic research into the technology platform to target and eradicate specific taxa or genetic components of the human gut microbiome. </w:t>
      </w:r>
    </w:p>
    <w:p w14:paraId="7C990FA2" w14:textId="77777777" w:rsidR="002A2E1A" w:rsidRPr="002A2E1A" w:rsidRDefault="002A2E1A" w:rsidP="002A2E1A">
      <w:pPr>
        <w:spacing w:after="40"/>
      </w:pPr>
      <w:r w:rsidRPr="002A2E1A">
        <w:rPr>
          <w:rFonts w:ascii="Palatino" w:hAnsi="Palatino"/>
          <w:sz w:val="22"/>
          <w:szCs w:val="22"/>
        </w:rPr>
        <w:t xml:space="preserve">total: $891000 </w:t>
      </w:r>
    </w:p>
    <w:p w14:paraId="050353D5" w14:textId="77777777" w:rsidR="00BB2F36" w:rsidRDefault="00BB2F36" w:rsidP="001122B3">
      <w:pPr>
        <w:jc w:val="both"/>
        <w:rPr>
          <w:sz w:val="22"/>
          <w:szCs w:val="22"/>
        </w:rPr>
      </w:pPr>
    </w:p>
    <w:p w14:paraId="581CD446" w14:textId="77777777" w:rsidR="00BB2F36" w:rsidRPr="00A302EA" w:rsidRDefault="00BB2F36" w:rsidP="001122B3">
      <w:pPr>
        <w:jc w:val="both"/>
        <w:rPr>
          <w:sz w:val="22"/>
          <w:szCs w:val="22"/>
        </w:rPr>
      </w:pPr>
    </w:p>
    <w:sectPr w:rsidR="00BB2F36" w:rsidRPr="00A302EA" w:rsidSect="002E4FB4">
      <w:footerReference w:type="even" r:id="rId7"/>
      <w:footerReference w:type="default" r:id="rId8"/>
      <w:pgSz w:w="12240" w:h="15840" w:code="1"/>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799F0" w14:textId="77777777" w:rsidR="00431D5F" w:rsidRDefault="00431D5F">
      <w:r>
        <w:separator/>
      </w:r>
    </w:p>
  </w:endnote>
  <w:endnote w:type="continuationSeparator" w:id="0">
    <w:p w14:paraId="0F01869A" w14:textId="77777777" w:rsidR="00431D5F" w:rsidRDefault="00431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panose1 w:val="020B0300000000000000"/>
    <w:charset w:val="4E"/>
    <w:family w:val="auto"/>
    <w:pitch w:val="variable"/>
    <w:sig w:usb0="E00002FF" w:usb1="7AC7FFFF" w:usb2="00000012" w:usb3="00000000" w:csb0="0002000D"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DB74F" w14:textId="77777777" w:rsidR="00020F95" w:rsidRDefault="00020F95" w:rsidP="00CB6E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4E3B46" w14:textId="77777777" w:rsidR="00020F95" w:rsidRDefault="00020F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7B44" w14:textId="77777777" w:rsidR="00020F95" w:rsidRDefault="00020F95" w:rsidP="00CB6E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097C">
      <w:rPr>
        <w:rStyle w:val="PageNumber"/>
        <w:noProof/>
      </w:rPr>
      <w:t>4</w:t>
    </w:r>
    <w:r>
      <w:rPr>
        <w:rStyle w:val="PageNumber"/>
      </w:rPr>
      <w:fldChar w:fldCharType="end"/>
    </w:r>
  </w:p>
  <w:p w14:paraId="460FAFE0" w14:textId="77777777" w:rsidR="00020F95" w:rsidRDefault="00020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D142A" w14:textId="77777777" w:rsidR="00431D5F" w:rsidRDefault="00431D5F">
      <w:r>
        <w:separator/>
      </w:r>
    </w:p>
  </w:footnote>
  <w:footnote w:type="continuationSeparator" w:id="0">
    <w:p w14:paraId="434DD8EE" w14:textId="77777777" w:rsidR="00431D5F" w:rsidRDefault="00431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001"/>
    <w:multiLevelType w:val="hybridMultilevel"/>
    <w:tmpl w:val="C7DA7D7A"/>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00000003"/>
    <w:lvl w:ilvl="0" w:tplc="000000C9">
      <w:start w:val="2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1582A23"/>
    <w:multiLevelType w:val="hybridMultilevel"/>
    <w:tmpl w:val="E7E270A4"/>
    <w:lvl w:ilvl="0" w:tplc="EFA42BB2">
      <w:start w:val="1"/>
      <w:numFmt w:val="upperRoman"/>
      <w:lvlText w:val="%1."/>
      <w:lvlJc w:val="left"/>
      <w:pPr>
        <w:ind w:left="1080" w:hanging="720"/>
      </w:pPr>
      <w:rPr>
        <w:rFonts w:ascii="Palatino" w:hAnsi="Palatino" w:hint="default"/>
        <w:sz w:val="22"/>
      </w:rPr>
    </w:lvl>
    <w:lvl w:ilvl="1" w:tplc="BDF4CFAC">
      <w:start w:val="1"/>
      <w:numFmt w:val="upperLetter"/>
      <w:lvlText w:val="%2."/>
      <w:lvlJc w:val="left"/>
      <w:pPr>
        <w:ind w:left="1440" w:hanging="360"/>
      </w:pPr>
      <w:rPr>
        <w:rFonts w:ascii="Palatino" w:hAnsi="Palatino"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1BA7D14"/>
    <w:multiLevelType w:val="hybridMultilevel"/>
    <w:tmpl w:val="AB00D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752BED"/>
    <w:multiLevelType w:val="hybridMultilevel"/>
    <w:tmpl w:val="88F6CA4E"/>
    <w:lvl w:ilvl="0" w:tplc="34529568">
      <w:start w:val="3"/>
      <w:numFmt w:val="upperLetter"/>
      <w:lvlText w:val="%1."/>
      <w:lvlJc w:val="left"/>
      <w:pPr>
        <w:tabs>
          <w:tab w:val="num" w:pos="740"/>
        </w:tabs>
        <w:ind w:left="740" w:hanging="3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0FEE4481"/>
    <w:multiLevelType w:val="hybridMultilevel"/>
    <w:tmpl w:val="72582484"/>
    <w:lvl w:ilvl="0" w:tplc="04090015">
      <w:start w:val="1"/>
      <w:numFmt w:val="upperLetter"/>
      <w:lvlText w:val="%1."/>
      <w:lvlJc w:val="left"/>
      <w:pPr>
        <w:ind w:left="580" w:hanging="360"/>
      </w:pPr>
      <w:rPr>
        <w:rFonts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7" w15:restartNumberingAfterBreak="0">
    <w:nsid w:val="138E681E"/>
    <w:multiLevelType w:val="singleLevel"/>
    <w:tmpl w:val="04090013"/>
    <w:lvl w:ilvl="0">
      <w:start w:val="5"/>
      <w:numFmt w:val="upperRoman"/>
      <w:pStyle w:val="ReminderList1"/>
      <w:lvlText w:val="%1."/>
      <w:lvlJc w:val="left"/>
      <w:pPr>
        <w:tabs>
          <w:tab w:val="num" w:pos="720"/>
        </w:tabs>
        <w:ind w:left="720" w:hanging="720"/>
      </w:pPr>
      <w:rPr>
        <w:rFonts w:hint="default"/>
      </w:rPr>
    </w:lvl>
  </w:abstractNum>
  <w:abstractNum w:abstractNumId="18" w15:restartNumberingAfterBreak="0">
    <w:nsid w:val="163C3AA6"/>
    <w:multiLevelType w:val="hybridMultilevel"/>
    <w:tmpl w:val="C434A74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9" w15:restartNumberingAfterBreak="0">
    <w:nsid w:val="1DE03FEA"/>
    <w:multiLevelType w:val="hybridMultilevel"/>
    <w:tmpl w:val="874AB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CE3332"/>
    <w:multiLevelType w:val="hybridMultilevel"/>
    <w:tmpl w:val="2C869B98"/>
    <w:lvl w:ilvl="0" w:tplc="00150409">
      <w:start w:val="1"/>
      <w:numFmt w:val="upperLetter"/>
      <w:pStyle w:val="QuickA"/>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218C38A0"/>
    <w:multiLevelType w:val="hybridMultilevel"/>
    <w:tmpl w:val="24261F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1E62138"/>
    <w:multiLevelType w:val="hybridMultilevel"/>
    <w:tmpl w:val="17D0EEAE"/>
    <w:lvl w:ilvl="0" w:tplc="32B88A46">
      <w:numFmt w:val="bullet"/>
      <w:lvlText w:val="-"/>
      <w:lvlJc w:val="left"/>
      <w:pPr>
        <w:ind w:left="360" w:hanging="360"/>
      </w:pPr>
      <w:rPr>
        <w:rFonts w:ascii="Times New Roman" w:eastAsia="Times New Roman" w:hAnsi="Times New Roman" w:hint="default"/>
        <w:w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2CE62E3"/>
    <w:multiLevelType w:val="hybridMultilevel"/>
    <w:tmpl w:val="58485480"/>
    <w:lvl w:ilvl="0" w:tplc="FCFE6D2E">
      <w:start w:val="3"/>
      <w:numFmt w:val="upperLetter"/>
      <w:lvlText w:val="%1."/>
      <w:lvlJc w:val="left"/>
      <w:pPr>
        <w:tabs>
          <w:tab w:val="num" w:pos="740"/>
        </w:tabs>
        <w:ind w:left="740" w:hanging="3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15:restartNumberingAfterBreak="0">
    <w:nsid w:val="27884AC6"/>
    <w:multiLevelType w:val="hybridMultilevel"/>
    <w:tmpl w:val="71DEBC92"/>
    <w:lvl w:ilvl="0" w:tplc="5F4A173A">
      <w:start w:val="1"/>
      <w:numFmt w:val="upperLetter"/>
      <w:lvlText w:val="%1."/>
      <w:lvlJc w:val="left"/>
      <w:pPr>
        <w:ind w:left="720" w:hanging="360"/>
      </w:pPr>
      <w:rPr>
        <w:rFonts w:ascii="Palatino" w:hAnsi="Palatin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4E06E7"/>
    <w:multiLevelType w:val="hybridMultilevel"/>
    <w:tmpl w:val="C434A74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6" w15:restartNumberingAfterBreak="0">
    <w:nsid w:val="2E466E6F"/>
    <w:multiLevelType w:val="hybridMultilevel"/>
    <w:tmpl w:val="8C0E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230F9A"/>
    <w:multiLevelType w:val="hybridMultilevel"/>
    <w:tmpl w:val="445E53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60A5FD1"/>
    <w:multiLevelType w:val="hybridMultilevel"/>
    <w:tmpl w:val="3CE8F660"/>
    <w:lvl w:ilvl="0" w:tplc="32B88A46">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C1777D7"/>
    <w:multiLevelType w:val="hybridMultilevel"/>
    <w:tmpl w:val="88549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08D1EA1"/>
    <w:multiLevelType w:val="hybridMultilevel"/>
    <w:tmpl w:val="9FA06860"/>
    <w:lvl w:ilvl="0" w:tplc="32B88A46">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4677897"/>
    <w:multiLevelType w:val="hybridMultilevel"/>
    <w:tmpl w:val="C434A74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2" w15:restartNumberingAfterBreak="0">
    <w:nsid w:val="4D9E62D8"/>
    <w:multiLevelType w:val="multilevel"/>
    <w:tmpl w:val="55E0F6FE"/>
    <w:lvl w:ilvl="0">
      <w:start w:val="1"/>
      <w:numFmt w:val="decimal"/>
      <w:pStyle w:val="ReminderList2"/>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33" w15:restartNumberingAfterBreak="0">
    <w:nsid w:val="4E2114E7"/>
    <w:multiLevelType w:val="hybridMultilevel"/>
    <w:tmpl w:val="16BA4DF8"/>
    <w:lvl w:ilvl="0" w:tplc="32B88A46">
      <w:numFmt w:val="bullet"/>
      <w:lvlText w:val="-"/>
      <w:lvlJc w:val="left"/>
      <w:pPr>
        <w:ind w:left="360" w:hanging="360"/>
      </w:pPr>
      <w:rPr>
        <w:rFonts w:ascii="Times New Roman" w:eastAsia="Times New Roman" w:hAnsi="Times New Roman" w:hint="default"/>
        <w:w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F7F7672"/>
    <w:multiLevelType w:val="hybridMultilevel"/>
    <w:tmpl w:val="C65C42A4"/>
    <w:lvl w:ilvl="0" w:tplc="A6F2411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2711AC"/>
    <w:multiLevelType w:val="hybridMultilevel"/>
    <w:tmpl w:val="4DD44F10"/>
    <w:lvl w:ilvl="0" w:tplc="32B88A46">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7F34CF"/>
    <w:multiLevelType w:val="hybridMultilevel"/>
    <w:tmpl w:val="C748A86C"/>
    <w:lvl w:ilvl="0" w:tplc="000F0409">
      <w:start w:val="6"/>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7" w15:restartNumberingAfterBreak="0">
    <w:nsid w:val="62BC0E8A"/>
    <w:multiLevelType w:val="hybridMultilevel"/>
    <w:tmpl w:val="DD20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A62192"/>
    <w:multiLevelType w:val="hybridMultilevel"/>
    <w:tmpl w:val="23F83E8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9" w15:restartNumberingAfterBreak="0">
    <w:nsid w:val="64125BC5"/>
    <w:multiLevelType w:val="hybridMultilevel"/>
    <w:tmpl w:val="8506D2BE"/>
    <w:lvl w:ilvl="0" w:tplc="DEA8DCBE">
      <w:start w:val="2"/>
      <w:numFmt w:val="upperLetter"/>
      <w:lvlText w:val="%1."/>
      <w:lvlJc w:val="left"/>
      <w:pPr>
        <w:tabs>
          <w:tab w:val="num" w:pos="740"/>
        </w:tabs>
        <w:ind w:left="740" w:hanging="3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0" w15:restartNumberingAfterBreak="0">
    <w:nsid w:val="657F123E"/>
    <w:multiLevelType w:val="hybridMultilevel"/>
    <w:tmpl w:val="F23CA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102008"/>
    <w:multiLevelType w:val="hybridMultilevel"/>
    <w:tmpl w:val="E03CDEA8"/>
    <w:lvl w:ilvl="0" w:tplc="F69EB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74C76"/>
    <w:multiLevelType w:val="hybridMultilevel"/>
    <w:tmpl w:val="72628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05473D"/>
    <w:multiLevelType w:val="hybridMultilevel"/>
    <w:tmpl w:val="F1F84E3C"/>
    <w:lvl w:ilvl="0" w:tplc="E65CE6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EC4447"/>
    <w:multiLevelType w:val="singleLevel"/>
    <w:tmpl w:val="04090001"/>
    <w:lvl w:ilvl="0">
      <w:start w:val="1"/>
      <w:numFmt w:val="bullet"/>
      <w:pStyle w:val="ReminderList3"/>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7"/>
  </w:num>
  <w:num w:numId="13">
    <w:abstractNumId w:val="44"/>
  </w:num>
  <w:num w:numId="14">
    <w:abstractNumId w:val="20"/>
  </w:num>
  <w:num w:numId="15">
    <w:abstractNumId w:val="30"/>
  </w:num>
  <w:num w:numId="16">
    <w:abstractNumId w:val="35"/>
  </w:num>
  <w:num w:numId="17">
    <w:abstractNumId w:val="28"/>
  </w:num>
  <w:num w:numId="18">
    <w:abstractNumId w:val="39"/>
  </w:num>
  <w:num w:numId="19">
    <w:abstractNumId w:val="31"/>
  </w:num>
  <w:num w:numId="20">
    <w:abstractNumId w:val="23"/>
  </w:num>
  <w:num w:numId="21">
    <w:abstractNumId w:val="15"/>
  </w:num>
  <w:num w:numId="22">
    <w:abstractNumId w:val="36"/>
  </w:num>
  <w:num w:numId="23">
    <w:abstractNumId w:val="25"/>
  </w:num>
  <w:num w:numId="24">
    <w:abstractNumId w:val="18"/>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6"/>
  </w:num>
  <w:num w:numId="28">
    <w:abstractNumId w:val="10"/>
  </w:num>
  <w:num w:numId="29">
    <w:abstractNumId w:val="11"/>
  </w:num>
  <w:num w:numId="30">
    <w:abstractNumId w:val="12"/>
  </w:num>
  <w:num w:numId="31">
    <w:abstractNumId w:val="19"/>
  </w:num>
  <w:num w:numId="32">
    <w:abstractNumId w:val="40"/>
  </w:num>
  <w:num w:numId="33">
    <w:abstractNumId w:val="34"/>
  </w:num>
  <w:num w:numId="34">
    <w:abstractNumId w:val="41"/>
  </w:num>
  <w:num w:numId="35">
    <w:abstractNumId w:val="21"/>
  </w:num>
  <w:num w:numId="36">
    <w:abstractNumId w:val="43"/>
  </w:num>
  <w:num w:numId="37">
    <w:abstractNumId w:val="38"/>
  </w:num>
  <w:num w:numId="38">
    <w:abstractNumId w:val="42"/>
  </w:num>
  <w:num w:numId="39">
    <w:abstractNumId w:val="16"/>
  </w:num>
  <w:num w:numId="40">
    <w:abstractNumId w:val="27"/>
  </w:num>
  <w:num w:numId="41">
    <w:abstractNumId w:val="37"/>
  </w:num>
  <w:num w:numId="42">
    <w:abstractNumId w:val="22"/>
  </w:num>
  <w:num w:numId="43">
    <w:abstractNumId w:val="33"/>
  </w:num>
  <w:num w:numId="44">
    <w:abstractNumId w:val="13"/>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4FB4"/>
    <w:rsid w:val="0000189E"/>
    <w:rsid w:val="00020F95"/>
    <w:rsid w:val="000555DC"/>
    <w:rsid w:val="00062FF6"/>
    <w:rsid w:val="0009540B"/>
    <w:rsid w:val="000A1456"/>
    <w:rsid w:val="000C156F"/>
    <w:rsid w:val="000D1787"/>
    <w:rsid w:val="000D5B1D"/>
    <w:rsid w:val="000F2A9F"/>
    <w:rsid w:val="00100E60"/>
    <w:rsid w:val="0011175F"/>
    <w:rsid w:val="001122B3"/>
    <w:rsid w:val="001327B6"/>
    <w:rsid w:val="001459EE"/>
    <w:rsid w:val="00151393"/>
    <w:rsid w:val="00191F20"/>
    <w:rsid w:val="001D7244"/>
    <w:rsid w:val="001E26B7"/>
    <w:rsid w:val="00227461"/>
    <w:rsid w:val="00294315"/>
    <w:rsid w:val="002A2E1A"/>
    <w:rsid w:val="002E4FB4"/>
    <w:rsid w:val="00357882"/>
    <w:rsid w:val="003F5CA4"/>
    <w:rsid w:val="00401654"/>
    <w:rsid w:val="00431D5F"/>
    <w:rsid w:val="00440671"/>
    <w:rsid w:val="00477BE5"/>
    <w:rsid w:val="005E50ED"/>
    <w:rsid w:val="00624DFF"/>
    <w:rsid w:val="00653EE5"/>
    <w:rsid w:val="00730737"/>
    <w:rsid w:val="007F097C"/>
    <w:rsid w:val="0083120B"/>
    <w:rsid w:val="00835F13"/>
    <w:rsid w:val="008563ED"/>
    <w:rsid w:val="00860CE5"/>
    <w:rsid w:val="00882F84"/>
    <w:rsid w:val="008C49F9"/>
    <w:rsid w:val="00935168"/>
    <w:rsid w:val="0099110A"/>
    <w:rsid w:val="009B37FD"/>
    <w:rsid w:val="009D0BCE"/>
    <w:rsid w:val="00A02E44"/>
    <w:rsid w:val="00A14D86"/>
    <w:rsid w:val="00A302EA"/>
    <w:rsid w:val="00AF71F6"/>
    <w:rsid w:val="00B17B2C"/>
    <w:rsid w:val="00B211C5"/>
    <w:rsid w:val="00B45574"/>
    <w:rsid w:val="00B758A2"/>
    <w:rsid w:val="00BB2F36"/>
    <w:rsid w:val="00BC178C"/>
    <w:rsid w:val="00BF4433"/>
    <w:rsid w:val="00C06A57"/>
    <w:rsid w:val="00C1494C"/>
    <w:rsid w:val="00C57474"/>
    <w:rsid w:val="00C61CD3"/>
    <w:rsid w:val="00C61F7A"/>
    <w:rsid w:val="00C906C8"/>
    <w:rsid w:val="00CB6EAD"/>
    <w:rsid w:val="00CE3ED4"/>
    <w:rsid w:val="00D051A3"/>
    <w:rsid w:val="00D90A00"/>
    <w:rsid w:val="00D96E97"/>
    <w:rsid w:val="00D977D7"/>
    <w:rsid w:val="00DA743A"/>
    <w:rsid w:val="00DE32E6"/>
    <w:rsid w:val="00E12803"/>
    <w:rsid w:val="00E2675E"/>
    <w:rsid w:val="00E86F12"/>
    <w:rsid w:val="00EF027B"/>
    <w:rsid w:val="00EF549A"/>
    <w:rsid w:val="00F117E4"/>
    <w:rsid w:val="00F2792A"/>
    <w:rsid w:val="00F716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52F94"/>
  <w15:docId w15:val="{B3874D37-5EFD-9446-BCF0-7FC65CD2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A00"/>
    <w:rPr>
      <w:rFonts w:ascii="Times New Roman" w:eastAsia="Times New Roman" w:hAnsi="Times New Roman" w:cs="Times New Roman"/>
      <w:lang w:val="en-CA"/>
    </w:rPr>
  </w:style>
  <w:style w:type="paragraph" w:styleId="Heading1">
    <w:name w:val="heading 1"/>
    <w:basedOn w:val="Normal"/>
    <w:next w:val="Normal"/>
    <w:link w:val="Heading1Char"/>
    <w:qFormat/>
    <w:rsid w:val="002E4FB4"/>
    <w:pPr>
      <w:autoSpaceDE w:val="0"/>
      <w:autoSpaceDN w:val="0"/>
      <w:jc w:val="center"/>
      <w:outlineLvl w:val="0"/>
    </w:pPr>
    <w:rPr>
      <w:rFonts w:ascii="Arial" w:hAnsi="Arial" w:cs="Arial"/>
      <w:b/>
      <w:bCs/>
      <w:sz w:val="22"/>
      <w:szCs w:val="22"/>
      <w:lang w:val="en-US"/>
    </w:rPr>
  </w:style>
  <w:style w:type="paragraph" w:styleId="Heading2">
    <w:name w:val="heading 2"/>
    <w:basedOn w:val="Normal"/>
    <w:next w:val="Normal"/>
    <w:link w:val="Heading2Char"/>
    <w:qFormat/>
    <w:rsid w:val="002E4FB4"/>
    <w:pPr>
      <w:keepNext/>
      <w:autoSpaceDE w:val="0"/>
      <w:autoSpaceDN w:val="0"/>
      <w:jc w:val="center"/>
      <w:outlineLvl w:val="1"/>
    </w:pPr>
    <w:rPr>
      <w:rFonts w:ascii="Arial" w:hAnsi="Arial" w:cs="Arial"/>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4FB4"/>
    <w:rPr>
      <w:rFonts w:ascii="Arial" w:eastAsia="Times New Roman" w:hAnsi="Arial" w:cs="Arial"/>
      <w:b/>
      <w:bCs/>
      <w:sz w:val="22"/>
      <w:szCs w:val="22"/>
    </w:rPr>
  </w:style>
  <w:style w:type="character" w:customStyle="1" w:styleId="Heading2Char">
    <w:name w:val="Heading 2 Char"/>
    <w:basedOn w:val="DefaultParagraphFont"/>
    <w:link w:val="Heading2"/>
    <w:rsid w:val="002E4FB4"/>
    <w:rPr>
      <w:rFonts w:ascii="Arial" w:eastAsia="Times New Roman" w:hAnsi="Arial" w:cs="Arial"/>
      <w:b/>
      <w:bCs/>
      <w:sz w:val="28"/>
      <w:szCs w:val="28"/>
    </w:rPr>
  </w:style>
  <w:style w:type="paragraph" w:styleId="ListBullet">
    <w:name w:val="List Bullet"/>
    <w:basedOn w:val="Normal"/>
    <w:autoRedefine/>
    <w:rsid w:val="002E4FB4"/>
    <w:pPr>
      <w:numPr>
        <w:numId w:val="1"/>
      </w:numPr>
      <w:autoSpaceDE w:val="0"/>
      <w:autoSpaceDN w:val="0"/>
    </w:pPr>
    <w:rPr>
      <w:rFonts w:ascii="Times" w:hAnsi="Times" w:cs="Times"/>
      <w:lang w:val="en-US"/>
    </w:rPr>
  </w:style>
  <w:style w:type="paragraph" w:styleId="ListBullet2">
    <w:name w:val="List Bullet 2"/>
    <w:basedOn w:val="Normal"/>
    <w:autoRedefine/>
    <w:rsid w:val="002E4FB4"/>
    <w:pPr>
      <w:numPr>
        <w:numId w:val="2"/>
      </w:numPr>
      <w:autoSpaceDE w:val="0"/>
      <w:autoSpaceDN w:val="0"/>
    </w:pPr>
    <w:rPr>
      <w:rFonts w:ascii="Times" w:hAnsi="Times" w:cs="Times"/>
      <w:lang w:val="en-US"/>
    </w:rPr>
  </w:style>
  <w:style w:type="paragraph" w:styleId="ListBullet3">
    <w:name w:val="List Bullet 3"/>
    <w:basedOn w:val="Normal"/>
    <w:autoRedefine/>
    <w:rsid w:val="002E4FB4"/>
    <w:pPr>
      <w:numPr>
        <w:numId w:val="3"/>
      </w:numPr>
      <w:autoSpaceDE w:val="0"/>
      <w:autoSpaceDN w:val="0"/>
    </w:pPr>
    <w:rPr>
      <w:rFonts w:ascii="Times" w:hAnsi="Times" w:cs="Times"/>
      <w:lang w:val="en-US"/>
    </w:rPr>
  </w:style>
  <w:style w:type="paragraph" w:styleId="ListBullet4">
    <w:name w:val="List Bullet 4"/>
    <w:basedOn w:val="Normal"/>
    <w:autoRedefine/>
    <w:rsid w:val="002E4FB4"/>
    <w:pPr>
      <w:numPr>
        <w:numId w:val="4"/>
      </w:numPr>
      <w:autoSpaceDE w:val="0"/>
      <w:autoSpaceDN w:val="0"/>
    </w:pPr>
    <w:rPr>
      <w:rFonts w:ascii="Times" w:hAnsi="Times" w:cs="Times"/>
      <w:lang w:val="en-US"/>
    </w:rPr>
  </w:style>
  <w:style w:type="paragraph" w:styleId="ListBullet5">
    <w:name w:val="List Bullet 5"/>
    <w:basedOn w:val="Normal"/>
    <w:autoRedefine/>
    <w:rsid w:val="002E4FB4"/>
    <w:pPr>
      <w:numPr>
        <w:numId w:val="5"/>
      </w:numPr>
      <w:autoSpaceDE w:val="0"/>
      <w:autoSpaceDN w:val="0"/>
    </w:pPr>
    <w:rPr>
      <w:rFonts w:ascii="Times" w:hAnsi="Times" w:cs="Times"/>
      <w:lang w:val="en-US"/>
    </w:rPr>
  </w:style>
  <w:style w:type="paragraph" w:styleId="ListNumber">
    <w:name w:val="List Number"/>
    <w:basedOn w:val="Normal"/>
    <w:rsid w:val="002E4FB4"/>
    <w:pPr>
      <w:numPr>
        <w:numId w:val="6"/>
      </w:numPr>
      <w:autoSpaceDE w:val="0"/>
      <w:autoSpaceDN w:val="0"/>
    </w:pPr>
    <w:rPr>
      <w:rFonts w:ascii="Times" w:hAnsi="Times" w:cs="Times"/>
      <w:lang w:val="en-US"/>
    </w:rPr>
  </w:style>
  <w:style w:type="paragraph" w:styleId="ListNumber2">
    <w:name w:val="List Number 2"/>
    <w:basedOn w:val="Normal"/>
    <w:rsid w:val="002E4FB4"/>
    <w:pPr>
      <w:numPr>
        <w:numId w:val="7"/>
      </w:numPr>
      <w:autoSpaceDE w:val="0"/>
      <w:autoSpaceDN w:val="0"/>
    </w:pPr>
    <w:rPr>
      <w:rFonts w:ascii="Times" w:hAnsi="Times" w:cs="Times"/>
      <w:lang w:val="en-US"/>
    </w:rPr>
  </w:style>
  <w:style w:type="paragraph" w:styleId="ListNumber3">
    <w:name w:val="List Number 3"/>
    <w:basedOn w:val="Normal"/>
    <w:rsid w:val="002E4FB4"/>
    <w:pPr>
      <w:numPr>
        <w:numId w:val="8"/>
      </w:numPr>
      <w:autoSpaceDE w:val="0"/>
      <w:autoSpaceDN w:val="0"/>
    </w:pPr>
    <w:rPr>
      <w:rFonts w:ascii="Times" w:hAnsi="Times" w:cs="Times"/>
      <w:lang w:val="en-US"/>
    </w:rPr>
  </w:style>
  <w:style w:type="paragraph" w:styleId="ListNumber4">
    <w:name w:val="List Number 4"/>
    <w:basedOn w:val="Normal"/>
    <w:rsid w:val="002E4FB4"/>
    <w:pPr>
      <w:numPr>
        <w:numId w:val="9"/>
      </w:numPr>
      <w:autoSpaceDE w:val="0"/>
      <w:autoSpaceDN w:val="0"/>
    </w:pPr>
    <w:rPr>
      <w:rFonts w:ascii="Times" w:hAnsi="Times" w:cs="Times"/>
      <w:lang w:val="en-US"/>
    </w:rPr>
  </w:style>
  <w:style w:type="paragraph" w:styleId="ListNumber5">
    <w:name w:val="List Number 5"/>
    <w:basedOn w:val="Normal"/>
    <w:rsid w:val="002E4FB4"/>
    <w:pPr>
      <w:numPr>
        <w:numId w:val="10"/>
      </w:numPr>
      <w:autoSpaceDE w:val="0"/>
      <w:autoSpaceDN w:val="0"/>
    </w:pPr>
    <w:rPr>
      <w:rFonts w:ascii="Times" w:hAnsi="Times" w:cs="Times"/>
      <w:lang w:val="en-US"/>
    </w:rPr>
  </w:style>
  <w:style w:type="paragraph" w:customStyle="1" w:styleId="QuickA">
    <w:name w:val="Quick A."/>
    <w:basedOn w:val="Normal"/>
    <w:rsid w:val="002E4FB4"/>
    <w:pPr>
      <w:widowControl w:val="0"/>
      <w:numPr>
        <w:numId w:val="14"/>
      </w:numPr>
      <w:autoSpaceDE w:val="0"/>
      <w:autoSpaceDN w:val="0"/>
      <w:ind w:hanging="720"/>
    </w:pPr>
    <w:rPr>
      <w:lang w:val="en-US"/>
    </w:rPr>
  </w:style>
  <w:style w:type="paragraph" w:customStyle="1" w:styleId="ReminderList1">
    <w:name w:val="Reminder List 1"/>
    <w:basedOn w:val="Normal"/>
    <w:rsid w:val="002E4FB4"/>
    <w:pPr>
      <w:numPr>
        <w:numId w:val="12"/>
      </w:numPr>
      <w:tabs>
        <w:tab w:val="left" w:pos="360"/>
      </w:tabs>
      <w:autoSpaceDE w:val="0"/>
      <w:autoSpaceDN w:val="0"/>
      <w:spacing w:after="120" w:line="260" w:lineRule="atLeast"/>
      <w:ind w:left="360"/>
    </w:pPr>
    <w:rPr>
      <w:rFonts w:ascii="Helvetica" w:hAnsi="Helvetica" w:cs="Helvetica"/>
      <w:b/>
      <w:bCs/>
      <w:color w:val="000000"/>
      <w:sz w:val="22"/>
      <w:szCs w:val="22"/>
      <w:lang w:val="en-US"/>
    </w:rPr>
  </w:style>
  <w:style w:type="paragraph" w:customStyle="1" w:styleId="ReminderList2">
    <w:name w:val="Reminder List 2"/>
    <w:basedOn w:val="Normal"/>
    <w:rsid w:val="002E4FB4"/>
    <w:pPr>
      <w:numPr>
        <w:numId w:val="11"/>
      </w:numPr>
      <w:tabs>
        <w:tab w:val="left" w:pos="720"/>
      </w:tabs>
      <w:autoSpaceDE w:val="0"/>
      <w:autoSpaceDN w:val="0"/>
      <w:spacing w:after="60" w:line="260" w:lineRule="atLeast"/>
      <w:ind w:left="749"/>
    </w:pPr>
    <w:rPr>
      <w:rFonts w:ascii="Helvetica" w:hAnsi="Helvetica" w:cs="Helvetica"/>
      <w:color w:val="000000"/>
      <w:sz w:val="22"/>
      <w:szCs w:val="22"/>
      <w:lang w:val="en-US"/>
    </w:rPr>
  </w:style>
  <w:style w:type="paragraph" w:customStyle="1" w:styleId="ReminderList3">
    <w:name w:val="Reminder List 3"/>
    <w:basedOn w:val="Normal"/>
    <w:rsid w:val="002E4FB4"/>
    <w:pPr>
      <w:numPr>
        <w:numId w:val="13"/>
      </w:numPr>
      <w:tabs>
        <w:tab w:val="left" w:pos="1080"/>
      </w:tabs>
      <w:autoSpaceDE w:val="0"/>
      <w:autoSpaceDN w:val="0"/>
      <w:spacing w:after="60"/>
      <w:ind w:left="1080"/>
    </w:pPr>
    <w:rPr>
      <w:rFonts w:ascii="Helvetica" w:hAnsi="Helvetica" w:cs="Helvetica"/>
      <w:sz w:val="22"/>
      <w:szCs w:val="22"/>
      <w:lang w:val="en-US"/>
    </w:rPr>
  </w:style>
  <w:style w:type="paragraph" w:styleId="BodyTextIndent">
    <w:name w:val="Body Text Indent"/>
    <w:basedOn w:val="Normal"/>
    <w:link w:val="BodyTextIndentChar"/>
    <w:rsid w:val="002E4FB4"/>
    <w:pPr>
      <w:autoSpaceDE w:val="0"/>
      <w:autoSpaceDN w:val="0"/>
      <w:ind w:left="720"/>
      <w:jc w:val="both"/>
    </w:pPr>
    <w:rPr>
      <w:rFonts w:ascii="Arial" w:hAnsi="Arial" w:cs="Arial"/>
      <w:color w:val="FF0000"/>
      <w:sz w:val="20"/>
      <w:szCs w:val="20"/>
      <w:lang w:val="en-US"/>
    </w:rPr>
  </w:style>
  <w:style w:type="character" w:customStyle="1" w:styleId="BodyTextIndentChar">
    <w:name w:val="Body Text Indent Char"/>
    <w:basedOn w:val="DefaultParagraphFont"/>
    <w:link w:val="BodyTextIndent"/>
    <w:rsid w:val="002E4FB4"/>
    <w:rPr>
      <w:rFonts w:ascii="Arial" w:eastAsia="Times New Roman" w:hAnsi="Arial" w:cs="Arial"/>
      <w:color w:val="FF0000"/>
      <w:sz w:val="20"/>
      <w:szCs w:val="20"/>
    </w:rPr>
  </w:style>
  <w:style w:type="paragraph" w:styleId="NormalWeb">
    <w:name w:val="Normal (Web)"/>
    <w:basedOn w:val="Normal"/>
    <w:uiPriority w:val="99"/>
    <w:rsid w:val="002E4FB4"/>
    <w:pPr>
      <w:spacing w:before="100" w:beforeAutospacing="1" w:after="100" w:afterAutospacing="1"/>
    </w:pPr>
    <w:rPr>
      <w:rFonts w:ascii="Arial" w:eastAsia="Arial Unicode MS" w:hAnsi="Arial"/>
      <w:lang w:val="en-US"/>
    </w:rPr>
  </w:style>
  <w:style w:type="paragraph" w:styleId="Header">
    <w:name w:val="header"/>
    <w:basedOn w:val="Normal"/>
    <w:link w:val="HeaderChar"/>
    <w:rsid w:val="002E4FB4"/>
    <w:pPr>
      <w:tabs>
        <w:tab w:val="center" w:pos="4320"/>
        <w:tab w:val="right" w:pos="8640"/>
      </w:tabs>
      <w:autoSpaceDE w:val="0"/>
      <w:autoSpaceDN w:val="0"/>
    </w:pPr>
    <w:rPr>
      <w:lang w:val="en-US"/>
    </w:rPr>
  </w:style>
  <w:style w:type="character" w:customStyle="1" w:styleId="HeaderChar">
    <w:name w:val="Header Char"/>
    <w:basedOn w:val="DefaultParagraphFont"/>
    <w:link w:val="Header"/>
    <w:rsid w:val="002E4FB4"/>
    <w:rPr>
      <w:rFonts w:ascii="Times New Roman" w:eastAsia="Times New Roman" w:hAnsi="Times New Roman" w:cs="Times New Roman"/>
    </w:rPr>
  </w:style>
  <w:style w:type="paragraph" w:customStyle="1" w:styleId="DataField10pt">
    <w:name w:val="Data Field 10pt"/>
    <w:basedOn w:val="Normal"/>
    <w:rsid w:val="002E4FB4"/>
    <w:pPr>
      <w:autoSpaceDE w:val="0"/>
      <w:autoSpaceDN w:val="0"/>
    </w:pPr>
    <w:rPr>
      <w:rFonts w:ascii="Arial" w:hAnsi="Arial" w:cs="Arial"/>
      <w:sz w:val="20"/>
      <w:szCs w:val="20"/>
      <w:lang w:val="en-US"/>
    </w:rPr>
  </w:style>
  <w:style w:type="paragraph" w:customStyle="1" w:styleId="DataField11pt-Single">
    <w:name w:val="Data Field 11pt-Single"/>
    <w:basedOn w:val="Normal"/>
    <w:link w:val="DataField11pt-SingleChar"/>
    <w:rsid w:val="002E4FB4"/>
    <w:pPr>
      <w:autoSpaceDE w:val="0"/>
      <w:autoSpaceDN w:val="0"/>
    </w:pPr>
    <w:rPr>
      <w:rFonts w:ascii="Arial" w:hAnsi="Arial" w:cs="Arial"/>
      <w:sz w:val="22"/>
      <w:szCs w:val="20"/>
      <w:lang w:val="en-US"/>
    </w:rPr>
  </w:style>
  <w:style w:type="paragraph" w:styleId="Footer">
    <w:name w:val="footer"/>
    <w:basedOn w:val="Normal"/>
    <w:link w:val="FooterChar"/>
    <w:rsid w:val="002E4FB4"/>
    <w:pPr>
      <w:tabs>
        <w:tab w:val="center" w:pos="4320"/>
        <w:tab w:val="right" w:pos="8640"/>
      </w:tabs>
      <w:autoSpaceDE w:val="0"/>
      <w:autoSpaceDN w:val="0"/>
    </w:pPr>
    <w:rPr>
      <w:lang w:val="en-US"/>
    </w:rPr>
  </w:style>
  <w:style w:type="character" w:customStyle="1" w:styleId="FooterChar">
    <w:name w:val="Footer Char"/>
    <w:basedOn w:val="DefaultParagraphFont"/>
    <w:link w:val="Footer"/>
    <w:rsid w:val="002E4FB4"/>
    <w:rPr>
      <w:rFonts w:ascii="Times New Roman" w:eastAsia="Times New Roman" w:hAnsi="Times New Roman" w:cs="Times New Roman"/>
    </w:rPr>
  </w:style>
  <w:style w:type="character" w:styleId="PageNumber">
    <w:name w:val="page number"/>
    <w:basedOn w:val="DefaultParagraphFont"/>
    <w:rsid w:val="002E4FB4"/>
    <w:rPr>
      <w:rFonts w:ascii="Arial" w:hAnsi="Arial"/>
      <w:sz w:val="20"/>
      <w:u w:val="single"/>
    </w:rPr>
  </w:style>
  <w:style w:type="paragraph" w:customStyle="1" w:styleId="FormFooter">
    <w:name w:val="Form Footer"/>
    <w:basedOn w:val="Normal"/>
    <w:rsid w:val="002E4FB4"/>
    <w:pPr>
      <w:tabs>
        <w:tab w:val="center" w:pos="5328"/>
        <w:tab w:val="right" w:pos="10728"/>
      </w:tabs>
      <w:autoSpaceDE w:val="0"/>
      <w:autoSpaceDN w:val="0"/>
      <w:ind w:left="58"/>
    </w:pPr>
    <w:rPr>
      <w:rFonts w:ascii="Arial" w:hAnsi="Arial" w:cs="Arial"/>
      <w:sz w:val="16"/>
      <w:szCs w:val="16"/>
      <w:lang w:val="en-US"/>
    </w:rPr>
  </w:style>
  <w:style w:type="paragraph" w:customStyle="1" w:styleId="FormFooterBorder">
    <w:name w:val="FormFooter/Border"/>
    <w:basedOn w:val="Footer"/>
    <w:rsid w:val="002E4FB4"/>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2E4FB4"/>
    <w:pPr>
      <w:autoSpaceDE w:val="0"/>
      <w:autoSpaceDN w:val="0"/>
      <w:spacing w:before="40" w:after="40"/>
      <w:jc w:val="center"/>
    </w:pPr>
    <w:rPr>
      <w:rFonts w:ascii="Arial" w:hAnsi="Arial" w:cs="Arial"/>
      <w:i/>
      <w:iCs/>
      <w:sz w:val="16"/>
      <w:szCs w:val="16"/>
      <w:lang w:val="en-US"/>
    </w:rPr>
  </w:style>
  <w:style w:type="paragraph" w:customStyle="1" w:styleId="NameofApplicant">
    <w:name w:val="Name of Applicant"/>
    <w:basedOn w:val="Normal"/>
    <w:rsid w:val="002E4FB4"/>
    <w:pPr>
      <w:autoSpaceDE w:val="0"/>
      <w:autoSpaceDN w:val="0"/>
    </w:pPr>
    <w:rPr>
      <w:rFonts w:ascii="Arial" w:hAnsi="Arial" w:cs="Arial"/>
      <w:sz w:val="16"/>
      <w:szCs w:val="15"/>
      <w:lang w:val="en-US"/>
    </w:rPr>
  </w:style>
  <w:style w:type="paragraph" w:customStyle="1" w:styleId="Arial10BoldText">
    <w:name w:val="Arial10BoldText"/>
    <w:basedOn w:val="Normal"/>
    <w:rsid w:val="002E4FB4"/>
    <w:pPr>
      <w:autoSpaceDE w:val="0"/>
      <w:autoSpaceDN w:val="0"/>
      <w:spacing w:before="20" w:after="20"/>
    </w:pPr>
    <w:rPr>
      <w:rFonts w:ascii="Arial" w:hAnsi="Arial" w:cs="Arial"/>
      <w:b/>
      <w:bCs/>
      <w:sz w:val="20"/>
      <w:szCs w:val="20"/>
      <w:lang w:val="en-US"/>
    </w:rPr>
  </w:style>
  <w:style w:type="paragraph" w:customStyle="1" w:styleId="FormFieldCaption">
    <w:name w:val="Form Field Caption"/>
    <w:basedOn w:val="Normal"/>
    <w:rsid w:val="002E4FB4"/>
    <w:pPr>
      <w:tabs>
        <w:tab w:val="left" w:pos="270"/>
      </w:tabs>
      <w:autoSpaceDE w:val="0"/>
      <w:autoSpaceDN w:val="0"/>
    </w:pPr>
    <w:rPr>
      <w:rFonts w:ascii="Arial" w:hAnsi="Arial" w:cs="Arial"/>
      <w:sz w:val="16"/>
      <w:szCs w:val="16"/>
      <w:lang w:val="en-US"/>
    </w:rPr>
  </w:style>
  <w:style w:type="paragraph" w:customStyle="1" w:styleId="FormFieldCaption7pt">
    <w:name w:val="Form Field Caption 7pt"/>
    <w:basedOn w:val="Normal"/>
    <w:rsid w:val="002E4FB4"/>
    <w:pPr>
      <w:tabs>
        <w:tab w:val="left" w:pos="252"/>
      </w:tabs>
      <w:autoSpaceDE w:val="0"/>
      <w:autoSpaceDN w:val="0"/>
    </w:pPr>
    <w:rPr>
      <w:rFonts w:ascii="Arial" w:hAnsi="Arial" w:cs="Arial"/>
      <w:sz w:val="14"/>
      <w:szCs w:val="14"/>
      <w:lang w:val="en-US"/>
    </w:rPr>
  </w:style>
  <w:style w:type="paragraph" w:customStyle="1" w:styleId="PIHeader">
    <w:name w:val="PI Header"/>
    <w:basedOn w:val="Normal"/>
    <w:rsid w:val="002E4FB4"/>
    <w:pPr>
      <w:autoSpaceDE w:val="0"/>
      <w:autoSpaceDN w:val="0"/>
      <w:spacing w:after="40"/>
      <w:ind w:left="864"/>
    </w:pPr>
    <w:rPr>
      <w:rFonts w:ascii="Arial" w:hAnsi="Arial" w:cs="Arial"/>
      <w:noProof/>
      <w:sz w:val="16"/>
      <w:szCs w:val="20"/>
      <w:lang w:val="en-US"/>
    </w:rPr>
  </w:style>
  <w:style w:type="character" w:customStyle="1" w:styleId="DataField11pt-SingleChar">
    <w:name w:val="Data Field 11pt-Single Char"/>
    <w:basedOn w:val="DefaultParagraphFont"/>
    <w:link w:val="DataField11pt-Single"/>
    <w:rsid w:val="002E4FB4"/>
    <w:rPr>
      <w:rFonts w:ascii="Arial" w:eastAsia="Times New Roman" w:hAnsi="Arial" w:cs="Arial"/>
      <w:sz w:val="22"/>
      <w:szCs w:val="20"/>
    </w:rPr>
  </w:style>
  <w:style w:type="paragraph" w:customStyle="1" w:styleId="HeadNoteNotItalics">
    <w:name w:val="HeadNoteNotItalics"/>
    <w:basedOn w:val="HeadingNote"/>
    <w:rsid w:val="002E4FB4"/>
    <w:rPr>
      <w:i w:val="0"/>
    </w:rPr>
  </w:style>
  <w:style w:type="paragraph" w:styleId="ListParagraph">
    <w:name w:val="List Paragraph"/>
    <w:basedOn w:val="Normal"/>
    <w:uiPriority w:val="34"/>
    <w:rsid w:val="00A302EA"/>
    <w:pPr>
      <w:autoSpaceDE w:val="0"/>
      <w:autoSpaceDN w:val="0"/>
      <w:ind w:left="720"/>
      <w:contextualSpacing/>
    </w:pPr>
    <w:rPr>
      <w:rFonts w:cs="Arial"/>
      <w:lang w:val="en-US"/>
    </w:rPr>
  </w:style>
  <w:style w:type="paragraph" w:customStyle="1" w:styleId="PANormalLevelIA">
    <w:name w:val="PA Normal Level I/A"/>
    <w:rsid w:val="00A302EA"/>
    <w:pPr>
      <w:snapToGrid w:val="0"/>
    </w:pPr>
  </w:style>
  <w:style w:type="paragraph" w:customStyle="1" w:styleId="panormalleveliacxspmiddle">
    <w:name w:val="panormalleveliacxspmiddle"/>
    <w:basedOn w:val="Normal"/>
    <w:rsid w:val="00A302EA"/>
    <w:pPr>
      <w:spacing w:beforeLines="1" w:afterLines="1"/>
    </w:pPr>
    <w:rPr>
      <w:rFonts w:ascii="Times" w:eastAsiaTheme="minorEastAsia" w:hAnsi="Times" w:cs="Arial"/>
      <w:sz w:val="20"/>
      <w:szCs w:val="20"/>
      <w:lang w:val="en-US"/>
    </w:rPr>
  </w:style>
  <w:style w:type="paragraph" w:customStyle="1" w:styleId="panormalleveliacxsplast">
    <w:name w:val="panormalleveliacxsplast"/>
    <w:basedOn w:val="Normal"/>
    <w:rsid w:val="00A302EA"/>
    <w:pPr>
      <w:spacing w:beforeLines="1" w:afterLines="1"/>
    </w:pPr>
    <w:rPr>
      <w:rFonts w:ascii="Times" w:eastAsiaTheme="minorEastAsia" w:hAnsi="Times" w:cs="Arial"/>
      <w:sz w:val="20"/>
      <w:szCs w:val="20"/>
      <w:lang w:val="en-US"/>
    </w:rPr>
  </w:style>
  <w:style w:type="character" w:styleId="Strong">
    <w:name w:val="Strong"/>
    <w:basedOn w:val="DefaultParagraphFont"/>
    <w:uiPriority w:val="22"/>
    <w:qFormat/>
    <w:rsid w:val="00A302EA"/>
    <w:rPr>
      <w:b/>
      <w:bCs/>
    </w:rPr>
  </w:style>
  <w:style w:type="paragraph" w:customStyle="1" w:styleId="Default">
    <w:name w:val="Default"/>
    <w:rsid w:val="003F5CA4"/>
    <w:pPr>
      <w:suppressAutoHyphens/>
    </w:pPr>
    <w:rPr>
      <w:rFonts w:ascii="Arial" w:eastAsia="ヒラギノ角ゴ Pro W3" w:hAnsi="Arial" w:cs="Times New Roman"/>
      <w:color w:val="000000"/>
      <w:sz w:val="22"/>
      <w:szCs w:val="20"/>
    </w:rPr>
  </w:style>
  <w:style w:type="paragraph" w:styleId="BalloonText">
    <w:name w:val="Balloon Text"/>
    <w:basedOn w:val="Normal"/>
    <w:link w:val="BalloonTextChar"/>
    <w:uiPriority w:val="99"/>
    <w:semiHidden/>
    <w:unhideWhenUsed/>
    <w:rsid w:val="008312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20B"/>
    <w:rPr>
      <w:rFonts w:ascii="Lucida Grande" w:eastAsia="Times New Roman" w:hAnsi="Lucida Grande" w:cs="Lucida Grande"/>
      <w:sz w:val="18"/>
      <w:szCs w:val="18"/>
    </w:rPr>
  </w:style>
  <w:style w:type="paragraph" w:customStyle="1" w:styleId="Subtitle2">
    <w:name w:val="Subtitle 2"/>
    <w:rsid w:val="000555DC"/>
    <w:pPr>
      <w:keepNext/>
      <w:spacing w:before="240"/>
    </w:pPr>
    <w:rPr>
      <w:rFonts w:ascii="Arial" w:eastAsia="ヒラギノ角ゴ Pro W3" w:hAnsi="Arial" w:cs="Times New Roman"/>
      <w:b/>
      <w:color w:val="000000"/>
      <w:sz w:val="22"/>
      <w:szCs w:val="20"/>
      <w:u w:val="single"/>
    </w:rPr>
  </w:style>
  <w:style w:type="character" w:styleId="Hyperlink">
    <w:name w:val="Hyperlink"/>
    <w:basedOn w:val="DefaultParagraphFont"/>
    <w:uiPriority w:val="99"/>
    <w:unhideWhenUsed/>
    <w:rsid w:val="004016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545738">
      <w:bodyDiv w:val="1"/>
      <w:marLeft w:val="0"/>
      <w:marRight w:val="0"/>
      <w:marTop w:val="0"/>
      <w:marBottom w:val="0"/>
      <w:divBdr>
        <w:top w:val="none" w:sz="0" w:space="0" w:color="auto"/>
        <w:left w:val="none" w:sz="0" w:space="0" w:color="auto"/>
        <w:bottom w:val="none" w:sz="0" w:space="0" w:color="auto"/>
        <w:right w:val="none" w:sz="0" w:space="0" w:color="auto"/>
      </w:divBdr>
      <w:divsChild>
        <w:div w:id="629432448">
          <w:marLeft w:val="0"/>
          <w:marRight w:val="0"/>
          <w:marTop w:val="0"/>
          <w:marBottom w:val="0"/>
          <w:divBdr>
            <w:top w:val="none" w:sz="0" w:space="0" w:color="auto"/>
            <w:left w:val="none" w:sz="0" w:space="0" w:color="auto"/>
            <w:bottom w:val="none" w:sz="0" w:space="0" w:color="auto"/>
            <w:right w:val="none" w:sz="0" w:space="0" w:color="auto"/>
          </w:divBdr>
          <w:divsChild>
            <w:div w:id="270013845">
              <w:marLeft w:val="0"/>
              <w:marRight w:val="0"/>
              <w:marTop w:val="0"/>
              <w:marBottom w:val="0"/>
              <w:divBdr>
                <w:top w:val="none" w:sz="0" w:space="0" w:color="auto"/>
                <w:left w:val="none" w:sz="0" w:space="0" w:color="auto"/>
                <w:bottom w:val="none" w:sz="0" w:space="0" w:color="auto"/>
                <w:right w:val="none" w:sz="0" w:space="0" w:color="auto"/>
              </w:divBdr>
              <w:divsChild>
                <w:div w:id="1018700216">
                  <w:marLeft w:val="0"/>
                  <w:marRight w:val="0"/>
                  <w:marTop w:val="0"/>
                  <w:marBottom w:val="0"/>
                  <w:divBdr>
                    <w:top w:val="none" w:sz="0" w:space="0" w:color="auto"/>
                    <w:left w:val="none" w:sz="0" w:space="0" w:color="auto"/>
                    <w:bottom w:val="none" w:sz="0" w:space="0" w:color="auto"/>
                    <w:right w:val="none" w:sz="0" w:space="0" w:color="auto"/>
                  </w:divBdr>
                </w:div>
                <w:div w:id="781068538">
                  <w:marLeft w:val="0"/>
                  <w:marRight w:val="0"/>
                  <w:marTop w:val="0"/>
                  <w:marBottom w:val="0"/>
                  <w:divBdr>
                    <w:top w:val="none" w:sz="0" w:space="0" w:color="auto"/>
                    <w:left w:val="none" w:sz="0" w:space="0" w:color="auto"/>
                    <w:bottom w:val="none" w:sz="0" w:space="0" w:color="auto"/>
                    <w:right w:val="none" w:sz="0" w:space="0" w:color="auto"/>
                  </w:divBdr>
                </w:div>
              </w:divsChild>
            </w:div>
            <w:div w:id="1047488557">
              <w:marLeft w:val="0"/>
              <w:marRight w:val="0"/>
              <w:marTop w:val="0"/>
              <w:marBottom w:val="0"/>
              <w:divBdr>
                <w:top w:val="none" w:sz="0" w:space="0" w:color="auto"/>
                <w:left w:val="none" w:sz="0" w:space="0" w:color="auto"/>
                <w:bottom w:val="none" w:sz="0" w:space="0" w:color="auto"/>
                <w:right w:val="none" w:sz="0" w:space="0" w:color="auto"/>
              </w:divBdr>
              <w:divsChild>
                <w:div w:id="1766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8796">
          <w:marLeft w:val="0"/>
          <w:marRight w:val="0"/>
          <w:marTop w:val="0"/>
          <w:marBottom w:val="0"/>
          <w:divBdr>
            <w:top w:val="none" w:sz="0" w:space="0" w:color="auto"/>
            <w:left w:val="none" w:sz="0" w:space="0" w:color="auto"/>
            <w:bottom w:val="none" w:sz="0" w:space="0" w:color="auto"/>
            <w:right w:val="none" w:sz="0" w:space="0" w:color="auto"/>
          </w:divBdr>
          <w:divsChild>
            <w:div w:id="1516311595">
              <w:marLeft w:val="0"/>
              <w:marRight w:val="0"/>
              <w:marTop w:val="0"/>
              <w:marBottom w:val="0"/>
              <w:divBdr>
                <w:top w:val="none" w:sz="0" w:space="0" w:color="auto"/>
                <w:left w:val="none" w:sz="0" w:space="0" w:color="auto"/>
                <w:bottom w:val="none" w:sz="0" w:space="0" w:color="auto"/>
                <w:right w:val="none" w:sz="0" w:space="0" w:color="auto"/>
              </w:divBdr>
              <w:divsChild>
                <w:div w:id="682048195">
                  <w:marLeft w:val="0"/>
                  <w:marRight w:val="0"/>
                  <w:marTop w:val="0"/>
                  <w:marBottom w:val="0"/>
                  <w:divBdr>
                    <w:top w:val="none" w:sz="0" w:space="0" w:color="auto"/>
                    <w:left w:val="none" w:sz="0" w:space="0" w:color="auto"/>
                    <w:bottom w:val="none" w:sz="0" w:space="0" w:color="auto"/>
                    <w:right w:val="none" w:sz="0" w:space="0" w:color="auto"/>
                  </w:divBdr>
                </w:div>
              </w:divsChild>
            </w:div>
            <w:div w:id="1022824081">
              <w:marLeft w:val="0"/>
              <w:marRight w:val="0"/>
              <w:marTop w:val="0"/>
              <w:marBottom w:val="0"/>
              <w:divBdr>
                <w:top w:val="none" w:sz="0" w:space="0" w:color="auto"/>
                <w:left w:val="none" w:sz="0" w:space="0" w:color="auto"/>
                <w:bottom w:val="none" w:sz="0" w:space="0" w:color="auto"/>
                <w:right w:val="none" w:sz="0" w:space="0" w:color="auto"/>
              </w:divBdr>
              <w:divsChild>
                <w:div w:id="1329016821">
                  <w:marLeft w:val="0"/>
                  <w:marRight w:val="0"/>
                  <w:marTop w:val="0"/>
                  <w:marBottom w:val="0"/>
                  <w:divBdr>
                    <w:top w:val="none" w:sz="0" w:space="0" w:color="auto"/>
                    <w:left w:val="none" w:sz="0" w:space="0" w:color="auto"/>
                    <w:bottom w:val="none" w:sz="0" w:space="0" w:color="auto"/>
                    <w:right w:val="none" w:sz="0" w:space="0" w:color="auto"/>
                  </w:divBdr>
                </w:div>
                <w:div w:id="1803376090">
                  <w:marLeft w:val="0"/>
                  <w:marRight w:val="0"/>
                  <w:marTop w:val="0"/>
                  <w:marBottom w:val="0"/>
                  <w:divBdr>
                    <w:top w:val="none" w:sz="0" w:space="0" w:color="auto"/>
                    <w:left w:val="none" w:sz="0" w:space="0" w:color="auto"/>
                    <w:bottom w:val="none" w:sz="0" w:space="0" w:color="auto"/>
                    <w:right w:val="none" w:sz="0" w:space="0" w:color="auto"/>
                  </w:divBdr>
                </w:div>
              </w:divsChild>
            </w:div>
            <w:div w:id="973413651">
              <w:marLeft w:val="0"/>
              <w:marRight w:val="0"/>
              <w:marTop w:val="0"/>
              <w:marBottom w:val="0"/>
              <w:divBdr>
                <w:top w:val="none" w:sz="0" w:space="0" w:color="auto"/>
                <w:left w:val="none" w:sz="0" w:space="0" w:color="auto"/>
                <w:bottom w:val="none" w:sz="0" w:space="0" w:color="auto"/>
                <w:right w:val="none" w:sz="0" w:space="0" w:color="auto"/>
              </w:divBdr>
              <w:divsChild>
                <w:div w:id="13046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49955">
          <w:marLeft w:val="0"/>
          <w:marRight w:val="0"/>
          <w:marTop w:val="0"/>
          <w:marBottom w:val="0"/>
          <w:divBdr>
            <w:top w:val="none" w:sz="0" w:space="0" w:color="auto"/>
            <w:left w:val="none" w:sz="0" w:space="0" w:color="auto"/>
            <w:bottom w:val="none" w:sz="0" w:space="0" w:color="auto"/>
            <w:right w:val="none" w:sz="0" w:space="0" w:color="auto"/>
          </w:divBdr>
          <w:divsChild>
            <w:div w:id="206181917">
              <w:marLeft w:val="0"/>
              <w:marRight w:val="0"/>
              <w:marTop w:val="0"/>
              <w:marBottom w:val="0"/>
              <w:divBdr>
                <w:top w:val="none" w:sz="0" w:space="0" w:color="auto"/>
                <w:left w:val="none" w:sz="0" w:space="0" w:color="auto"/>
                <w:bottom w:val="none" w:sz="0" w:space="0" w:color="auto"/>
                <w:right w:val="none" w:sz="0" w:space="0" w:color="auto"/>
              </w:divBdr>
              <w:divsChild>
                <w:div w:id="1916473762">
                  <w:marLeft w:val="0"/>
                  <w:marRight w:val="0"/>
                  <w:marTop w:val="0"/>
                  <w:marBottom w:val="0"/>
                  <w:divBdr>
                    <w:top w:val="none" w:sz="0" w:space="0" w:color="auto"/>
                    <w:left w:val="none" w:sz="0" w:space="0" w:color="auto"/>
                    <w:bottom w:val="none" w:sz="0" w:space="0" w:color="auto"/>
                    <w:right w:val="none" w:sz="0" w:space="0" w:color="auto"/>
                  </w:divBdr>
                </w:div>
              </w:divsChild>
            </w:div>
            <w:div w:id="519049787">
              <w:marLeft w:val="0"/>
              <w:marRight w:val="0"/>
              <w:marTop w:val="0"/>
              <w:marBottom w:val="0"/>
              <w:divBdr>
                <w:top w:val="none" w:sz="0" w:space="0" w:color="auto"/>
                <w:left w:val="none" w:sz="0" w:space="0" w:color="auto"/>
                <w:bottom w:val="none" w:sz="0" w:space="0" w:color="auto"/>
                <w:right w:val="none" w:sz="0" w:space="0" w:color="auto"/>
              </w:divBdr>
              <w:divsChild>
                <w:div w:id="15424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26803">
      <w:bodyDiv w:val="1"/>
      <w:marLeft w:val="0"/>
      <w:marRight w:val="0"/>
      <w:marTop w:val="0"/>
      <w:marBottom w:val="0"/>
      <w:divBdr>
        <w:top w:val="none" w:sz="0" w:space="0" w:color="auto"/>
        <w:left w:val="none" w:sz="0" w:space="0" w:color="auto"/>
        <w:bottom w:val="none" w:sz="0" w:space="0" w:color="auto"/>
        <w:right w:val="none" w:sz="0" w:space="0" w:color="auto"/>
      </w:divBdr>
      <w:divsChild>
        <w:div w:id="684482489">
          <w:marLeft w:val="0"/>
          <w:marRight w:val="0"/>
          <w:marTop w:val="0"/>
          <w:marBottom w:val="0"/>
          <w:divBdr>
            <w:top w:val="none" w:sz="0" w:space="0" w:color="auto"/>
            <w:left w:val="none" w:sz="0" w:space="0" w:color="auto"/>
            <w:bottom w:val="none" w:sz="0" w:space="0" w:color="auto"/>
            <w:right w:val="none" w:sz="0" w:space="0" w:color="auto"/>
          </w:divBdr>
          <w:divsChild>
            <w:div w:id="200631090">
              <w:marLeft w:val="0"/>
              <w:marRight w:val="0"/>
              <w:marTop w:val="0"/>
              <w:marBottom w:val="0"/>
              <w:divBdr>
                <w:top w:val="none" w:sz="0" w:space="0" w:color="auto"/>
                <w:left w:val="none" w:sz="0" w:space="0" w:color="auto"/>
                <w:bottom w:val="none" w:sz="0" w:space="0" w:color="auto"/>
                <w:right w:val="none" w:sz="0" w:space="0" w:color="auto"/>
              </w:divBdr>
              <w:divsChild>
                <w:div w:id="7164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9205">
          <w:marLeft w:val="0"/>
          <w:marRight w:val="0"/>
          <w:marTop w:val="0"/>
          <w:marBottom w:val="0"/>
          <w:divBdr>
            <w:top w:val="none" w:sz="0" w:space="0" w:color="auto"/>
            <w:left w:val="none" w:sz="0" w:space="0" w:color="auto"/>
            <w:bottom w:val="none" w:sz="0" w:space="0" w:color="auto"/>
            <w:right w:val="none" w:sz="0" w:space="0" w:color="auto"/>
          </w:divBdr>
          <w:divsChild>
            <w:div w:id="1275134669">
              <w:marLeft w:val="0"/>
              <w:marRight w:val="0"/>
              <w:marTop w:val="0"/>
              <w:marBottom w:val="0"/>
              <w:divBdr>
                <w:top w:val="none" w:sz="0" w:space="0" w:color="auto"/>
                <w:left w:val="none" w:sz="0" w:space="0" w:color="auto"/>
                <w:bottom w:val="none" w:sz="0" w:space="0" w:color="auto"/>
                <w:right w:val="none" w:sz="0" w:space="0" w:color="auto"/>
              </w:divBdr>
              <w:divsChild>
                <w:div w:id="1630822435">
                  <w:marLeft w:val="0"/>
                  <w:marRight w:val="0"/>
                  <w:marTop w:val="0"/>
                  <w:marBottom w:val="0"/>
                  <w:divBdr>
                    <w:top w:val="none" w:sz="0" w:space="0" w:color="auto"/>
                    <w:left w:val="none" w:sz="0" w:space="0" w:color="auto"/>
                    <w:bottom w:val="none" w:sz="0" w:space="0" w:color="auto"/>
                    <w:right w:val="none" w:sz="0" w:space="0" w:color="auto"/>
                  </w:divBdr>
                </w:div>
              </w:divsChild>
            </w:div>
            <w:div w:id="638193426">
              <w:marLeft w:val="0"/>
              <w:marRight w:val="0"/>
              <w:marTop w:val="0"/>
              <w:marBottom w:val="0"/>
              <w:divBdr>
                <w:top w:val="none" w:sz="0" w:space="0" w:color="auto"/>
                <w:left w:val="none" w:sz="0" w:space="0" w:color="auto"/>
                <w:bottom w:val="none" w:sz="0" w:space="0" w:color="auto"/>
                <w:right w:val="none" w:sz="0" w:space="0" w:color="auto"/>
              </w:divBdr>
              <w:divsChild>
                <w:div w:id="2324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52012">
      <w:bodyDiv w:val="1"/>
      <w:marLeft w:val="0"/>
      <w:marRight w:val="0"/>
      <w:marTop w:val="0"/>
      <w:marBottom w:val="0"/>
      <w:divBdr>
        <w:top w:val="none" w:sz="0" w:space="0" w:color="auto"/>
        <w:left w:val="none" w:sz="0" w:space="0" w:color="auto"/>
        <w:bottom w:val="none" w:sz="0" w:space="0" w:color="auto"/>
        <w:right w:val="none" w:sz="0" w:space="0" w:color="auto"/>
      </w:divBdr>
      <w:divsChild>
        <w:div w:id="346638470">
          <w:marLeft w:val="0"/>
          <w:marRight w:val="0"/>
          <w:marTop w:val="0"/>
          <w:marBottom w:val="0"/>
          <w:divBdr>
            <w:top w:val="none" w:sz="0" w:space="0" w:color="auto"/>
            <w:left w:val="none" w:sz="0" w:space="0" w:color="auto"/>
            <w:bottom w:val="none" w:sz="0" w:space="0" w:color="auto"/>
            <w:right w:val="none" w:sz="0" w:space="0" w:color="auto"/>
          </w:divBdr>
          <w:divsChild>
            <w:div w:id="227034272">
              <w:marLeft w:val="0"/>
              <w:marRight w:val="0"/>
              <w:marTop w:val="0"/>
              <w:marBottom w:val="0"/>
              <w:divBdr>
                <w:top w:val="none" w:sz="0" w:space="0" w:color="auto"/>
                <w:left w:val="none" w:sz="0" w:space="0" w:color="auto"/>
                <w:bottom w:val="none" w:sz="0" w:space="0" w:color="auto"/>
                <w:right w:val="none" w:sz="0" w:space="0" w:color="auto"/>
              </w:divBdr>
              <w:divsChild>
                <w:div w:id="879515671">
                  <w:marLeft w:val="0"/>
                  <w:marRight w:val="0"/>
                  <w:marTop w:val="0"/>
                  <w:marBottom w:val="0"/>
                  <w:divBdr>
                    <w:top w:val="none" w:sz="0" w:space="0" w:color="auto"/>
                    <w:left w:val="none" w:sz="0" w:space="0" w:color="auto"/>
                    <w:bottom w:val="none" w:sz="0" w:space="0" w:color="auto"/>
                    <w:right w:val="none" w:sz="0" w:space="0" w:color="auto"/>
                  </w:divBdr>
                </w:div>
              </w:divsChild>
            </w:div>
            <w:div w:id="911737700">
              <w:marLeft w:val="0"/>
              <w:marRight w:val="0"/>
              <w:marTop w:val="0"/>
              <w:marBottom w:val="0"/>
              <w:divBdr>
                <w:top w:val="none" w:sz="0" w:space="0" w:color="auto"/>
                <w:left w:val="none" w:sz="0" w:space="0" w:color="auto"/>
                <w:bottom w:val="none" w:sz="0" w:space="0" w:color="auto"/>
                <w:right w:val="none" w:sz="0" w:space="0" w:color="auto"/>
              </w:divBdr>
              <w:divsChild>
                <w:div w:id="13790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31392">
          <w:marLeft w:val="0"/>
          <w:marRight w:val="0"/>
          <w:marTop w:val="0"/>
          <w:marBottom w:val="0"/>
          <w:divBdr>
            <w:top w:val="none" w:sz="0" w:space="0" w:color="auto"/>
            <w:left w:val="none" w:sz="0" w:space="0" w:color="auto"/>
            <w:bottom w:val="none" w:sz="0" w:space="0" w:color="auto"/>
            <w:right w:val="none" w:sz="0" w:space="0" w:color="auto"/>
          </w:divBdr>
          <w:divsChild>
            <w:div w:id="1176459615">
              <w:marLeft w:val="0"/>
              <w:marRight w:val="0"/>
              <w:marTop w:val="0"/>
              <w:marBottom w:val="0"/>
              <w:divBdr>
                <w:top w:val="none" w:sz="0" w:space="0" w:color="auto"/>
                <w:left w:val="none" w:sz="0" w:space="0" w:color="auto"/>
                <w:bottom w:val="none" w:sz="0" w:space="0" w:color="auto"/>
                <w:right w:val="none" w:sz="0" w:space="0" w:color="auto"/>
              </w:divBdr>
              <w:divsChild>
                <w:div w:id="15990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Allen-Vercoe</dc:creator>
  <cp:keywords/>
  <cp:lastModifiedBy>Gregory B. Gloor</cp:lastModifiedBy>
  <cp:revision>4</cp:revision>
  <cp:lastPrinted>2012-01-19T18:52:00Z</cp:lastPrinted>
  <dcterms:created xsi:type="dcterms:W3CDTF">2016-09-09T12:56:00Z</dcterms:created>
  <dcterms:modified xsi:type="dcterms:W3CDTF">2022-01-26T15:44:00Z</dcterms:modified>
</cp:coreProperties>
</file>