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CCD42">
      <w:pPr>
        <w:widowControl w:val="0"/>
        <w:numPr>
          <w:ilvl w:val="0"/>
          <w:numId w:val="0"/>
        </w:numPr>
        <w:jc w:val="both"/>
        <w:rPr>
          <w:rFonts w:hint="eastAsia"/>
          <w:b/>
          <w:bCs/>
          <w:sz w:val="32"/>
          <w:szCs w:val="32"/>
        </w:rPr>
      </w:pPr>
    </w:p>
    <w:p w14:paraId="68B4CA4C">
      <w:pPr>
        <w:widowControl w:val="0"/>
        <w:numPr>
          <w:ilvl w:val="0"/>
          <w:numId w:val="0"/>
        </w:numPr>
        <w:jc w:val="both"/>
        <w:rPr>
          <w:rFonts w:hint="eastAsia"/>
          <w:b/>
          <w:bCs/>
          <w:sz w:val="32"/>
          <w:szCs w:val="32"/>
        </w:rPr>
      </w:pPr>
    </w:p>
    <w:p w14:paraId="178EEE8F">
      <w:pPr>
        <w:widowControl w:val="0"/>
        <w:numPr>
          <w:ilvl w:val="0"/>
          <w:numId w:val="0"/>
        </w:numPr>
        <w:jc w:val="both"/>
        <w:rPr>
          <w:rFonts w:hint="eastAsia"/>
          <w:b/>
          <w:bCs/>
          <w:sz w:val="32"/>
          <w:szCs w:val="32"/>
        </w:rPr>
      </w:pPr>
    </w:p>
    <w:p w14:paraId="469DAE89">
      <w:pPr>
        <w:widowControl w:val="0"/>
        <w:numPr>
          <w:ilvl w:val="0"/>
          <w:numId w:val="0"/>
        </w:numPr>
        <w:jc w:val="both"/>
        <w:rPr>
          <w:rFonts w:hint="eastAsia"/>
          <w:b/>
          <w:bCs/>
          <w:sz w:val="32"/>
          <w:szCs w:val="32"/>
        </w:rPr>
      </w:pPr>
    </w:p>
    <w:p w14:paraId="340D371E">
      <w:pPr>
        <w:widowControl w:val="0"/>
        <w:numPr>
          <w:ilvl w:val="0"/>
          <w:numId w:val="0"/>
        </w:numPr>
        <w:jc w:val="both"/>
        <w:rPr>
          <w:rFonts w:hint="eastAsia"/>
          <w:b/>
          <w:bCs/>
          <w:sz w:val="32"/>
          <w:szCs w:val="32"/>
        </w:rPr>
      </w:pPr>
    </w:p>
    <w:p w14:paraId="6BCBBC14">
      <w:pPr>
        <w:widowControl w:val="0"/>
        <w:numPr>
          <w:ilvl w:val="0"/>
          <w:numId w:val="0"/>
        </w:numPr>
        <w:jc w:val="both"/>
        <w:rPr>
          <w:rFonts w:hint="eastAsia"/>
          <w:b/>
          <w:bCs/>
          <w:sz w:val="32"/>
          <w:szCs w:val="32"/>
        </w:rPr>
      </w:pPr>
    </w:p>
    <w:p w14:paraId="7C283224">
      <w:pPr>
        <w:widowControl w:val="0"/>
        <w:numPr>
          <w:ilvl w:val="0"/>
          <w:numId w:val="0"/>
        </w:numPr>
        <w:jc w:val="both"/>
        <w:rPr>
          <w:rFonts w:hint="eastAsia"/>
          <w:b/>
          <w:bCs/>
          <w:sz w:val="32"/>
          <w:szCs w:val="32"/>
        </w:rPr>
      </w:pPr>
    </w:p>
    <w:p w14:paraId="524E9A22">
      <w:pPr>
        <w:widowControl w:val="0"/>
        <w:numPr>
          <w:ilvl w:val="0"/>
          <w:numId w:val="0"/>
        </w:numPr>
        <w:jc w:val="center"/>
        <w:rPr>
          <w:rFonts w:hint="default" w:eastAsiaTheme="minorEastAsia"/>
          <w:b/>
          <w:bCs/>
          <w:sz w:val="56"/>
          <w:szCs w:val="56"/>
          <w:lang w:val="en-US" w:eastAsia="zh-CN"/>
        </w:rPr>
      </w:pPr>
      <w:r>
        <w:rPr>
          <w:rFonts w:hint="eastAsia"/>
          <w:b/>
          <w:bCs/>
          <w:sz w:val="56"/>
          <w:szCs w:val="56"/>
          <w:lang w:val="en-US" w:eastAsia="zh-CN"/>
        </w:rPr>
        <w:t>适老化游戏设计与数据分析报告</w:t>
      </w:r>
    </w:p>
    <w:p w14:paraId="6D8C7D67">
      <w:pPr>
        <w:widowControl w:val="0"/>
        <w:numPr>
          <w:ilvl w:val="0"/>
          <w:numId w:val="0"/>
        </w:numPr>
        <w:jc w:val="both"/>
        <w:rPr>
          <w:rFonts w:hint="eastAsia"/>
          <w:b/>
          <w:bCs/>
          <w:sz w:val="32"/>
          <w:szCs w:val="32"/>
        </w:rPr>
      </w:pPr>
    </w:p>
    <w:p w14:paraId="73723B0D">
      <w:pPr>
        <w:widowControl w:val="0"/>
        <w:numPr>
          <w:ilvl w:val="0"/>
          <w:numId w:val="0"/>
        </w:numPr>
        <w:jc w:val="both"/>
        <w:rPr>
          <w:rFonts w:hint="eastAsia"/>
          <w:b/>
          <w:bCs/>
          <w:sz w:val="32"/>
          <w:szCs w:val="32"/>
        </w:rPr>
      </w:pPr>
    </w:p>
    <w:p w14:paraId="5CF4AC41">
      <w:pPr>
        <w:widowControl w:val="0"/>
        <w:numPr>
          <w:ilvl w:val="0"/>
          <w:numId w:val="0"/>
        </w:numPr>
        <w:jc w:val="both"/>
        <w:rPr>
          <w:rFonts w:hint="eastAsia"/>
          <w:b/>
          <w:bCs/>
          <w:sz w:val="32"/>
          <w:szCs w:val="32"/>
        </w:rPr>
      </w:pPr>
    </w:p>
    <w:p w14:paraId="6FC99444">
      <w:pPr>
        <w:widowControl w:val="0"/>
        <w:numPr>
          <w:ilvl w:val="0"/>
          <w:numId w:val="0"/>
        </w:numPr>
        <w:jc w:val="both"/>
        <w:rPr>
          <w:rFonts w:hint="eastAsia"/>
          <w:b/>
          <w:bCs/>
          <w:sz w:val="32"/>
          <w:szCs w:val="32"/>
        </w:rPr>
      </w:pPr>
    </w:p>
    <w:p w14:paraId="768DE874">
      <w:pPr>
        <w:widowControl w:val="0"/>
        <w:numPr>
          <w:ilvl w:val="0"/>
          <w:numId w:val="0"/>
        </w:numPr>
        <w:jc w:val="both"/>
        <w:rPr>
          <w:rFonts w:hint="eastAsia"/>
          <w:b/>
          <w:bCs/>
          <w:sz w:val="32"/>
          <w:szCs w:val="32"/>
        </w:rPr>
      </w:pPr>
    </w:p>
    <w:p w14:paraId="681443D8">
      <w:pPr>
        <w:widowControl w:val="0"/>
        <w:numPr>
          <w:ilvl w:val="0"/>
          <w:numId w:val="0"/>
        </w:numPr>
        <w:ind w:firstLine="2240" w:firstLineChars="700"/>
        <w:jc w:val="both"/>
        <w:rPr>
          <w:rFonts w:hint="default" w:eastAsiaTheme="minorEastAsia"/>
          <w:b w:val="0"/>
          <w:bCs w:val="0"/>
          <w:sz w:val="32"/>
          <w:szCs w:val="32"/>
          <w:lang w:val="en-US" w:eastAsia="zh-CN"/>
        </w:rPr>
      </w:pPr>
      <w:r>
        <w:rPr>
          <w:rFonts w:hint="eastAsia"/>
          <w:b w:val="0"/>
          <w:bCs w:val="0"/>
          <w:sz w:val="32"/>
          <w:szCs w:val="32"/>
          <w:lang w:val="en-US" w:eastAsia="zh-CN"/>
        </w:rPr>
        <w:t>指导教师：  刘建军</w:t>
      </w:r>
    </w:p>
    <w:p w14:paraId="1EF3BE8F">
      <w:pPr>
        <w:widowControl w:val="0"/>
        <w:numPr>
          <w:ilvl w:val="0"/>
          <w:numId w:val="0"/>
        </w:numPr>
        <w:ind w:firstLine="2240" w:firstLineChars="700"/>
        <w:jc w:val="both"/>
        <w:rPr>
          <w:rFonts w:hint="eastAsia"/>
          <w:b w:val="0"/>
          <w:bCs w:val="0"/>
          <w:sz w:val="32"/>
          <w:szCs w:val="32"/>
          <w:lang w:val="en-US" w:eastAsia="zh-CN"/>
        </w:rPr>
      </w:pPr>
      <w:r>
        <w:rPr>
          <w:rFonts w:hint="eastAsia"/>
          <w:b w:val="0"/>
          <w:bCs w:val="0"/>
          <w:sz w:val="32"/>
          <w:szCs w:val="32"/>
          <w:lang w:val="en-US" w:eastAsia="zh-CN"/>
        </w:rPr>
        <w:t>提交学生：  王钰琪</w:t>
      </w:r>
    </w:p>
    <w:p w14:paraId="64540732">
      <w:pPr>
        <w:widowControl w:val="0"/>
        <w:numPr>
          <w:ilvl w:val="0"/>
          <w:numId w:val="0"/>
        </w:numPr>
        <w:ind w:firstLine="2240" w:firstLineChars="700"/>
        <w:jc w:val="both"/>
        <w:rPr>
          <w:rFonts w:hint="default"/>
          <w:b w:val="0"/>
          <w:bCs w:val="0"/>
          <w:sz w:val="32"/>
          <w:szCs w:val="32"/>
          <w:lang w:val="en-US" w:eastAsia="zh-CN"/>
        </w:rPr>
      </w:pPr>
      <w:r>
        <w:rPr>
          <w:rFonts w:hint="eastAsia"/>
          <w:b w:val="0"/>
          <w:bCs w:val="0"/>
          <w:sz w:val="32"/>
          <w:szCs w:val="32"/>
          <w:lang w:val="en-US" w:eastAsia="zh-CN"/>
        </w:rPr>
        <w:t>班    级：建艺工2301</w:t>
      </w:r>
    </w:p>
    <w:p w14:paraId="26523094">
      <w:pPr>
        <w:widowControl w:val="0"/>
        <w:numPr>
          <w:ilvl w:val="0"/>
          <w:numId w:val="0"/>
        </w:numPr>
        <w:ind w:firstLine="2240" w:firstLineChars="700"/>
        <w:jc w:val="both"/>
        <w:rPr>
          <w:rFonts w:hint="default" w:eastAsiaTheme="minorEastAsia"/>
          <w:b w:val="0"/>
          <w:bCs w:val="0"/>
          <w:sz w:val="32"/>
          <w:szCs w:val="32"/>
          <w:lang w:val="en-US" w:eastAsia="zh-CN"/>
        </w:rPr>
      </w:pPr>
      <w:r>
        <w:rPr>
          <w:rFonts w:hint="eastAsia"/>
          <w:b w:val="0"/>
          <w:bCs w:val="0"/>
          <w:sz w:val="32"/>
          <w:szCs w:val="32"/>
          <w:lang w:val="en-US" w:eastAsia="zh-CN"/>
        </w:rPr>
        <w:t>学    号：20231121081</w:t>
      </w:r>
    </w:p>
    <w:p w14:paraId="142D1CC2">
      <w:pPr>
        <w:widowControl w:val="0"/>
        <w:numPr>
          <w:ilvl w:val="0"/>
          <w:numId w:val="0"/>
        </w:numPr>
        <w:jc w:val="both"/>
        <w:rPr>
          <w:rFonts w:hint="eastAsia"/>
          <w:b w:val="0"/>
          <w:bCs w:val="0"/>
          <w:sz w:val="32"/>
          <w:szCs w:val="32"/>
        </w:rPr>
      </w:pPr>
    </w:p>
    <w:p w14:paraId="7C3D60F8">
      <w:pPr>
        <w:widowControl w:val="0"/>
        <w:numPr>
          <w:ilvl w:val="0"/>
          <w:numId w:val="0"/>
        </w:numPr>
        <w:jc w:val="both"/>
        <w:rPr>
          <w:rFonts w:hint="eastAsia"/>
          <w:b/>
          <w:bCs/>
          <w:sz w:val="32"/>
          <w:szCs w:val="32"/>
        </w:rPr>
      </w:pPr>
    </w:p>
    <w:p w14:paraId="1A5CB127">
      <w:pPr>
        <w:widowControl w:val="0"/>
        <w:numPr>
          <w:ilvl w:val="0"/>
          <w:numId w:val="0"/>
        </w:numPr>
        <w:ind w:firstLine="2249" w:firstLineChars="800"/>
        <w:jc w:val="both"/>
        <w:rPr>
          <w:rFonts w:hint="default" w:eastAsiaTheme="minorEastAsia"/>
          <w:b/>
          <w:bCs/>
          <w:sz w:val="28"/>
          <w:szCs w:val="28"/>
          <w:lang w:val="en-US" w:eastAsia="zh-CN"/>
        </w:rPr>
      </w:pPr>
      <w:r>
        <w:rPr>
          <w:rFonts w:hint="eastAsia"/>
          <w:b/>
          <w:bCs/>
          <w:sz w:val="28"/>
          <w:szCs w:val="28"/>
          <w:lang w:val="en-US" w:eastAsia="zh-CN"/>
        </w:rPr>
        <w:t>完成日期：2025年11月</w:t>
      </w:r>
    </w:p>
    <w:p w14:paraId="1243CD21">
      <w:pPr>
        <w:widowControl w:val="0"/>
        <w:numPr>
          <w:ilvl w:val="0"/>
          <w:numId w:val="0"/>
        </w:numPr>
        <w:jc w:val="both"/>
        <w:rPr>
          <w:rFonts w:hint="eastAsia"/>
          <w:b/>
          <w:bCs/>
          <w:sz w:val="32"/>
          <w:szCs w:val="32"/>
        </w:rPr>
      </w:pPr>
    </w:p>
    <w:p w14:paraId="04411F02">
      <w:pPr>
        <w:widowControl w:val="0"/>
        <w:numPr>
          <w:ilvl w:val="0"/>
          <w:numId w:val="0"/>
        </w:numPr>
        <w:jc w:val="both"/>
        <w:rPr>
          <w:rFonts w:hint="eastAsia"/>
          <w:b/>
          <w:bCs/>
          <w:sz w:val="32"/>
          <w:szCs w:val="32"/>
        </w:rPr>
      </w:pPr>
    </w:p>
    <w:sdt>
      <w:sdtPr>
        <w:rPr>
          <w:rFonts w:ascii="宋体" w:hAnsi="宋体" w:eastAsia="宋体" w:cstheme="minorBidi"/>
          <w:kern w:val="2"/>
          <w:sz w:val="21"/>
          <w:szCs w:val="24"/>
          <w:lang w:val="en-US" w:eastAsia="zh-CN" w:bidi="ar-SA"/>
        </w:rPr>
        <w:id w:val="147478857"/>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06D8068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61AAC6B">
          <w:pPr>
            <w:pStyle w:val="10"/>
            <w:tabs>
              <w:tab w:val="right" w:leader="dot" w:pos="8306"/>
            </w:tabs>
          </w:pPr>
          <w:r>
            <w:fldChar w:fldCharType="begin"/>
          </w:r>
          <w:r>
            <w:instrText xml:space="preserve">TOC \o "1-9" \h \u </w:instrText>
          </w:r>
          <w:r>
            <w:fldChar w:fldCharType="separate"/>
          </w:r>
          <w:r>
            <w:fldChar w:fldCharType="begin"/>
          </w:r>
          <w:r>
            <w:instrText xml:space="preserve"> HYPERLINK \l _Toc13870 </w:instrText>
          </w:r>
          <w:r>
            <w:fldChar w:fldCharType="separate"/>
          </w:r>
          <w:r>
            <w:rPr>
              <w:rFonts w:hint="eastAsia"/>
            </w:rPr>
            <w:t>第一章 调研概述</w:t>
          </w:r>
          <w:r>
            <w:tab/>
          </w:r>
          <w:r>
            <w:fldChar w:fldCharType="begin"/>
          </w:r>
          <w:r>
            <w:instrText xml:space="preserve"> PAGEREF _Toc13870 \h </w:instrText>
          </w:r>
          <w:r>
            <w:fldChar w:fldCharType="separate"/>
          </w:r>
          <w:r>
            <w:t>4</w:t>
          </w:r>
          <w:r>
            <w:fldChar w:fldCharType="end"/>
          </w:r>
          <w:r>
            <w:fldChar w:fldCharType="end"/>
          </w:r>
        </w:p>
        <w:p w14:paraId="752919D5">
          <w:pPr>
            <w:pStyle w:val="12"/>
            <w:tabs>
              <w:tab w:val="right" w:leader="dot" w:pos="8306"/>
            </w:tabs>
          </w:pPr>
          <w:r>
            <w:fldChar w:fldCharType="begin"/>
          </w:r>
          <w:r>
            <w:instrText xml:space="preserve"> HYPERLINK \l _Toc15166 </w:instrText>
          </w:r>
          <w:r>
            <w:fldChar w:fldCharType="separate"/>
          </w:r>
          <w:r>
            <w:rPr>
              <w:rFonts w:hint="default"/>
            </w:rPr>
            <w:t xml:space="preserve">1.1 </w:t>
          </w:r>
          <w:r>
            <w:rPr>
              <w:rFonts w:hint="eastAsia"/>
            </w:rPr>
            <w:t>调研背景与目的</w:t>
          </w:r>
          <w:r>
            <w:tab/>
          </w:r>
          <w:r>
            <w:fldChar w:fldCharType="begin"/>
          </w:r>
          <w:r>
            <w:instrText xml:space="preserve"> PAGEREF _Toc15166 \h </w:instrText>
          </w:r>
          <w:r>
            <w:fldChar w:fldCharType="separate"/>
          </w:r>
          <w:r>
            <w:t>4</w:t>
          </w:r>
          <w:r>
            <w:fldChar w:fldCharType="end"/>
          </w:r>
          <w:r>
            <w:fldChar w:fldCharType="end"/>
          </w:r>
        </w:p>
        <w:p w14:paraId="06CFB253">
          <w:pPr>
            <w:pStyle w:val="12"/>
            <w:tabs>
              <w:tab w:val="right" w:leader="dot" w:pos="8306"/>
            </w:tabs>
          </w:pPr>
          <w:r>
            <w:fldChar w:fldCharType="begin"/>
          </w:r>
          <w:r>
            <w:instrText xml:space="preserve"> HYPERLINK \l _Toc164 </w:instrText>
          </w:r>
          <w:r>
            <w:fldChar w:fldCharType="separate"/>
          </w:r>
          <w:r>
            <w:rPr>
              <w:rFonts w:hint="eastAsia"/>
              <w:bCs/>
              <w:szCs w:val="28"/>
            </w:rPr>
            <w:t>1.2 调研流程与方法</w:t>
          </w:r>
          <w:r>
            <w:tab/>
          </w:r>
          <w:r>
            <w:fldChar w:fldCharType="begin"/>
          </w:r>
          <w:r>
            <w:instrText xml:space="preserve"> PAGEREF _Toc164 \h </w:instrText>
          </w:r>
          <w:r>
            <w:fldChar w:fldCharType="separate"/>
          </w:r>
          <w:r>
            <w:t>4</w:t>
          </w:r>
          <w:r>
            <w:fldChar w:fldCharType="end"/>
          </w:r>
          <w:r>
            <w:fldChar w:fldCharType="end"/>
          </w:r>
        </w:p>
        <w:p w14:paraId="4E382161">
          <w:pPr>
            <w:pStyle w:val="12"/>
            <w:tabs>
              <w:tab w:val="right" w:leader="dot" w:pos="8306"/>
            </w:tabs>
          </w:pPr>
          <w:r>
            <w:fldChar w:fldCharType="begin"/>
          </w:r>
          <w:r>
            <w:instrText xml:space="preserve"> HYPERLINK \l _Toc10783 </w:instrText>
          </w:r>
          <w:r>
            <w:fldChar w:fldCharType="separate"/>
          </w:r>
          <w:r>
            <w:rPr>
              <w:rFonts w:hint="eastAsia"/>
              <w:bCs/>
              <w:szCs w:val="28"/>
            </w:rPr>
            <w:t xml:space="preserve">1.3 </w:t>
          </w:r>
          <w:r>
            <w:rPr>
              <w:rFonts w:hint="eastAsia"/>
              <w:bCs/>
              <w:szCs w:val="28"/>
              <w:lang w:val="en-US" w:eastAsia="zh-CN"/>
            </w:rPr>
            <w:t>老年人游戏设计要素与选择</w:t>
          </w:r>
          <w:r>
            <w:tab/>
          </w:r>
          <w:r>
            <w:fldChar w:fldCharType="begin"/>
          </w:r>
          <w:r>
            <w:instrText xml:space="preserve"> PAGEREF _Toc10783 \h </w:instrText>
          </w:r>
          <w:r>
            <w:fldChar w:fldCharType="separate"/>
          </w:r>
          <w:r>
            <w:t>4</w:t>
          </w:r>
          <w:r>
            <w:fldChar w:fldCharType="end"/>
          </w:r>
          <w:r>
            <w:fldChar w:fldCharType="end"/>
          </w:r>
        </w:p>
        <w:p w14:paraId="1EC5922D">
          <w:pPr>
            <w:pStyle w:val="7"/>
            <w:tabs>
              <w:tab w:val="right" w:leader="dot" w:pos="8306"/>
            </w:tabs>
            <w:rPr>
              <w:rStyle w:val="19"/>
            </w:rPr>
          </w:pPr>
          <w:r>
            <w:fldChar w:fldCharType="begin"/>
          </w:r>
          <w:r>
            <w:instrText xml:space="preserve"> HYPERLINK \l _Toc6750 </w:instrText>
          </w:r>
          <w:r>
            <w:fldChar w:fldCharType="separate"/>
          </w:r>
          <w:r>
            <w:rPr>
              <w:rFonts w:hint="eastAsia"/>
              <w:lang w:val="en-US" w:eastAsia="zh-CN"/>
            </w:rPr>
            <w:t>1.3.1老年人的特征与痛点</w:t>
          </w:r>
          <w:r>
            <w:tab/>
          </w:r>
          <w:r>
            <w:fldChar w:fldCharType="begin"/>
          </w:r>
          <w:r>
            <w:instrText xml:space="preserve"> PAGEREF _Toc6750 \h </w:instrText>
          </w:r>
          <w:r>
            <w:fldChar w:fldCharType="separate"/>
          </w:r>
          <w:r>
            <w:t>4</w:t>
          </w:r>
          <w:r>
            <w:fldChar w:fldCharType="end"/>
          </w:r>
          <w:r>
            <w:fldChar w:fldCharType="end"/>
          </w:r>
        </w:p>
        <w:p w14:paraId="5B3C3026">
          <w:pPr>
            <w:pStyle w:val="7"/>
            <w:tabs>
              <w:tab w:val="right" w:leader="dot" w:pos="8306"/>
            </w:tabs>
          </w:pPr>
          <w:r>
            <w:fldChar w:fldCharType="begin"/>
          </w:r>
          <w:r>
            <w:instrText xml:space="preserve"> HYPERLINK \l _Toc13953 </w:instrText>
          </w:r>
          <w:r>
            <w:fldChar w:fldCharType="separate"/>
          </w:r>
          <w:r>
            <w:rPr>
              <w:rFonts w:hint="eastAsia"/>
              <w:bCs/>
              <w:szCs w:val="24"/>
              <w:lang w:val="en-US" w:eastAsia="zh-CN"/>
            </w:rPr>
            <w:t>1.3.2老年人游戏设计的倾向</w:t>
          </w:r>
          <w:r>
            <w:tab/>
          </w:r>
          <w:r>
            <w:fldChar w:fldCharType="begin"/>
          </w:r>
          <w:r>
            <w:instrText xml:space="preserve"> PAGEREF _Toc13953 \h </w:instrText>
          </w:r>
          <w:r>
            <w:fldChar w:fldCharType="separate"/>
          </w:r>
          <w:r>
            <w:t>5</w:t>
          </w:r>
          <w:r>
            <w:fldChar w:fldCharType="end"/>
          </w:r>
          <w:r>
            <w:fldChar w:fldCharType="end"/>
          </w:r>
        </w:p>
        <w:p w14:paraId="15F73F09">
          <w:pPr>
            <w:pStyle w:val="10"/>
            <w:tabs>
              <w:tab w:val="right" w:leader="dot" w:pos="8306"/>
            </w:tabs>
          </w:pPr>
          <w:r>
            <w:fldChar w:fldCharType="begin"/>
          </w:r>
          <w:r>
            <w:instrText xml:space="preserve"> HYPERLINK \l _Toc32433 </w:instrText>
          </w:r>
          <w:r>
            <w:fldChar w:fldCharType="separate"/>
          </w:r>
          <w:r>
            <w:rPr>
              <w:rFonts w:hint="eastAsia"/>
              <w:lang w:eastAsia="zh-CN"/>
            </w:rPr>
            <w:t xml:space="preserve">第二章 </w:t>
          </w:r>
          <w:r>
            <w:rPr>
              <w:rFonts w:hint="eastAsia"/>
            </w:rPr>
            <w:t>问卷设计说明</w:t>
          </w:r>
          <w:r>
            <w:tab/>
          </w:r>
          <w:r>
            <w:fldChar w:fldCharType="begin"/>
          </w:r>
          <w:r>
            <w:instrText xml:space="preserve"> PAGEREF _Toc32433 \h </w:instrText>
          </w:r>
          <w:r>
            <w:fldChar w:fldCharType="separate"/>
          </w:r>
          <w:r>
            <w:t>5</w:t>
          </w:r>
          <w:r>
            <w:fldChar w:fldCharType="end"/>
          </w:r>
          <w:r>
            <w:fldChar w:fldCharType="end"/>
          </w:r>
        </w:p>
        <w:p w14:paraId="499151D4">
          <w:pPr>
            <w:pStyle w:val="12"/>
            <w:tabs>
              <w:tab w:val="right" w:leader="dot" w:pos="8306"/>
            </w:tabs>
          </w:pPr>
          <w:r>
            <w:fldChar w:fldCharType="begin"/>
          </w:r>
          <w:r>
            <w:instrText xml:space="preserve"> HYPERLINK \l _Toc2607 </w:instrText>
          </w:r>
          <w:r>
            <w:fldChar w:fldCharType="separate"/>
          </w:r>
          <w:r>
            <w:rPr>
              <w:rFonts w:hint="eastAsia"/>
              <w:bCs/>
              <w:szCs w:val="28"/>
            </w:rPr>
            <w:t>2.1 问卷设计的理论基础与方法论</w:t>
          </w:r>
          <w:r>
            <w:tab/>
          </w:r>
          <w:r>
            <w:fldChar w:fldCharType="begin"/>
          </w:r>
          <w:r>
            <w:instrText xml:space="preserve"> PAGEREF _Toc2607 \h </w:instrText>
          </w:r>
          <w:r>
            <w:fldChar w:fldCharType="separate"/>
          </w:r>
          <w:r>
            <w:t>5</w:t>
          </w:r>
          <w:r>
            <w:fldChar w:fldCharType="end"/>
          </w:r>
          <w:r>
            <w:fldChar w:fldCharType="end"/>
          </w:r>
        </w:p>
        <w:p w14:paraId="449F0C3F">
          <w:pPr>
            <w:pStyle w:val="12"/>
            <w:tabs>
              <w:tab w:val="right" w:leader="dot" w:pos="8306"/>
            </w:tabs>
          </w:pPr>
          <w:r>
            <w:fldChar w:fldCharType="begin"/>
          </w:r>
          <w:r>
            <w:instrText xml:space="preserve"> HYPERLINK \l _Toc599 </w:instrText>
          </w:r>
          <w:r>
            <w:fldChar w:fldCharType="separate"/>
          </w:r>
          <w:r>
            <w:rPr>
              <w:rFonts w:hint="eastAsia"/>
              <w:bCs/>
              <w:szCs w:val="28"/>
            </w:rPr>
            <w:t>2.2 问卷的整体构架与逻辑流程</w:t>
          </w:r>
          <w:r>
            <w:tab/>
          </w:r>
          <w:r>
            <w:fldChar w:fldCharType="begin"/>
          </w:r>
          <w:r>
            <w:instrText xml:space="preserve"> PAGEREF _Toc599 \h </w:instrText>
          </w:r>
          <w:r>
            <w:fldChar w:fldCharType="separate"/>
          </w:r>
          <w:r>
            <w:t>6</w:t>
          </w:r>
          <w:r>
            <w:fldChar w:fldCharType="end"/>
          </w:r>
          <w:r>
            <w:fldChar w:fldCharType="end"/>
          </w:r>
        </w:p>
        <w:p w14:paraId="2F85B9AA">
          <w:pPr>
            <w:pStyle w:val="12"/>
            <w:tabs>
              <w:tab w:val="right" w:leader="dot" w:pos="8306"/>
            </w:tabs>
          </w:pPr>
          <w:r>
            <w:fldChar w:fldCharType="begin"/>
          </w:r>
          <w:r>
            <w:instrText xml:space="preserve"> HYPERLINK \l _Toc25000 </w:instrText>
          </w:r>
          <w:r>
            <w:fldChar w:fldCharType="separate"/>
          </w:r>
          <w:r>
            <w:rPr>
              <w:rFonts w:hint="eastAsia"/>
              <w:bCs/>
              <w:szCs w:val="28"/>
            </w:rPr>
            <w:t>2.</w:t>
          </w:r>
          <w:r>
            <w:rPr>
              <w:rFonts w:hint="eastAsia"/>
              <w:bCs/>
              <w:szCs w:val="28"/>
              <w:lang w:val="en-US" w:eastAsia="zh-CN"/>
            </w:rPr>
            <w:t>3</w:t>
          </w:r>
          <w:r>
            <w:rPr>
              <w:rFonts w:hint="eastAsia"/>
              <w:bCs/>
              <w:szCs w:val="28"/>
            </w:rPr>
            <w:t xml:space="preserve"> 问卷设计的创新与局限</w:t>
          </w:r>
          <w:r>
            <w:tab/>
          </w:r>
          <w:r>
            <w:fldChar w:fldCharType="begin"/>
          </w:r>
          <w:r>
            <w:instrText xml:space="preserve"> PAGEREF _Toc25000 \h </w:instrText>
          </w:r>
          <w:r>
            <w:fldChar w:fldCharType="separate"/>
          </w:r>
          <w:r>
            <w:t>6</w:t>
          </w:r>
          <w:r>
            <w:fldChar w:fldCharType="end"/>
          </w:r>
          <w:r>
            <w:fldChar w:fldCharType="end"/>
          </w:r>
        </w:p>
        <w:p w14:paraId="39D25B1E">
          <w:pPr>
            <w:pStyle w:val="10"/>
            <w:tabs>
              <w:tab w:val="right" w:leader="dot" w:pos="8306"/>
            </w:tabs>
          </w:pPr>
          <w:r>
            <w:fldChar w:fldCharType="begin"/>
          </w:r>
          <w:r>
            <w:instrText xml:space="preserve"> HYPERLINK \l _Toc25928 </w:instrText>
          </w:r>
          <w:r>
            <w:fldChar w:fldCharType="separate"/>
          </w:r>
          <w:r>
            <w:rPr>
              <w:rFonts w:hint="eastAsia"/>
            </w:rPr>
            <w:t>第三章 问卷数据分析</w:t>
          </w:r>
          <w:r>
            <w:tab/>
          </w:r>
          <w:r>
            <w:fldChar w:fldCharType="begin"/>
          </w:r>
          <w:r>
            <w:instrText xml:space="preserve"> PAGEREF _Toc25928 \h </w:instrText>
          </w:r>
          <w:r>
            <w:fldChar w:fldCharType="separate"/>
          </w:r>
          <w:r>
            <w:t>7</w:t>
          </w:r>
          <w:r>
            <w:fldChar w:fldCharType="end"/>
          </w:r>
          <w:r>
            <w:fldChar w:fldCharType="end"/>
          </w:r>
        </w:p>
        <w:p w14:paraId="7DD8EE33">
          <w:pPr>
            <w:pStyle w:val="12"/>
            <w:tabs>
              <w:tab w:val="right" w:leader="dot" w:pos="8306"/>
            </w:tabs>
          </w:pPr>
          <w:r>
            <w:fldChar w:fldCharType="begin"/>
          </w:r>
          <w:r>
            <w:instrText xml:space="preserve"> HYPERLINK \l _Toc19167 </w:instrText>
          </w:r>
          <w:r>
            <w:fldChar w:fldCharType="separate"/>
          </w:r>
          <w:r>
            <w:rPr>
              <w:rFonts w:hint="eastAsia"/>
              <w:bCs/>
              <w:szCs w:val="28"/>
            </w:rPr>
            <w:t>3.1 问卷信效度检验</w:t>
          </w:r>
          <w:r>
            <w:tab/>
          </w:r>
          <w:r>
            <w:fldChar w:fldCharType="begin"/>
          </w:r>
          <w:r>
            <w:instrText xml:space="preserve"> PAGEREF _Toc19167 \h </w:instrText>
          </w:r>
          <w:r>
            <w:fldChar w:fldCharType="separate"/>
          </w:r>
          <w:r>
            <w:t>7</w:t>
          </w:r>
          <w:r>
            <w:fldChar w:fldCharType="end"/>
          </w:r>
          <w:r>
            <w:fldChar w:fldCharType="end"/>
          </w:r>
        </w:p>
        <w:p w14:paraId="26F57B7C">
          <w:pPr>
            <w:pStyle w:val="7"/>
            <w:tabs>
              <w:tab w:val="right" w:leader="dot" w:pos="8306"/>
            </w:tabs>
          </w:pPr>
          <w:r>
            <w:fldChar w:fldCharType="begin"/>
          </w:r>
          <w:r>
            <w:instrText xml:space="preserve"> HYPERLINK \l _Toc2346 </w:instrText>
          </w:r>
          <w:r>
            <w:fldChar w:fldCharType="separate"/>
          </w:r>
          <w:r>
            <w:rPr>
              <w:rFonts w:hint="eastAsia"/>
              <w:bCs/>
              <w:szCs w:val="24"/>
            </w:rPr>
            <w:t>3.1.1 信度检验分析</w:t>
          </w:r>
          <w:r>
            <w:tab/>
          </w:r>
          <w:r>
            <w:fldChar w:fldCharType="begin"/>
          </w:r>
          <w:r>
            <w:instrText xml:space="preserve"> PAGEREF _Toc2346 \h </w:instrText>
          </w:r>
          <w:r>
            <w:fldChar w:fldCharType="separate"/>
          </w:r>
          <w:r>
            <w:t>7</w:t>
          </w:r>
          <w:r>
            <w:fldChar w:fldCharType="end"/>
          </w:r>
          <w:r>
            <w:fldChar w:fldCharType="end"/>
          </w:r>
        </w:p>
        <w:p w14:paraId="7076394C">
          <w:pPr>
            <w:pStyle w:val="7"/>
            <w:tabs>
              <w:tab w:val="right" w:leader="dot" w:pos="8306"/>
            </w:tabs>
          </w:pPr>
          <w:r>
            <w:fldChar w:fldCharType="begin"/>
          </w:r>
          <w:r>
            <w:instrText xml:space="preserve"> HYPERLINK \l _Toc32712 </w:instrText>
          </w:r>
          <w:r>
            <w:fldChar w:fldCharType="separate"/>
          </w:r>
          <w:r>
            <w:rPr>
              <w:rFonts w:hint="eastAsia"/>
              <w:bCs/>
              <w:szCs w:val="24"/>
            </w:rPr>
            <w:t>3.1.2 效度检验分析</w:t>
          </w:r>
          <w:r>
            <w:tab/>
          </w:r>
          <w:r>
            <w:fldChar w:fldCharType="begin"/>
          </w:r>
          <w:r>
            <w:instrText xml:space="preserve"> PAGEREF _Toc32712 \h </w:instrText>
          </w:r>
          <w:r>
            <w:fldChar w:fldCharType="separate"/>
          </w:r>
          <w:r>
            <w:t>7</w:t>
          </w:r>
          <w:r>
            <w:fldChar w:fldCharType="end"/>
          </w:r>
          <w:r>
            <w:fldChar w:fldCharType="end"/>
          </w:r>
        </w:p>
        <w:p w14:paraId="1ECC446C">
          <w:pPr>
            <w:pStyle w:val="12"/>
            <w:tabs>
              <w:tab w:val="right" w:leader="dot" w:pos="8306"/>
            </w:tabs>
          </w:pPr>
          <w:r>
            <w:fldChar w:fldCharType="begin"/>
          </w:r>
          <w:r>
            <w:instrText xml:space="preserve"> HYPERLINK \l _Toc19294 </w:instrText>
          </w:r>
          <w:r>
            <w:fldChar w:fldCharType="separate"/>
          </w:r>
          <w:r>
            <w:rPr>
              <w:rFonts w:hint="eastAsia"/>
              <w:bCs/>
              <w:szCs w:val="28"/>
            </w:rPr>
            <w:t>3.2 用户基本特征描述性统计</w:t>
          </w:r>
          <w:r>
            <w:tab/>
          </w:r>
          <w:r>
            <w:fldChar w:fldCharType="begin"/>
          </w:r>
          <w:r>
            <w:instrText xml:space="preserve"> PAGEREF _Toc19294 \h </w:instrText>
          </w:r>
          <w:r>
            <w:fldChar w:fldCharType="separate"/>
          </w:r>
          <w:r>
            <w:t>8</w:t>
          </w:r>
          <w:r>
            <w:fldChar w:fldCharType="end"/>
          </w:r>
          <w:r>
            <w:fldChar w:fldCharType="end"/>
          </w:r>
        </w:p>
        <w:p w14:paraId="7D8B867E">
          <w:pPr>
            <w:pStyle w:val="7"/>
            <w:tabs>
              <w:tab w:val="right" w:leader="dot" w:pos="8306"/>
            </w:tabs>
          </w:pPr>
          <w:r>
            <w:fldChar w:fldCharType="begin"/>
          </w:r>
          <w:r>
            <w:instrText xml:space="preserve"> HYPERLINK \l _Toc20093 </w:instrText>
          </w:r>
          <w:r>
            <w:fldChar w:fldCharType="separate"/>
          </w:r>
          <w:r>
            <w:rPr>
              <w:rFonts w:hint="eastAsia"/>
              <w:bCs/>
              <w:szCs w:val="24"/>
            </w:rPr>
            <w:t>3.2.1 人口统计学特征分析</w:t>
          </w:r>
          <w:r>
            <w:tab/>
          </w:r>
          <w:r>
            <w:fldChar w:fldCharType="begin"/>
          </w:r>
          <w:r>
            <w:instrText xml:space="preserve"> PAGEREF _Toc20093 \h </w:instrText>
          </w:r>
          <w:r>
            <w:fldChar w:fldCharType="separate"/>
          </w:r>
          <w:r>
            <w:t>8</w:t>
          </w:r>
          <w:r>
            <w:fldChar w:fldCharType="end"/>
          </w:r>
          <w:r>
            <w:fldChar w:fldCharType="end"/>
          </w:r>
        </w:p>
        <w:p w14:paraId="6EEC532D">
          <w:pPr>
            <w:pStyle w:val="7"/>
            <w:tabs>
              <w:tab w:val="right" w:leader="dot" w:pos="8306"/>
            </w:tabs>
          </w:pPr>
          <w:r>
            <w:fldChar w:fldCharType="begin"/>
          </w:r>
          <w:r>
            <w:instrText xml:space="preserve"> HYPERLINK \l _Toc30442 </w:instrText>
          </w:r>
          <w:r>
            <w:fldChar w:fldCharType="separate"/>
          </w:r>
          <w:r>
            <w:rPr>
              <w:rFonts w:hint="eastAsia"/>
              <w:bCs/>
              <w:szCs w:val="24"/>
            </w:rPr>
            <w:t>3.2.2 数字能力特征分析</w:t>
          </w:r>
          <w:r>
            <w:tab/>
          </w:r>
          <w:r>
            <w:fldChar w:fldCharType="begin"/>
          </w:r>
          <w:r>
            <w:instrText xml:space="preserve"> PAGEREF _Toc30442 \h </w:instrText>
          </w:r>
          <w:r>
            <w:fldChar w:fldCharType="separate"/>
          </w:r>
          <w:r>
            <w:t>9</w:t>
          </w:r>
          <w:r>
            <w:fldChar w:fldCharType="end"/>
          </w:r>
          <w:r>
            <w:fldChar w:fldCharType="end"/>
          </w:r>
        </w:p>
        <w:p w14:paraId="104157C6">
          <w:pPr>
            <w:pStyle w:val="12"/>
            <w:tabs>
              <w:tab w:val="right" w:leader="dot" w:pos="8306"/>
            </w:tabs>
          </w:pPr>
          <w:r>
            <w:fldChar w:fldCharType="begin"/>
          </w:r>
          <w:r>
            <w:instrText xml:space="preserve"> HYPERLINK \l _Toc32245 </w:instrText>
          </w:r>
          <w:r>
            <w:fldChar w:fldCharType="separate"/>
          </w:r>
          <w:r>
            <w:rPr>
              <w:rFonts w:hint="eastAsia"/>
              <w:bCs/>
              <w:szCs w:val="28"/>
            </w:rPr>
            <w:t>3.3 游戏偏好与使用习惯分析</w:t>
          </w:r>
          <w:r>
            <w:tab/>
          </w:r>
          <w:r>
            <w:fldChar w:fldCharType="begin"/>
          </w:r>
          <w:r>
            <w:instrText xml:space="preserve"> PAGEREF _Toc32245 \h </w:instrText>
          </w:r>
          <w:r>
            <w:fldChar w:fldCharType="separate"/>
          </w:r>
          <w:r>
            <w:t>9</w:t>
          </w:r>
          <w:r>
            <w:fldChar w:fldCharType="end"/>
          </w:r>
          <w:r>
            <w:fldChar w:fldCharType="end"/>
          </w:r>
        </w:p>
        <w:p w14:paraId="3DCF484D">
          <w:pPr>
            <w:pStyle w:val="7"/>
            <w:tabs>
              <w:tab w:val="right" w:leader="dot" w:pos="8306"/>
            </w:tabs>
          </w:pPr>
          <w:r>
            <w:fldChar w:fldCharType="begin"/>
          </w:r>
          <w:r>
            <w:instrText xml:space="preserve"> HYPERLINK \l _Toc26317 </w:instrText>
          </w:r>
          <w:r>
            <w:fldChar w:fldCharType="separate"/>
          </w:r>
          <w:r>
            <w:rPr>
              <w:rFonts w:hint="eastAsia"/>
              <w:bCs/>
              <w:szCs w:val="24"/>
            </w:rPr>
            <w:t>3.3.1 游戏类型偏好分析</w:t>
          </w:r>
          <w:r>
            <w:tab/>
          </w:r>
          <w:r>
            <w:fldChar w:fldCharType="begin"/>
          </w:r>
          <w:r>
            <w:instrText xml:space="preserve"> PAGEREF _Toc26317 \h </w:instrText>
          </w:r>
          <w:r>
            <w:fldChar w:fldCharType="separate"/>
          </w:r>
          <w:r>
            <w:t>9</w:t>
          </w:r>
          <w:r>
            <w:fldChar w:fldCharType="end"/>
          </w:r>
          <w:r>
            <w:fldChar w:fldCharType="end"/>
          </w:r>
        </w:p>
        <w:p w14:paraId="49ED7354">
          <w:pPr>
            <w:pStyle w:val="7"/>
            <w:tabs>
              <w:tab w:val="right" w:leader="dot" w:pos="8306"/>
            </w:tabs>
          </w:pPr>
          <w:r>
            <w:fldChar w:fldCharType="begin"/>
          </w:r>
          <w:r>
            <w:instrText xml:space="preserve"> HYPERLINK \l _Toc30094 </w:instrText>
          </w:r>
          <w:r>
            <w:fldChar w:fldCharType="separate"/>
          </w:r>
          <w:r>
            <w:rPr>
              <w:rFonts w:hint="eastAsia"/>
              <w:bCs/>
              <w:szCs w:val="24"/>
            </w:rPr>
            <w:t>3.3.2 注意力特征分析</w:t>
          </w:r>
          <w:r>
            <w:tab/>
          </w:r>
          <w:r>
            <w:fldChar w:fldCharType="begin"/>
          </w:r>
          <w:r>
            <w:instrText xml:space="preserve"> PAGEREF _Toc30094 \h </w:instrText>
          </w:r>
          <w:r>
            <w:fldChar w:fldCharType="separate"/>
          </w:r>
          <w:r>
            <w:t>10</w:t>
          </w:r>
          <w:r>
            <w:fldChar w:fldCharType="end"/>
          </w:r>
          <w:r>
            <w:fldChar w:fldCharType="end"/>
          </w:r>
        </w:p>
        <w:p w14:paraId="254F6DA9">
          <w:pPr>
            <w:pStyle w:val="7"/>
            <w:tabs>
              <w:tab w:val="right" w:leader="dot" w:pos="8306"/>
            </w:tabs>
          </w:pPr>
          <w:r>
            <w:fldChar w:fldCharType="begin"/>
          </w:r>
          <w:r>
            <w:instrText xml:space="preserve"> HYPERLINK \l _Toc25563 </w:instrText>
          </w:r>
          <w:r>
            <w:fldChar w:fldCharType="separate"/>
          </w:r>
          <w:r>
            <w:rPr>
              <w:rFonts w:hint="eastAsia"/>
              <w:bCs/>
              <w:szCs w:val="24"/>
            </w:rPr>
            <w:t>3.3.3 设备使用模式分析</w:t>
          </w:r>
          <w:r>
            <w:tab/>
          </w:r>
          <w:r>
            <w:fldChar w:fldCharType="begin"/>
          </w:r>
          <w:r>
            <w:instrText xml:space="preserve"> PAGEREF _Toc25563 \h </w:instrText>
          </w:r>
          <w:r>
            <w:fldChar w:fldCharType="separate"/>
          </w:r>
          <w:r>
            <w:t>10</w:t>
          </w:r>
          <w:r>
            <w:fldChar w:fldCharType="end"/>
          </w:r>
          <w:r>
            <w:fldChar w:fldCharType="end"/>
          </w:r>
        </w:p>
        <w:p w14:paraId="3DD039F3">
          <w:pPr>
            <w:pStyle w:val="12"/>
            <w:tabs>
              <w:tab w:val="right" w:leader="dot" w:pos="8306"/>
            </w:tabs>
          </w:pPr>
          <w:r>
            <w:fldChar w:fldCharType="begin"/>
          </w:r>
          <w:r>
            <w:instrText xml:space="preserve"> HYPERLINK \l _Toc9717 </w:instrText>
          </w:r>
          <w:r>
            <w:fldChar w:fldCharType="separate"/>
          </w:r>
          <w:r>
            <w:rPr>
              <w:rFonts w:hint="eastAsia"/>
              <w:bCs/>
              <w:szCs w:val="28"/>
            </w:rPr>
            <w:t>3.4 游戏界面评价的统计检验</w:t>
          </w:r>
          <w:r>
            <w:tab/>
          </w:r>
          <w:r>
            <w:fldChar w:fldCharType="begin"/>
          </w:r>
          <w:r>
            <w:instrText xml:space="preserve"> PAGEREF _Toc9717 \h </w:instrText>
          </w:r>
          <w:r>
            <w:fldChar w:fldCharType="separate"/>
          </w:r>
          <w:r>
            <w:t>10</w:t>
          </w:r>
          <w:r>
            <w:fldChar w:fldCharType="end"/>
          </w:r>
          <w:r>
            <w:fldChar w:fldCharType="end"/>
          </w:r>
        </w:p>
        <w:p w14:paraId="7C7F3DAD">
          <w:pPr>
            <w:pStyle w:val="7"/>
            <w:tabs>
              <w:tab w:val="right" w:leader="dot" w:pos="8306"/>
            </w:tabs>
          </w:pPr>
          <w:r>
            <w:fldChar w:fldCharType="begin"/>
          </w:r>
          <w:r>
            <w:instrText xml:space="preserve"> HYPERLINK \l _Toc25236 </w:instrText>
          </w:r>
          <w:r>
            <w:fldChar w:fldCharType="separate"/>
          </w:r>
          <w:r>
            <w:rPr>
              <w:rFonts w:hint="eastAsia"/>
              <w:bCs/>
              <w:szCs w:val="24"/>
            </w:rPr>
            <w:t>3.4.1 五款界面综合评分比较</w:t>
          </w:r>
          <w:r>
            <w:tab/>
          </w:r>
          <w:r>
            <w:fldChar w:fldCharType="begin"/>
          </w:r>
          <w:r>
            <w:instrText xml:space="preserve"> PAGEREF _Toc25236 \h </w:instrText>
          </w:r>
          <w:r>
            <w:fldChar w:fldCharType="separate"/>
          </w:r>
          <w:r>
            <w:t>10</w:t>
          </w:r>
          <w:r>
            <w:fldChar w:fldCharType="end"/>
          </w:r>
          <w:r>
            <w:fldChar w:fldCharType="end"/>
          </w:r>
        </w:p>
        <w:p w14:paraId="63EFFBF4">
          <w:pPr>
            <w:pStyle w:val="7"/>
            <w:tabs>
              <w:tab w:val="right" w:leader="dot" w:pos="8306"/>
            </w:tabs>
          </w:pPr>
          <w:r>
            <w:fldChar w:fldCharType="begin"/>
          </w:r>
          <w:r>
            <w:instrText xml:space="preserve"> HYPERLINK \l _Toc26150 </w:instrText>
          </w:r>
          <w:r>
            <w:fldChar w:fldCharType="separate"/>
          </w:r>
          <w:r>
            <w:rPr>
              <w:rFonts w:hint="eastAsia"/>
              <w:bCs/>
              <w:szCs w:val="24"/>
            </w:rPr>
            <w:t>3.4.2 各维度评分差异分析</w:t>
          </w:r>
          <w:r>
            <w:tab/>
          </w:r>
          <w:r>
            <w:fldChar w:fldCharType="begin"/>
          </w:r>
          <w:r>
            <w:instrText xml:space="preserve"> PAGEREF _Toc26150 \h </w:instrText>
          </w:r>
          <w:r>
            <w:fldChar w:fldCharType="separate"/>
          </w:r>
          <w:r>
            <w:t>10</w:t>
          </w:r>
          <w:r>
            <w:fldChar w:fldCharType="end"/>
          </w:r>
          <w:r>
            <w:fldChar w:fldCharType="end"/>
          </w:r>
        </w:p>
        <w:p w14:paraId="5E3F8AF1">
          <w:pPr>
            <w:pStyle w:val="12"/>
            <w:tabs>
              <w:tab w:val="right" w:leader="dot" w:pos="8306"/>
            </w:tabs>
          </w:pPr>
          <w:r>
            <w:fldChar w:fldCharType="begin"/>
          </w:r>
          <w:r>
            <w:instrText xml:space="preserve"> HYPERLINK \l _Toc10384 </w:instrText>
          </w:r>
          <w:r>
            <w:fldChar w:fldCharType="separate"/>
          </w:r>
          <w:r>
            <w:rPr>
              <w:rFonts w:hint="eastAsia"/>
              <w:bCs/>
              <w:szCs w:val="28"/>
            </w:rPr>
            <w:t>3.5 卡方检验分析</w:t>
          </w:r>
          <w:r>
            <w:tab/>
          </w:r>
          <w:r>
            <w:fldChar w:fldCharType="begin"/>
          </w:r>
          <w:r>
            <w:instrText xml:space="preserve"> PAGEREF _Toc10384 \h </w:instrText>
          </w:r>
          <w:r>
            <w:fldChar w:fldCharType="separate"/>
          </w:r>
          <w:r>
            <w:t>11</w:t>
          </w:r>
          <w:r>
            <w:fldChar w:fldCharType="end"/>
          </w:r>
          <w:r>
            <w:fldChar w:fldCharType="end"/>
          </w:r>
        </w:p>
        <w:p w14:paraId="79CCC665">
          <w:pPr>
            <w:pStyle w:val="7"/>
            <w:tabs>
              <w:tab w:val="right" w:leader="dot" w:pos="8306"/>
            </w:tabs>
          </w:pPr>
          <w:r>
            <w:fldChar w:fldCharType="begin"/>
          </w:r>
          <w:r>
            <w:instrText xml:space="preserve"> HYPERLINK \l _Toc19872 </w:instrText>
          </w:r>
          <w:r>
            <w:fldChar w:fldCharType="separate"/>
          </w:r>
          <w:r>
            <w:rPr>
              <w:rFonts w:hint="eastAsia"/>
              <w:bCs/>
              <w:szCs w:val="24"/>
            </w:rPr>
            <w:t>3.5.1 年龄与智能手机使用熟练度关联分析</w:t>
          </w:r>
          <w:r>
            <w:tab/>
          </w:r>
          <w:r>
            <w:fldChar w:fldCharType="begin"/>
          </w:r>
          <w:r>
            <w:instrText xml:space="preserve"> PAGEREF _Toc19872 \h </w:instrText>
          </w:r>
          <w:r>
            <w:fldChar w:fldCharType="separate"/>
          </w:r>
          <w:r>
            <w:t>11</w:t>
          </w:r>
          <w:r>
            <w:fldChar w:fldCharType="end"/>
          </w:r>
          <w:r>
            <w:fldChar w:fldCharType="end"/>
          </w:r>
        </w:p>
        <w:p w14:paraId="7A47ACE8">
          <w:pPr>
            <w:pStyle w:val="7"/>
            <w:tabs>
              <w:tab w:val="right" w:leader="dot" w:pos="8306"/>
            </w:tabs>
          </w:pPr>
          <w:r>
            <w:fldChar w:fldCharType="begin"/>
          </w:r>
          <w:r>
            <w:instrText xml:space="preserve"> HYPERLINK \l _Toc24185 </w:instrText>
          </w:r>
          <w:r>
            <w:fldChar w:fldCharType="separate"/>
          </w:r>
          <w:r>
            <w:rPr>
              <w:rFonts w:hint="eastAsia"/>
              <w:bCs/>
              <w:szCs w:val="24"/>
            </w:rPr>
            <w:t>3.5.2 教育水平与设备偏好关联分析</w:t>
          </w:r>
          <w:r>
            <w:tab/>
          </w:r>
          <w:r>
            <w:fldChar w:fldCharType="begin"/>
          </w:r>
          <w:r>
            <w:instrText xml:space="preserve"> PAGEREF _Toc24185 \h </w:instrText>
          </w:r>
          <w:r>
            <w:fldChar w:fldCharType="separate"/>
          </w:r>
          <w:r>
            <w:t>11</w:t>
          </w:r>
          <w:r>
            <w:fldChar w:fldCharType="end"/>
          </w:r>
          <w:r>
            <w:fldChar w:fldCharType="end"/>
          </w:r>
        </w:p>
        <w:p w14:paraId="01443C80">
          <w:pPr>
            <w:pStyle w:val="12"/>
            <w:tabs>
              <w:tab w:val="right" w:leader="dot" w:pos="8306"/>
            </w:tabs>
          </w:pPr>
          <w:r>
            <w:fldChar w:fldCharType="begin"/>
          </w:r>
          <w:r>
            <w:instrText xml:space="preserve"> HYPERLINK \l _Toc7423 </w:instrText>
          </w:r>
          <w:r>
            <w:fldChar w:fldCharType="separate"/>
          </w:r>
          <w:r>
            <w:rPr>
              <w:rFonts w:hint="eastAsia"/>
              <w:bCs/>
              <w:szCs w:val="28"/>
            </w:rPr>
            <w:t>3.6 独立样本T检验</w:t>
          </w:r>
          <w:r>
            <w:tab/>
          </w:r>
          <w:r>
            <w:fldChar w:fldCharType="begin"/>
          </w:r>
          <w:r>
            <w:instrText xml:space="preserve"> PAGEREF _Toc7423 \h </w:instrText>
          </w:r>
          <w:r>
            <w:fldChar w:fldCharType="separate"/>
          </w:r>
          <w:r>
            <w:t>12</w:t>
          </w:r>
          <w:r>
            <w:fldChar w:fldCharType="end"/>
          </w:r>
          <w:r>
            <w:fldChar w:fldCharType="end"/>
          </w:r>
        </w:p>
        <w:p w14:paraId="2845E6B2">
          <w:pPr>
            <w:pStyle w:val="7"/>
            <w:tabs>
              <w:tab w:val="right" w:leader="dot" w:pos="8306"/>
            </w:tabs>
          </w:pPr>
          <w:r>
            <w:fldChar w:fldCharType="begin"/>
          </w:r>
          <w:r>
            <w:instrText xml:space="preserve"> HYPERLINK \l _Toc31405 </w:instrText>
          </w:r>
          <w:r>
            <w:fldChar w:fldCharType="separate"/>
          </w:r>
          <w:r>
            <w:rPr>
              <w:rFonts w:hint="eastAsia"/>
              <w:bCs/>
              <w:szCs w:val="24"/>
            </w:rPr>
            <w:t>3.6.1 数字能力与游戏接受度差异分析</w:t>
          </w:r>
          <w:r>
            <w:tab/>
          </w:r>
          <w:r>
            <w:fldChar w:fldCharType="begin"/>
          </w:r>
          <w:r>
            <w:instrText xml:space="preserve"> PAGEREF _Toc31405 \h </w:instrText>
          </w:r>
          <w:r>
            <w:fldChar w:fldCharType="separate"/>
          </w:r>
          <w:r>
            <w:t>12</w:t>
          </w:r>
          <w:r>
            <w:fldChar w:fldCharType="end"/>
          </w:r>
          <w:r>
            <w:fldChar w:fldCharType="end"/>
          </w:r>
        </w:p>
        <w:p w14:paraId="6B8024A3">
          <w:pPr>
            <w:pStyle w:val="7"/>
            <w:tabs>
              <w:tab w:val="right" w:leader="dot" w:pos="8306"/>
            </w:tabs>
          </w:pPr>
          <w:r>
            <w:fldChar w:fldCharType="begin"/>
          </w:r>
          <w:r>
            <w:instrText xml:space="preserve"> HYPERLINK \l _Toc4245 </w:instrText>
          </w:r>
          <w:r>
            <w:fldChar w:fldCharType="separate"/>
          </w:r>
          <w:r>
            <w:rPr>
              <w:rFonts w:hint="eastAsia"/>
              <w:bCs/>
              <w:szCs w:val="24"/>
            </w:rPr>
            <w:t>3.6.2 性别在社交态度上的差异分析</w:t>
          </w:r>
          <w:r>
            <w:tab/>
          </w:r>
          <w:r>
            <w:fldChar w:fldCharType="begin"/>
          </w:r>
          <w:r>
            <w:instrText xml:space="preserve"> PAGEREF _Toc4245 \h </w:instrText>
          </w:r>
          <w:r>
            <w:fldChar w:fldCharType="separate"/>
          </w:r>
          <w:r>
            <w:t>12</w:t>
          </w:r>
          <w:r>
            <w:fldChar w:fldCharType="end"/>
          </w:r>
          <w:r>
            <w:fldChar w:fldCharType="end"/>
          </w:r>
        </w:p>
        <w:p w14:paraId="0A2D813B">
          <w:pPr>
            <w:pStyle w:val="12"/>
            <w:tabs>
              <w:tab w:val="right" w:leader="dot" w:pos="8306"/>
            </w:tabs>
          </w:pPr>
          <w:r>
            <w:fldChar w:fldCharType="begin"/>
          </w:r>
          <w:r>
            <w:instrText xml:space="preserve"> HYPERLINK \l _Toc4595 </w:instrText>
          </w:r>
          <w:r>
            <w:fldChar w:fldCharType="separate"/>
          </w:r>
          <w:r>
            <w:rPr>
              <w:rFonts w:hint="eastAsia"/>
              <w:bCs/>
              <w:szCs w:val="28"/>
            </w:rPr>
            <w:t>3.7 单因素方差分析</w:t>
          </w:r>
          <w:r>
            <w:tab/>
          </w:r>
          <w:r>
            <w:fldChar w:fldCharType="begin"/>
          </w:r>
          <w:r>
            <w:instrText xml:space="preserve"> PAGEREF _Toc4595 \h </w:instrText>
          </w:r>
          <w:r>
            <w:fldChar w:fldCharType="separate"/>
          </w:r>
          <w:r>
            <w:t>13</w:t>
          </w:r>
          <w:r>
            <w:fldChar w:fldCharType="end"/>
          </w:r>
          <w:r>
            <w:fldChar w:fldCharType="end"/>
          </w:r>
        </w:p>
        <w:p w14:paraId="07994EE0">
          <w:pPr>
            <w:pStyle w:val="7"/>
            <w:tabs>
              <w:tab w:val="right" w:leader="dot" w:pos="8306"/>
            </w:tabs>
          </w:pPr>
          <w:r>
            <w:fldChar w:fldCharType="begin"/>
          </w:r>
          <w:r>
            <w:instrText xml:space="preserve"> HYPERLINK \l _Toc5320 </w:instrText>
          </w:r>
          <w:r>
            <w:fldChar w:fldCharType="separate"/>
          </w:r>
          <w:r>
            <w:rPr>
              <w:rFonts w:hint="eastAsia"/>
              <w:bCs/>
              <w:szCs w:val="24"/>
            </w:rPr>
            <w:t>3.7.1 年龄段与界面评价差异分析</w:t>
          </w:r>
          <w:r>
            <w:tab/>
          </w:r>
          <w:r>
            <w:fldChar w:fldCharType="begin"/>
          </w:r>
          <w:r>
            <w:instrText xml:space="preserve"> PAGEREF _Toc5320 \h </w:instrText>
          </w:r>
          <w:r>
            <w:fldChar w:fldCharType="separate"/>
          </w:r>
          <w:r>
            <w:t>13</w:t>
          </w:r>
          <w:r>
            <w:fldChar w:fldCharType="end"/>
          </w:r>
          <w:r>
            <w:fldChar w:fldCharType="end"/>
          </w:r>
        </w:p>
        <w:p w14:paraId="53F162E5">
          <w:pPr>
            <w:pStyle w:val="7"/>
            <w:tabs>
              <w:tab w:val="right" w:leader="dot" w:pos="8306"/>
            </w:tabs>
          </w:pPr>
          <w:r>
            <w:fldChar w:fldCharType="begin"/>
          </w:r>
          <w:r>
            <w:instrText xml:space="preserve"> HYPERLINK \l _Toc18161 </w:instrText>
          </w:r>
          <w:r>
            <w:fldChar w:fldCharType="separate"/>
          </w:r>
          <w:r>
            <w:rPr>
              <w:rFonts w:hint="eastAsia"/>
              <w:bCs/>
              <w:szCs w:val="24"/>
            </w:rPr>
            <w:t>3.7.2 教育水平与注意力特征分析</w:t>
          </w:r>
          <w:r>
            <w:tab/>
          </w:r>
          <w:r>
            <w:fldChar w:fldCharType="begin"/>
          </w:r>
          <w:r>
            <w:instrText xml:space="preserve"> PAGEREF _Toc18161 \h </w:instrText>
          </w:r>
          <w:r>
            <w:fldChar w:fldCharType="separate"/>
          </w:r>
          <w:r>
            <w:t>13</w:t>
          </w:r>
          <w:r>
            <w:fldChar w:fldCharType="end"/>
          </w:r>
          <w:r>
            <w:fldChar w:fldCharType="end"/>
          </w:r>
        </w:p>
        <w:p w14:paraId="6F32BB42">
          <w:pPr>
            <w:pStyle w:val="12"/>
            <w:tabs>
              <w:tab w:val="right" w:leader="dot" w:pos="8306"/>
            </w:tabs>
          </w:pPr>
          <w:r>
            <w:fldChar w:fldCharType="begin"/>
          </w:r>
          <w:r>
            <w:instrText xml:space="preserve"> HYPERLINK \l _Toc21037 </w:instrText>
          </w:r>
          <w:r>
            <w:fldChar w:fldCharType="separate"/>
          </w:r>
          <w:r>
            <w:rPr>
              <w:rFonts w:hint="eastAsia"/>
              <w:bCs/>
              <w:szCs w:val="28"/>
            </w:rPr>
            <w:t>3.8 相关分析</w:t>
          </w:r>
          <w:r>
            <w:tab/>
          </w:r>
          <w:r>
            <w:fldChar w:fldCharType="begin"/>
          </w:r>
          <w:r>
            <w:instrText xml:space="preserve"> PAGEREF _Toc21037 \h </w:instrText>
          </w:r>
          <w:r>
            <w:fldChar w:fldCharType="separate"/>
          </w:r>
          <w:r>
            <w:t>13</w:t>
          </w:r>
          <w:r>
            <w:fldChar w:fldCharType="end"/>
          </w:r>
          <w:r>
            <w:fldChar w:fldCharType="end"/>
          </w:r>
        </w:p>
        <w:p w14:paraId="57270E2D">
          <w:pPr>
            <w:pStyle w:val="7"/>
            <w:tabs>
              <w:tab w:val="right" w:leader="dot" w:pos="8306"/>
            </w:tabs>
          </w:pPr>
          <w:r>
            <w:fldChar w:fldCharType="begin"/>
          </w:r>
          <w:r>
            <w:instrText xml:space="preserve"> HYPERLINK \l _Toc5702 </w:instrText>
          </w:r>
          <w:r>
            <w:fldChar w:fldCharType="separate"/>
          </w:r>
          <w:r>
            <w:rPr>
              <w:rFonts w:hint="eastAsia"/>
              <w:bCs/>
              <w:szCs w:val="24"/>
            </w:rPr>
            <w:t>3.8.1 数字能力与游戏接受度相关性</w:t>
          </w:r>
          <w:r>
            <w:tab/>
          </w:r>
          <w:r>
            <w:fldChar w:fldCharType="begin"/>
          </w:r>
          <w:r>
            <w:instrText xml:space="preserve"> PAGEREF _Toc5702 \h </w:instrText>
          </w:r>
          <w:r>
            <w:fldChar w:fldCharType="separate"/>
          </w:r>
          <w:r>
            <w:t>13</w:t>
          </w:r>
          <w:r>
            <w:fldChar w:fldCharType="end"/>
          </w:r>
          <w:r>
            <w:fldChar w:fldCharType="end"/>
          </w:r>
        </w:p>
        <w:p w14:paraId="4DD2CA1A">
          <w:pPr>
            <w:pStyle w:val="7"/>
            <w:tabs>
              <w:tab w:val="right" w:leader="dot" w:pos="8306"/>
            </w:tabs>
          </w:pPr>
          <w:r>
            <w:fldChar w:fldCharType="begin"/>
          </w:r>
          <w:r>
            <w:instrText xml:space="preserve"> HYPERLINK \l _Toc30655 </w:instrText>
          </w:r>
          <w:r>
            <w:fldChar w:fldCharType="separate"/>
          </w:r>
          <w:r>
            <w:rPr>
              <w:rFonts w:hint="eastAsia"/>
              <w:bCs/>
              <w:szCs w:val="24"/>
            </w:rPr>
            <w:t>3.8.2 注意力与游戏难度评价相关性</w:t>
          </w:r>
          <w:r>
            <w:tab/>
          </w:r>
          <w:r>
            <w:fldChar w:fldCharType="begin"/>
          </w:r>
          <w:r>
            <w:instrText xml:space="preserve"> PAGEREF _Toc30655 \h </w:instrText>
          </w:r>
          <w:r>
            <w:fldChar w:fldCharType="separate"/>
          </w:r>
          <w:r>
            <w:t>14</w:t>
          </w:r>
          <w:r>
            <w:fldChar w:fldCharType="end"/>
          </w:r>
          <w:r>
            <w:fldChar w:fldCharType="end"/>
          </w:r>
        </w:p>
        <w:p w14:paraId="21B6788A">
          <w:pPr>
            <w:pStyle w:val="12"/>
            <w:tabs>
              <w:tab w:val="right" w:leader="dot" w:pos="8306"/>
            </w:tabs>
          </w:pPr>
          <w:r>
            <w:fldChar w:fldCharType="begin"/>
          </w:r>
          <w:r>
            <w:instrText xml:space="preserve"> HYPERLINK \l _Toc27763 </w:instrText>
          </w:r>
          <w:r>
            <w:fldChar w:fldCharType="separate"/>
          </w:r>
          <w:r>
            <w:rPr>
              <w:rFonts w:hint="eastAsia"/>
              <w:bCs/>
              <w:szCs w:val="28"/>
            </w:rPr>
            <w:t>3.9 多元统计分析</w:t>
          </w:r>
          <w:r>
            <w:tab/>
          </w:r>
          <w:r>
            <w:fldChar w:fldCharType="begin"/>
          </w:r>
          <w:r>
            <w:instrText xml:space="preserve"> PAGEREF _Toc27763 \h </w:instrText>
          </w:r>
          <w:r>
            <w:fldChar w:fldCharType="separate"/>
          </w:r>
          <w:r>
            <w:t>14</w:t>
          </w:r>
          <w:r>
            <w:fldChar w:fldCharType="end"/>
          </w:r>
          <w:r>
            <w:fldChar w:fldCharType="end"/>
          </w:r>
        </w:p>
        <w:p w14:paraId="11D45794">
          <w:pPr>
            <w:pStyle w:val="7"/>
            <w:tabs>
              <w:tab w:val="right" w:leader="dot" w:pos="8306"/>
            </w:tabs>
          </w:pPr>
          <w:r>
            <w:fldChar w:fldCharType="begin"/>
          </w:r>
          <w:r>
            <w:instrText xml:space="preserve"> HYPERLINK \l _Toc7085 </w:instrText>
          </w:r>
          <w:r>
            <w:fldChar w:fldCharType="separate"/>
          </w:r>
          <w:r>
            <w:rPr>
              <w:rFonts w:hint="eastAsia"/>
              <w:bCs/>
              <w:szCs w:val="24"/>
            </w:rPr>
            <w:t>3.9.1 游戏偏好影响因素回归分析</w:t>
          </w:r>
          <w:r>
            <w:tab/>
          </w:r>
          <w:r>
            <w:fldChar w:fldCharType="begin"/>
          </w:r>
          <w:r>
            <w:instrText xml:space="preserve"> PAGEREF _Toc7085 \h </w:instrText>
          </w:r>
          <w:r>
            <w:fldChar w:fldCharType="separate"/>
          </w:r>
          <w:r>
            <w:t>14</w:t>
          </w:r>
          <w:r>
            <w:fldChar w:fldCharType="end"/>
          </w:r>
          <w:r>
            <w:fldChar w:fldCharType="end"/>
          </w:r>
        </w:p>
        <w:p w14:paraId="5B349B35">
          <w:pPr>
            <w:pStyle w:val="7"/>
            <w:tabs>
              <w:tab w:val="right" w:leader="dot" w:pos="8306"/>
            </w:tabs>
          </w:pPr>
          <w:r>
            <w:fldChar w:fldCharType="begin"/>
          </w:r>
          <w:r>
            <w:instrText xml:space="preserve"> HYPERLINK \l _Toc7152 </w:instrText>
          </w:r>
          <w:r>
            <w:fldChar w:fldCharType="separate"/>
          </w:r>
          <w:r>
            <w:rPr>
              <w:rFonts w:hint="eastAsia"/>
              <w:bCs/>
              <w:szCs w:val="24"/>
            </w:rPr>
            <w:t>3.9.2 用户群体聚类分析</w:t>
          </w:r>
          <w:r>
            <w:tab/>
          </w:r>
          <w:r>
            <w:fldChar w:fldCharType="begin"/>
          </w:r>
          <w:r>
            <w:instrText xml:space="preserve"> PAGEREF _Toc7152 \h </w:instrText>
          </w:r>
          <w:r>
            <w:fldChar w:fldCharType="separate"/>
          </w:r>
          <w:r>
            <w:t>14</w:t>
          </w:r>
          <w:r>
            <w:fldChar w:fldCharType="end"/>
          </w:r>
          <w:r>
            <w:fldChar w:fldCharType="end"/>
          </w:r>
        </w:p>
        <w:p w14:paraId="1592ADD7">
          <w:pPr>
            <w:pStyle w:val="12"/>
            <w:tabs>
              <w:tab w:val="right" w:leader="dot" w:pos="8306"/>
            </w:tabs>
          </w:pPr>
          <w:r>
            <w:fldChar w:fldCharType="begin"/>
          </w:r>
          <w:r>
            <w:instrText xml:space="preserve"> HYPERLINK \l _Toc3970 </w:instrText>
          </w:r>
          <w:r>
            <w:fldChar w:fldCharType="separate"/>
          </w:r>
          <w:r>
            <w:rPr>
              <w:rFonts w:hint="eastAsia"/>
              <w:bCs/>
              <w:szCs w:val="28"/>
            </w:rPr>
            <w:t>3.10 综合分析结论</w:t>
          </w:r>
          <w:r>
            <w:tab/>
          </w:r>
          <w:r>
            <w:fldChar w:fldCharType="begin"/>
          </w:r>
          <w:r>
            <w:instrText xml:space="preserve"> PAGEREF _Toc3970 \h </w:instrText>
          </w:r>
          <w:r>
            <w:fldChar w:fldCharType="separate"/>
          </w:r>
          <w:r>
            <w:t>14</w:t>
          </w:r>
          <w:r>
            <w:fldChar w:fldCharType="end"/>
          </w:r>
          <w:r>
            <w:fldChar w:fldCharType="end"/>
          </w:r>
        </w:p>
        <w:p w14:paraId="0B9BACB9">
          <w:pPr>
            <w:pStyle w:val="10"/>
            <w:tabs>
              <w:tab w:val="right" w:leader="dot" w:pos="8306"/>
            </w:tabs>
          </w:pPr>
          <w:r>
            <w:fldChar w:fldCharType="begin"/>
          </w:r>
          <w:r>
            <w:instrText xml:space="preserve"> HYPERLINK \l _Toc15659 </w:instrText>
          </w:r>
          <w:r>
            <w:fldChar w:fldCharType="separate"/>
          </w:r>
          <w:r>
            <w:rPr>
              <w:rFonts w:hint="eastAsia"/>
              <w:lang w:eastAsia="zh-CN"/>
            </w:rPr>
            <w:t>第四章 设计策略框架构建</w:t>
          </w:r>
          <w:r>
            <w:tab/>
          </w:r>
          <w:r>
            <w:fldChar w:fldCharType="begin"/>
          </w:r>
          <w:r>
            <w:instrText xml:space="preserve"> PAGEREF _Toc15659 \h </w:instrText>
          </w:r>
          <w:r>
            <w:fldChar w:fldCharType="separate"/>
          </w:r>
          <w:r>
            <w:t>15</w:t>
          </w:r>
          <w:r>
            <w:fldChar w:fldCharType="end"/>
          </w:r>
          <w:r>
            <w:fldChar w:fldCharType="end"/>
          </w:r>
        </w:p>
        <w:p w14:paraId="684E7023">
          <w:pPr>
            <w:pStyle w:val="10"/>
            <w:tabs>
              <w:tab w:val="right" w:leader="dot" w:pos="8306"/>
            </w:tabs>
          </w:pPr>
          <w:r>
            <w:fldChar w:fldCharType="begin"/>
          </w:r>
          <w:r>
            <w:instrText xml:space="preserve"> HYPERLINK \l _Toc26549 </w:instrText>
          </w:r>
          <w:r>
            <w:fldChar w:fldCharType="separate"/>
          </w:r>
          <w:r>
            <w:rPr>
              <w:rFonts w:hint="eastAsia"/>
              <w:lang w:eastAsia="zh-CN"/>
            </w:rPr>
            <w:t>第五章 设计创新应用与原型构想</w:t>
          </w:r>
          <w:r>
            <w:tab/>
          </w:r>
          <w:r>
            <w:fldChar w:fldCharType="begin"/>
          </w:r>
          <w:r>
            <w:instrText xml:space="preserve"> PAGEREF _Toc26549 \h </w:instrText>
          </w:r>
          <w:r>
            <w:fldChar w:fldCharType="separate"/>
          </w:r>
          <w:r>
            <w:t>15</w:t>
          </w:r>
          <w:r>
            <w:fldChar w:fldCharType="end"/>
          </w:r>
          <w:r>
            <w:fldChar w:fldCharType="end"/>
          </w:r>
        </w:p>
        <w:p w14:paraId="1DAE4AD3">
          <w:pPr>
            <w:pStyle w:val="12"/>
            <w:tabs>
              <w:tab w:val="right" w:leader="dot" w:pos="8306"/>
            </w:tabs>
          </w:pPr>
          <w:r>
            <w:fldChar w:fldCharType="begin"/>
          </w:r>
          <w:r>
            <w:instrText xml:space="preserve"> HYPERLINK \l _Toc17444 </w:instrText>
          </w:r>
          <w:r>
            <w:fldChar w:fldCharType="separate"/>
          </w:r>
          <w:r>
            <w:rPr>
              <w:rFonts w:hint="eastAsia"/>
              <w:bCs/>
              <w:szCs w:val="28"/>
              <w:lang w:eastAsia="zh-CN"/>
            </w:rPr>
            <w:t>5.1 适老化游戏设计的创新方向</w:t>
          </w:r>
          <w:r>
            <w:tab/>
          </w:r>
          <w:r>
            <w:fldChar w:fldCharType="begin"/>
          </w:r>
          <w:r>
            <w:instrText xml:space="preserve"> PAGEREF _Toc17444 \h </w:instrText>
          </w:r>
          <w:r>
            <w:fldChar w:fldCharType="separate"/>
          </w:r>
          <w:r>
            <w:t>15</w:t>
          </w:r>
          <w:r>
            <w:fldChar w:fldCharType="end"/>
          </w:r>
          <w:r>
            <w:fldChar w:fldCharType="end"/>
          </w:r>
        </w:p>
        <w:p w14:paraId="03639F57">
          <w:pPr>
            <w:pStyle w:val="12"/>
            <w:tabs>
              <w:tab w:val="right" w:leader="dot" w:pos="8306"/>
            </w:tabs>
          </w:pPr>
          <w:r>
            <w:fldChar w:fldCharType="begin"/>
          </w:r>
          <w:r>
            <w:instrText xml:space="preserve"> HYPERLINK \l _Toc11858 </w:instrText>
          </w:r>
          <w:r>
            <w:fldChar w:fldCharType="separate"/>
          </w:r>
          <w:r>
            <w:rPr>
              <w:rFonts w:hint="eastAsia"/>
              <w:bCs/>
              <w:szCs w:val="28"/>
              <w:lang w:eastAsia="zh-CN"/>
            </w:rPr>
            <w:t>5.2 游戏原型构想</w:t>
          </w:r>
          <w:r>
            <w:tab/>
          </w:r>
          <w:r>
            <w:fldChar w:fldCharType="begin"/>
          </w:r>
          <w:r>
            <w:instrText xml:space="preserve"> PAGEREF _Toc11858 \h </w:instrText>
          </w:r>
          <w:r>
            <w:fldChar w:fldCharType="separate"/>
          </w:r>
          <w:r>
            <w:t>15</w:t>
          </w:r>
          <w:r>
            <w:fldChar w:fldCharType="end"/>
          </w:r>
          <w:r>
            <w:fldChar w:fldCharType="end"/>
          </w:r>
        </w:p>
        <w:p w14:paraId="7D52EC75">
          <w:pPr>
            <w:pStyle w:val="12"/>
            <w:tabs>
              <w:tab w:val="right" w:leader="dot" w:pos="8306"/>
            </w:tabs>
          </w:pPr>
          <w:r>
            <w:fldChar w:fldCharType="begin"/>
          </w:r>
          <w:r>
            <w:instrText xml:space="preserve"> HYPERLINK \l _Toc31301 </w:instrText>
          </w:r>
          <w:r>
            <w:fldChar w:fldCharType="separate"/>
          </w:r>
          <w:r>
            <w:rPr>
              <w:rFonts w:hint="eastAsia"/>
              <w:bCs/>
              <w:szCs w:val="28"/>
              <w:lang w:val="en-US" w:eastAsia="zh-CN"/>
            </w:rPr>
            <w:t>5.3设计说明</w:t>
          </w:r>
          <w:r>
            <w:tab/>
          </w:r>
          <w:r>
            <w:fldChar w:fldCharType="begin"/>
          </w:r>
          <w:r>
            <w:instrText xml:space="preserve"> PAGEREF _Toc31301 \h </w:instrText>
          </w:r>
          <w:r>
            <w:fldChar w:fldCharType="separate"/>
          </w:r>
          <w:r>
            <w:t>16</w:t>
          </w:r>
          <w:r>
            <w:fldChar w:fldCharType="end"/>
          </w:r>
          <w:r>
            <w:fldChar w:fldCharType="end"/>
          </w:r>
        </w:p>
        <w:p w14:paraId="28116D47">
          <w:pPr>
            <w:pStyle w:val="7"/>
            <w:tabs>
              <w:tab w:val="right" w:leader="dot" w:pos="8306"/>
            </w:tabs>
          </w:pPr>
          <w:r>
            <w:fldChar w:fldCharType="begin"/>
          </w:r>
          <w:r>
            <w:instrText xml:space="preserve"> HYPERLINK \l _Toc13502 </w:instrText>
          </w:r>
          <w:r>
            <w:fldChar w:fldCharType="separate"/>
          </w:r>
          <w:r>
            <w:rPr>
              <w:rFonts w:hint="eastAsia"/>
              <w:bCs/>
              <w:szCs w:val="24"/>
              <w:lang w:val="en-US" w:eastAsia="zh-CN"/>
            </w:rPr>
            <w:t>5.3.1详细页面设计</w:t>
          </w:r>
          <w:r>
            <w:tab/>
          </w:r>
          <w:r>
            <w:fldChar w:fldCharType="begin"/>
          </w:r>
          <w:r>
            <w:instrText xml:space="preserve"> PAGEREF _Toc13502 \h </w:instrText>
          </w:r>
          <w:r>
            <w:fldChar w:fldCharType="separate"/>
          </w:r>
          <w:r>
            <w:t>16</w:t>
          </w:r>
          <w:r>
            <w:fldChar w:fldCharType="end"/>
          </w:r>
          <w:r>
            <w:fldChar w:fldCharType="end"/>
          </w:r>
        </w:p>
        <w:p w14:paraId="0D9BD080">
          <w:pPr>
            <w:pStyle w:val="7"/>
            <w:tabs>
              <w:tab w:val="right" w:leader="dot" w:pos="8306"/>
            </w:tabs>
          </w:pPr>
          <w:r>
            <w:fldChar w:fldCharType="begin"/>
          </w:r>
          <w:r>
            <w:instrText xml:space="preserve"> HYPERLINK \l _Toc3160 </w:instrText>
          </w:r>
          <w:r>
            <w:fldChar w:fldCharType="separate"/>
          </w:r>
          <w:r>
            <w:rPr>
              <w:rFonts w:hint="eastAsia"/>
              <w:bCs/>
              <w:szCs w:val="24"/>
              <w:lang w:val="en-US" w:eastAsia="zh-CN"/>
            </w:rPr>
            <w:t>5.3.2设计评估</w:t>
          </w:r>
          <w:r>
            <w:tab/>
          </w:r>
          <w:r>
            <w:fldChar w:fldCharType="begin"/>
          </w:r>
          <w:r>
            <w:instrText xml:space="preserve"> PAGEREF _Toc3160 \h </w:instrText>
          </w:r>
          <w:r>
            <w:fldChar w:fldCharType="separate"/>
          </w:r>
          <w:r>
            <w:t>17</w:t>
          </w:r>
          <w:r>
            <w:fldChar w:fldCharType="end"/>
          </w:r>
          <w:r>
            <w:fldChar w:fldCharType="end"/>
          </w:r>
        </w:p>
        <w:p w14:paraId="47F05BA8">
          <w:pPr>
            <w:pStyle w:val="10"/>
            <w:tabs>
              <w:tab w:val="right" w:leader="dot" w:pos="8306"/>
            </w:tabs>
          </w:pPr>
          <w:r>
            <w:fldChar w:fldCharType="begin"/>
          </w:r>
          <w:r>
            <w:instrText xml:space="preserve"> HYPERLINK \l _Toc9711 </w:instrText>
          </w:r>
          <w:r>
            <w:fldChar w:fldCharType="separate"/>
          </w:r>
          <w:r>
            <w:rPr>
              <w:rFonts w:hint="eastAsia"/>
              <w:lang w:val="en-US" w:eastAsia="zh-CN"/>
            </w:rPr>
            <w:t xml:space="preserve">第六章 </w:t>
          </w:r>
          <w:r>
            <w:rPr>
              <w:rFonts w:hint="default"/>
              <w:lang w:val="en-US" w:eastAsia="zh-CN"/>
            </w:rPr>
            <w:t>总结与展望</w:t>
          </w:r>
          <w:r>
            <w:tab/>
          </w:r>
          <w:r>
            <w:fldChar w:fldCharType="begin"/>
          </w:r>
          <w:r>
            <w:instrText xml:space="preserve"> PAGEREF _Toc9711 \h </w:instrText>
          </w:r>
          <w:r>
            <w:fldChar w:fldCharType="separate"/>
          </w:r>
          <w:r>
            <w:t>17</w:t>
          </w:r>
          <w:r>
            <w:fldChar w:fldCharType="end"/>
          </w:r>
          <w:r>
            <w:fldChar w:fldCharType="end"/>
          </w:r>
        </w:p>
        <w:p w14:paraId="45077299">
          <w:pPr>
            <w:pStyle w:val="12"/>
            <w:tabs>
              <w:tab w:val="right" w:leader="dot" w:pos="8306"/>
            </w:tabs>
          </w:pPr>
          <w:r>
            <w:fldChar w:fldCharType="begin"/>
          </w:r>
          <w:r>
            <w:instrText xml:space="preserve"> HYPERLINK \l _Toc11859 </w:instrText>
          </w:r>
          <w:r>
            <w:fldChar w:fldCharType="separate"/>
          </w:r>
          <w:r>
            <w:rPr>
              <w:rFonts w:hint="eastAsia"/>
              <w:bCs/>
              <w:szCs w:val="28"/>
              <w:lang w:val="en-US" w:eastAsia="zh-CN"/>
            </w:rPr>
            <w:t>6</w:t>
          </w:r>
          <w:r>
            <w:rPr>
              <w:rFonts w:hint="default"/>
              <w:bCs/>
              <w:szCs w:val="28"/>
              <w:lang w:val="en-US" w:eastAsia="zh-CN"/>
            </w:rPr>
            <w:t>.1 研究总结</w:t>
          </w:r>
          <w:r>
            <w:tab/>
          </w:r>
          <w:r>
            <w:fldChar w:fldCharType="begin"/>
          </w:r>
          <w:r>
            <w:instrText xml:space="preserve"> PAGEREF _Toc11859 \h </w:instrText>
          </w:r>
          <w:r>
            <w:fldChar w:fldCharType="separate"/>
          </w:r>
          <w:r>
            <w:t>17</w:t>
          </w:r>
          <w:r>
            <w:fldChar w:fldCharType="end"/>
          </w:r>
          <w:r>
            <w:fldChar w:fldCharType="end"/>
          </w:r>
        </w:p>
        <w:p w14:paraId="051B4771">
          <w:pPr>
            <w:pStyle w:val="12"/>
            <w:tabs>
              <w:tab w:val="right" w:leader="dot" w:pos="8306"/>
            </w:tabs>
          </w:pPr>
          <w:r>
            <w:fldChar w:fldCharType="begin"/>
          </w:r>
          <w:r>
            <w:instrText xml:space="preserve"> HYPERLINK \l _Toc7453 </w:instrText>
          </w:r>
          <w:r>
            <w:fldChar w:fldCharType="separate"/>
          </w:r>
          <w:r>
            <w:rPr>
              <w:rFonts w:hint="eastAsia"/>
              <w:bCs/>
              <w:szCs w:val="28"/>
              <w:lang w:val="en-US" w:eastAsia="zh-CN"/>
            </w:rPr>
            <w:t>6</w:t>
          </w:r>
          <w:r>
            <w:rPr>
              <w:rFonts w:hint="default"/>
              <w:bCs/>
              <w:szCs w:val="28"/>
              <w:lang w:val="en-US" w:eastAsia="zh-CN"/>
            </w:rPr>
            <w:t>.2 未来展望</w:t>
          </w:r>
          <w:r>
            <w:tab/>
          </w:r>
          <w:r>
            <w:fldChar w:fldCharType="begin"/>
          </w:r>
          <w:r>
            <w:instrText xml:space="preserve"> PAGEREF _Toc7453 \h </w:instrText>
          </w:r>
          <w:r>
            <w:fldChar w:fldCharType="separate"/>
          </w:r>
          <w:r>
            <w:t>17</w:t>
          </w:r>
          <w:r>
            <w:fldChar w:fldCharType="end"/>
          </w:r>
          <w:r>
            <w:fldChar w:fldCharType="end"/>
          </w:r>
          <w:r>
            <w:fldChar w:fldCharType="end"/>
          </w:r>
        </w:p>
      </w:sdtContent>
    </w:sdt>
    <w:p w14:paraId="2E6F7F24"/>
    <w:p w14:paraId="2CE5EFAE"/>
    <w:p w14:paraId="42238429"/>
    <w:p w14:paraId="5F105B7A"/>
    <w:p w14:paraId="1C3C20DB"/>
    <w:p w14:paraId="4A4E0434"/>
    <w:p w14:paraId="5001D09C"/>
    <w:p w14:paraId="4CD2719A"/>
    <w:p w14:paraId="256EBD32"/>
    <w:p w14:paraId="6B61DC25"/>
    <w:p w14:paraId="027B11D5"/>
    <w:p w14:paraId="6F211278"/>
    <w:p w14:paraId="7062DC30"/>
    <w:p w14:paraId="1697FB5A"/>
    <w:p w14:paraId="0825B7C0"/>
    <w:p w14:paraId="3D3D9FB0"/>
    <w:p w14:paraId="35C99A7D"/>
    <w:p w14:paraId="7D85626D"/>
    <w:p w14:paraId="3759A71C"/>
    <w:p w14:paraId="1F03110B"/>
    <w:p w14:paraId="3CEBD40E"/>
    <w:p w14:paraId="72CC1D24"/>
    <w:p w14:paraId="7A371E1D"/>
    <w:p w14:paraId="3EF8AAD2"/>
    <w:p w14:paraId="43DD38EF"/>
    <w:p w14:paraId="70F799B0"/>
    <w:p w14:paraId="78F2A700"/>
    <w:p w14:paraId="6FD01695"/>
    <w:p w14:paraId="281908A8"/>
    <w:p w14:paraId="55707E4C"/>
    <w:p w14:paraId="2126064D"/>
    <w:p w14:paraId="30979FD1"/>
    <w:p w14:paraId="318DED19"/>
    <w:p w14:paraId="18A01E49"/>
    <w:p w14:paraId="0249FF2B"/>
    <w:p w14:paraId="12505D3C"/>
    <w:p w14:paraId="29A88086">
      <w:pPr>
        <w:rPr>
          <w:rFonts w:hint="eastAsia" w:eastAsia="宋体"/>
          <w:lang w:eastAsia="zh-CN"/>
        </w:rPr>
      </w:pPr>
    </w:p>
    <w:p w14:paraId="1D5DEE1B">
      <w:pPr>
        <w:pStyle w:val="2"/>
        <w:bidi w:val="0"/>
        <w:rPr>
          <w:rFonts w:hint="eastAsia"/>
        </w:rPr>
      </w:pPr>
      <w:bookmarkStart w:id="0" w:name="_Toc13870"/>
      <w:r>
        <w:rPr>
          <w:rFonts w:hint="eastAsia"/>
        </w:rPr>
        <w:t>调研概述</w:t>
      </w:r>
      <w:bookmarkEnd w:id="0"/>
    </w:p>
    <w:p w14:paraId="7B5A61CB">
      <w:pPr>
        <w:pStyle w:val="3"/>
        <w:bidi w:val="0"/>
        <w:rPr>
          <w:rFonts w:hint="eastAsia"/>
        </w:rPr>
      </w:pPr>
      <w:bookmarkStart w:id="1" w:name="_Toc15166"/>
      <w:r>
        <w:rPr>
          <w:rFonts w:hint="eastAsia"/>
        </w:rPr>
        <w:t>调研背景与目的</w:t>
      </w:r>
      <w:bookmarkEnd w:id="1"/>
    </w:p>
    <w:p w14:paraId="5E701630">
      <w:pPr>
        <w:rPr>
          <w:rFonts w:hint="eastAsia"/>
          <w:sz w:val="24"/>
          <w:szCs w:val="24"/>
        </w:rPr>
      </w:pPr>
      <w:r>
        <w:rPr>
          <w:rFonts w:hint="eastAsia"/>
          <w:sz w:val="24"/>
          <w:szCs w:val="24"/>
        </w:rPr>
        <w:t>随着全球人口老龄化加剧，老年人面临精神文化需求和数字融入的双重挑战。尽管数字技术日益普及，但主流产品设计往往忽略老年人的身心特点，导致他们在游戏等数字娱乐中面临显著的“使用鸿沟”。</w:t>
      </w:r>
    </w:p>
    <w:p w14:paraId="3EDB8BB0">
      <w:pPr>
        <w:rPr>
          <w:rFonts w:hint="eastAsia"/>
          <w:sz w:val="24"/>
          <w:szCs w:val="24"/>
        </w:rPr>
      </w:pPr>
    </w:p>
    <w:p w14:paraId="2162EF02">
      <w:pPr>
        <w:rPr>
          <w:rFonts w:hint="eastAsia"/>
          <w:sz w:val="24"/>
          <w:szCs w:val="24"/>
        </w:rPr>
      </w:pPr>
      <w:r>
        <w:rPr>
          <w:rFonts w:hint="eastAsia"/>
          <w:sz w:val="24"/>
          <w:szCs w:val="24"/>
        </w:rPr>
        <w:t>在众多适合老年人的游戏中，益智解谜与脑力训练类游戏更受青睐，例如数独、拼图、连连看、逻辑推理和记忆训练应用等。这类游戏规则简单、操作直观，既能活跃思维，又有助于延缓认知衰退。相比于纯娱乐性游戏，它们更契合老年人“寓教于乐”的偏好，使他们在休闲中锻炼大脑。因此，本研究致力于开发一款适合老年人的益智解谜与脑力训练游戏。</w:t>
      </w:r>
    </w:p>
    <w:p w14:paraId="4AD28F58">
      <w:pPr>
        <w:rPr>
          <w:rFonts w:hint="eastAsia"/>
          <w:sz w:val="24"/>
          <w:szCs w:val="24"/>
        </w:rPr>
      </w:pPr>
    </w:p>
    <w:p w14:paraId="63C9A9E2">
      <w:pPr>
        <w:rPr>
          <w:rFonts w:hint="eastAsia"/>
          <w:sz w:val="24"/>
          <w:szCs w:val="24"/>
        </w:rPr>
      </w:pPr>
      <w:r>
        <w:rPr>
          <w:rFonts w:hint="eastAsia"/>
          <w:sz w:val="24"/>
          <w:szCs w:val="24"/>
        </w:rPr>
        <w:t>本研究的具体目的如下：</w:t>
      </w:r>
    </w:p>
    <w:p w14:paraId="140B9BFA">
      <w:pPr>
        <w:rPr>
          <w:rFonts w:hint="eastAsia"/>
          <w:sz w:val="24"/>
          <w:szCs w:val="24"/>
        </w:rPr>
      </w:pPr>
      <w:r>
        <w:rPr>
          <w:rFonts w:hint="eastAsia"/>
          <w:sz w:val="24"/>
          <w:szCs w:val="24"/>
          <w:lang w:val="en-US" w:eastAsia="zh-CN"/>
        </w:rPr>
        <w:t>1</w:t>
      </w:r>
      <w:r>
        <w:rPr>
          <w:rFonts w:hint="eastAsia"/>
          <w:sz w:val="24"/>
          <w:szCs w:val="24"/>
        </w:rPr>
        <w:t>.评估设计要素：量化分析老年用户对游戏界面在直观性、难度、美观度等维度的评价，识别关键设计痛点。</w:t>
      </w:r>
    </w:p>
    <w:p w14:paraId="51C7AB44">
      <w:pPr>
        <w:rPr>
          <w:rFonts w:hint="eastAsia"/>
          <w:sz w:val="24"/>
          <w:szCs w:val="24"/>
        </w:rPr>
      </w:pPr>
      <w:r>
        <w:rPr>
          <w:rFonts w:hint="eastAsia"/>
          <w:sz w:val="24"/>
          <w:szCs w:val="24"/>
          <w:lang w:val="en-US" w:eastAsia="zh-CN"/>
        </w:rPr>
        <w:t>2</w:t>
      </w:r>
      <w:r>
        <w:rPr>
          <w:rFonts w:hint="eastAsia"/>
          <w:sz w:val="24"/>
          <w:szCs w:val="24"/>
        </w:rPr>
        <w:t>.明确使用场景：探究其对社交互动模式与硬件设备的偏好，界定核心应用场景。</w:t>
      </w:r>
    </w:p>
    <w:p w14:paraId="1C0975F9">
      <w:pPr>
        <w:rPr>
          <w:rFonts w:hint="eastAsia"/>
          <w:sz w:val="24"/>
          <w:szCs w:val="24"/>
        </w:rPr>
      </w:pPr>
      <w:r>
        <w:rPr>
          <w:rFonts w:hint="eastAsia"/>
          <w:sz w:val="24"/>
          <w:szCs w:val="24"/>
          <w:lang w:val="en-US" w:eastAsia="zh-CN"/>
        </w:rPr>
        <w:t>3</w:t>
      </w:r>
      <w:r>
        <w:rPr>
          <w:rFonts w:hint="eastAsia"/>
          <w:sz w:val="24"/>
          <w:szCs w:val="24"/>
        </w:rPr>
        <w:t>.提出设计指南：最终产出具有实践指导意义的设计原则与策略，为开发真正符合老年用户需求的游戏产品提供理论依据与实践支撑。</w:t>
      </w:r>
    </w:p>
    <w:p w14:paraId="4BEC9864">
      <w:pPr>
        <w:rPr>
          <w:rFonts w:hint="eastAsia"/>
          <w:sz w:val="24"/>
          <w:szCs w:val="24"/>
        </w:rPr>
      </w:pPr>
    </w:p>
    <w:p w14:paraId="0DF38457">
      <w:pPr>
        <w:rPr>
          <w:rFonts w:hint="eastAsia"/>
          <w:sz w:val="24"/>
          <w:szCs w:val="24"/>
        </w:rPr>
      </w:pPr>
      <w:r>
        <w:rPr>
          <w:rFonts w:hint="eastAsia"/>
          <w:sz w:val="24"/>
          <w:szCs w:val="24"/>
        </w:rPr>
        <w:t>本研究致力于弥合数字鸿沟，提升老年群体的数字生活品质，兼具社会价值与学术意义。</w:t>
      </w:r>
    </w:p>
    <w:p w14:paraId="134A7D95">
      <w:pPr>
        <w:outlineLvl w:val="1"/>
        <w:rPr>
          <w:rFonts w:hint="eastAsia" w:eastAsiaTheme="minorEastAsia"/>
          <w:b/>
          <w:bCs/>
          <w:sz w:val="28"/>
          <w:szCs w:val="28"/>
          <w:lang w:eastAsia="zh-CN"/>
        </w:rPr>
      </w:pPr>
      <w:bookmarkStart w:id="2" w:name="_Toc164"/>
      <w:r>
        <w:rPr>
          <w:rFonts w:hint="eastAsia"/>
          <w:b/>
          <w:bCs/>
          <w:sz w:val="28"/>
          <w:szCs w:val="28"/>
        </w:rPr>
        <w:t>1.2 调研流程与方法</w:t>
      </w:r>
      <w:bookmarkEnd w:id="2"/>
    </w:p>
    <w:p w14:paraId="32A1F7FC">
      <w:pPr>
        <w:rPr>
          <w:rFonts w:hint="eastAsia"/>
          <w:sz w:val="24"/>
          <w:szCs w:val="24"/>
        </w:rPr>
      </w:pPr>
      <w:r>
        <w:rPr>
          <w:rFonts w:hint="eastAsia"/>
          <w:sz w:val="24"/>
          <w:szCs w:val="24"/>
        </w:rPr>
        <w:t>本次调研采用结构化在线问卷的方式进行，流程如下：</w:t>
      </w:r>
    </w:p>
    <w:p w14:paraId="303F37D6">
      <w:pPr>
        <w:rPr>
          <w:rFonts w:hint="eastAsia"/>
          <w:sz w:val="24"/>
          <w:szCs w:val="24"/>
        </w:rPr>
      </w:pPr>
      <w:r>
        <w:rPr>
          <w:rFonts w:hint="eastAsia"/>
          <w:sz w:val="24"/>
          <w:szCs w:val="24"/>
        </w:rPr>
        <w:t>1.问卷设计：基于感性工学原理，将抽象的用户“感受”（如“是否直观”、“是否美观”）转化为可量化的评价指标（15分量表）。问卷涵盖用户基本信息、行为习惯、以及对五款不同风格游戏界面的具体评价。</w:t>
      </w:r>
    </w:p>
    <w:p w14:paraId="003C7F29">
      <w:pPr>
        <w:rPr>
          <w:rFonts w:hint="eastAsia"/>
          <w:sz w:val="24"/>
          <w:szCs w:val="24"/>
        </w:rPr>
      </w:pPr>
      <w:r>
        <w:rPr>
          <w:rFonts w:hint="eastAsia"/>
          <w:sz w:val="24"/>
          <w:szCs w:val="24"/>
        </w:rPr>
        <w:t>2.数据收集：共回收有效问卷31份，样本量足以进行有效的描述性统计和趋势分析。</w:t>
      </w:r>
    </w:p>
    <w:p w14:paraId="60D6561C">
      <w:pPr>
        <w:rPr>
          <w:rFonts w:hint="eastAsia"/>
          <w:sz w:val="24"/>
          <w:szCs w:val="24"/>
        </w:rPr>
      </w:pPr>
      <w:r>
        <w:rPr>
          <w:rFonts w:hint="eastAsia"/>
          <w:sz w:val="24"/>
          <w:szCs w:val="24"/>
        </w:rPr>
        <w:t>3.数据分析：主要采用描述性统计分析和平均值对比分析，深入挖掘数据背后的逻辑关系与设计启示。</w:t>
      </w:r>
    </w:p>
    <w:p w14:paraId="7EF7EBE6">
      <w:pPr>
        <w:outlineLvl w:val="1"/>
        <w:rPr>
          <w:rFonts w:hint="default"/>
          <w:b/>
          <w:bCs/>
          <w:sz w:val="28"/>
          <w:szCs w:val="28"/>
          <w:lang w:val="en-US"/>
        </w:rPr>
      </w:pPr>
      <w:bookmarkStart w:id="3" w:name="_Toc10783"/>
      <w:r>
        <w:rPr>
          <w:rFonts w:hint="eastAsia"/>
          <w:b/>
          <w:bCs/>
          <w:sz w:val="28"/>
          <w:szCs w:val="28"/>
        </w:rPr>
        <w:t xml:space="preserve">1.3 </w:t>
      </w:r>
      <w:r>
        <w:rPr>
          <w:rFonts w:hint="eastAsia"/>
          <w:b/>
          <w:bCs/>
          <w:sz w:val="28"/>
          <w:szCs w:val="28"/>
          <w:lang w:val="en-US" w:eastAsia="zh-CN"/>
        </w:rPr>
        <w:t>老年人游戏设计要素与选择</w:t>
      </w:r>
      <w:bookmarkEnd w:id="3"/>
    </w:p>
    <w:p w14:paraId="135AD85B">
      <w:pPr>
        <w:pStyle w:val="4"/>
        <w:bidi w:val="0"/>
        <w:rPr>
          <w:rFonts w:hint="eastAsia"/>
          <w:lang w:val="en-US" w:eastAsia="zh-CN"/>
        </w:rPr>
      </w:pPr>
      <w:bookmarkStart w:id="4" w:name="_Toc6750"/>
      <w:r>
        <w:rPr>
          <w:rFonts w:hint="eastAsia"/>
          <w:lang w:val="en-US" w:eastAsia="zh-CN"/>
        </w:rPr>
        <w:t>1.3.1老年人的特征与痛点</w:t>
      </w:r>
      <w:bookmarkEnd w:id="4"/>
    </w:p>
    <w:p w14:paraId="21E3EC6F">
      <w:pPr>
        <w:rPr>
          <w:rFonts w:hint="default" w:ascii="Arial" w:hAnsi="Arial" w:eastAsia="宋体" w:cs="Arial"/>
          <w:b w:val="0"/>
          <w:bCs w:val="0"/>
          <w:i w:val="0"/>
          <w:caps w:val="0"/>
          <w:color w:val="222222"/>
          <w:spacing w:val="0"/>
          <w:sz w:val="24"/>
          <w:szCs w:val="24"/>
          <w:shd w:val="clear" w:fill="FFFFFF"/>
          <w:lang w:val="en-US" w:eastAsia="zh-CN"/>
        </w:rPr>
      </w:pPr>
      <w:r>
        <w:rPr>
          <w:rFonts w:hint="eastAsia" w:ascii="Arial" w:hAnsi="Arial" w:eastAsia="宋体" w:cs="Arial"/>
          <w:b w:val="0"/>
          <w:bCs w:val="0"/>
          <w:i w:val="0"/>
          <w:caps w:val="0"/>
          <w:color w:val="222222"/>
          <w:spacing w:val="0"/>
          <w:sz w:val="24"/>
          <w:szCs w:val="24"/>
          <w:shd w:val="clear" w:fill="FFFFFF"/>
          <w:lang w:val="en-US" w:eastAsia="zh-CN"/>
        </w:rPr>
        <w:t>特征：</w:t>
      </w:r>
    </w:p>
    <w:p w14:paraId="2DD00C6F">
      <w:pPr>
        <w:pStyle w:val="13"/>
        <w:keepNext w:val="0"/>
        <w:keepLines w:val="0"/>
        <w:widowControl/>
        <w:numPr>
          <w:ilvl w:val="0"/>
          <w:numId w:val="3"/>
        </w:numPr>
        <w:suppressLineNumbers w:val="0"/>
        <w:rPr>
          <w:rFonts w:hint="default" w:ascii="Arial" w:hAnsi="Arial" w:eastAsia="宋体" w:cs="Arial"/>
          <w:b w:val="0"/>
          <w:bCs w:val="0"/>
          <w:i w:val="0"/>
          <w:caps w:val="0"/>
          <w:color w:val="222222"/>
          <w:spacing w:val="0"/>
          <w:sz w:val="24"/>
          <w:szCs w:val="24"/>
          <w:shd w:val="clear" w:fill="FFFFFF"/>
          <w:lang w:val="en-US" w:eastAsia="zh-CN"/>
        </w:rPr>
      </w:pPr>
      <w:r>
        <w:rPr>
          <w:rFonts w:hint="default" w:ascii="Arial" w:hAnsi="Arial" w:eastAsia="宋体" w:cs="Arial"/>
          <w:b w:val="0"/>
          <w:bCs w:val="0"/>
          <w:i w:val="0"/>
          <w:caps w:val="0"/>
          <w:color w:val="222222"/>
          <w:spacing w:val="0"/>
          <w:sz w:val="24"/>
          <w:szCs w:val="24"/>
          <w:shd w:val="clear" w:fill="FFFFFF"/>
          <w:lang w:val="en-US" w:eastAsia="zh-CN"/>
        </w:rPr>
        <w:t xml:space="preserve"> 数字接入有限： 仅36.6%的老年人使用智能手机，游戏设计需考虑低数字素养群体的接入门槛。</w:t>
      </w:r>
    </w:p>
    <w:p w14:paraId="09FF8425">
      <w:pPr>
        <w:pStyle w:val="13"/>
        <w:keepNext w:val="0"/>
        <w:keepLines w:val="0"/>
        <w:widowControl/>
        <w:numPr>
          <w:ilvl w:val="0"/>
          <w:numId w:val="3"/>
        </w:numPr>
        <w:suppressLineNumbers w:val="0"/>
        <w:rPr>
          <w:rFonts w:hint="default" w:ascii="Arial" w:hAnsi="Arial" w:eastAsia="宋体" w:cs="Arial"/>
          <w:b w:val="0"/>
          <w:bCs w:val="0"/>
          <w:i w:val="0"/>
          <w:caps w:val="0"/>
          <w:color w:val="222222"/>
          <w:spacing w:val="0"/>
          <w:sz w:val="24"/>
          <w:szCs w:val="24"/>
          <w:shd w:val="clear" w:fill="FFFFFF"/>
          <w:lang w:val="en-US" w:eastAsia="zh-CN"/>
        </w:rPr>
      </w:pPr>
      <w:r>
        <w:rPr>
          <w:rFonts w:hint="default" w:ascii="Arial" w:hAnsi="Arial" w:eastAsia="宋体" w:cs="Arial"/>
          <w:b w:val="0"/>
          <w:bCs w:val="0"/>
          <w:i w:val="0"/>
          <w:caps w:val="0"/>
          <w:color w:val="222222"/>
          <w:spacing w:val="0"/>
          <w:sz w:val="24"/>
          <w:szCs w:val="24"/>
          <w:shd w:val="clear" w:fill="FFFFFF"/>
          <w:lang w:val="en-US" w:eastAsia="zh-CN"/>
        </w:rPr>
        <w:t>慢性病普遍： 约80%的老年人患有慢性病（以高血压最常见），设计需兼顾患者可能的精力不济、视力受损或注意力涣散。</w:t>
      </w:r>
    </w:p>
    <w:p w14:paraId="7A1C881D">
      <w:pPr>
        <w:pStyle w:val="13"/>
        <w:keepNext w:val="0"/>
        <w:keepLines w:val="0"/>
        <w:widowControl/>
        <w:numPr>
          <w:ilvl w:val="0"/>
          <w:numId w:val="3"/>
        </w:numPr>
        <w:suppressLineNumbers w:val="0"/>
        <w:rPr>
          <w:rFonts w:hint="default" w:ascii="Arial" w:hAnsi="Arial" w:eastAsia="宋体" w:cs="Arial"/>
          <w:b w:val="0"/>
          <w:bCs w:val="0"/>
          <w:i w:val="0"/>
          <w:caps w:val="0"/>
          <w:color w:val="222222"/>
          <w:spacing w:val="0"/>
          <w:sz w:val="24"/>
          <w:szCs w:val="24"/>
          <w:shd w:val="clear" w:fill="FFFFFF"/>
          <w:lang w:val="en-US" w:eastAsia="zh-CN"/>
        </w:rPr>
      </w:pPr>
      <w:r>
        <w:rPr>
          <w:rFonts w:hint="default" w:ascii="Arial" w:hAnsi="Arial" w:eastAsia="宋体" w:cs="Arial"/>
          <w:b w:val="0"/>
          <w:bCs w:val="0"/>
          <w:i w:val="0"/>
          <w:caps w:val="0"/>
          <w:color w:val="222222"/>
          <w:spacing w:val="0"/>
          <w:sz w:val="24"/>
          <w:szCs w:val="24"/>
          <w:shd w:val="clear" w:fill="FFFFFF"/>
          <w:lang w:val="en-US" w:eastAsia="zh-CN"/>
        </w:rPr>
        <w:t xml:space="preserve"> 学习意愿强烈： 近七成65岁以下低龄老人有参与老年大学的意愿，反映其持续的“银发教育”与精神文化需求。</w:t>
      </w:r>
    </w:p>
    <w:p w14:paraId="435B310C">
      <w:pPr>
        <w:pStyle w:val="13"/>
        <w:keepNext w:val="0"/>
        <w:keepLines w:val="0"/>
        <w:widowControl/>
        <w:numPr>
          <w:ilvl w:val="0"/>
          <w:numId w:val="3"/>
        </w:numPr>
        <w:suppressLineNumbers w:val="0"/>
        <w:rPr>
          <w:rFonts w:hint="default" w:ascii="Arial" w:hAnsi="Arial" w:eastAsia="宋体" w:cs="Arial"/>
          <w:b w:val="0"/>
          <w:bCs w:val="0"/>
          <w:i w:val="0"/>
          <w:caps w:val="0"/>
          <w:color w:val="222222"/>
          <w:spacing w:val="0"/>
          <w:sz w:val="24"/>
          <w:szCs w:val="24"/>
          <w:shd w:val="clear" w:fill="FFFFFF"/>
          <w:lang w:val="en-US" w:eastAsia="zh-CN"/>
        </w:rPr>
      </w:pPr>
      <w:r>
        <w:rPr>
          <w:rFonts w:hint="default" w:ascii="Arial" w:hAnsi="Arial" w:eastAsia="宋体" w:cs="Arial"/>
          <w:b w:val="0"/>
          <w:bCs w:val="0"/>
          <w:i w:val="0"/>
          <w:caps w:val="0"/>
          <w:color w:val="222222"/>
          <w:spacing w:val="0"/>
          <w:sz w:val="24"/>
          <w:szCs w:val="24"/>
          <w:shd w:val="clear" w:fill="FFFFFF"/>
          <w:lang w:val="en-US" w:eastAsia="zh-CN"/>
        </w:rPr>
        <w:t>社会连结需求强： 超60%老年人通过短视频获得生活乐趣，近半数用以了解时事，约25%借以维持亲友互动，显示其强烈的社交与情感连结动机。</w:t>
      </w:r>
    </w:p>
    <w:p w14:paraId="685E283E">
      <w:pPr>
        <w:pStyle w:val="13"/>
        <w:keepNext w:val="0"/>
        <w:keepLines w:val="0"/>
        <w:widowControl/>
        <w:numPr>
          <w:ilvl w:val="0"/>
          <w:numId w:val="3"/>
        </w:numPr>
        <w:suppressLineNumbers w:val="0"/>
        <w:rPr>
          <w:rFonts w:hint="default" w:ascii="Arial" w:hAnsi="Arial" w:eastAsia="宋体" w:cs="Arial"/>
          <w:b w:val="0"/>
          <w:bCs w:val="0"/>
          <w:i w:val="0"/>
          <w:caps w:val="0"/>
          <w:color w:val="222222"/>
          <w:spacing w:val="0"/>
          <w:sz w:val="24"/>
          <w:szCs w:val="24"/>
          <w:shd w:val="clear" w:fill="FFFFFF"/>
          <w:lang w:val="en-US" w:eastAsia="zh-CN"/>
        </w:rPr>
      </w:pPr>
      <w:r>
        <w:rPr>
          <w:rFonts w:hint="default" w:ascii="Arial" w:hAnsi="Arial" w:eastAsia="宋体" w:cs="Arial"/>
          <w:b w:val="0"/>
          <w:bCs w:val="0"/>
          <w:i w:val="0"/>
          <w:caps w:val="0"/>
          <w:color w:val="222222"/>
          <w:spacing w:val="0"/>
          <w:sz w:val="24"/>
          <w:szCs w:val="24"/>
          <w:shd w:val="clear" w:fill="FFFFFF"/>
          <w:lang w:val="en-US" w:eastAsia="zh-CN"/>
        </w:rPr>
        <w:t>认知功能退化： 多项认知功能（处理速度、执行能力、记忆力等）自50岁后呈衰退趋势，良好教育、社交与体力活动有助于延缓衰退，而慢性病会加速认知下降。</w:t>
      </w:r>
    </w:p>
    <w:p w14:paraId="1FF8DCD8">
      <w:pPr>
        <w:pStyle w:val="13"/>
        <w:keepNext w:val="0"/>
        <w:keepLines w:val="0"/>
        <w:widowControl/>
        <w:suppressLineNumbers w:val="0"/>
        <w:rPr>
          <w:rFonts w:hint="eastAsia"/>
          <w:sz w:val="24"/>
          <w:szCs w:val="24"/>
        </w:rPr>
      </w:pPr>
      <w:r>
        <w:rPr>
          <w:rFonts w:hint="eastAsia"/>
          <w:sz w:val="24"/>
          <w:szCs w:val="24"/>
          <w:lang w:val="en-US" w:eastAsia="zh-CN"/>
        </w:rPr>
        <w:t>痛点：</w:t>
      </w:r>
      <w:r>
        <w:rPr>
          <w:rFonts w:hint="eastAsia"/>
          <w:sz w:val="24"/>
          <w:szCs w:val="24"/>
        </w:rPr>
        <w:t>当前，老年人在使用益智解谜与脑力训练类游戏时仍面临不少痛点：界面设计上常存在字体过小、颜色对比弱、提示不清晰等问题，造成视觉负担；部分游戏难度上升过快或规则说明不清，容易让老年用户在初期产生挫败感，影响持续使用意愿；操作方式也往往较为复杂，如快速滑动、长按或多步组合，超出其常规操作习惯；此外，一些产品在本地化与文化适配方面不足，如过多使用英文或年轻化视觉元素，降低了老年用户的接受度。</w:t>
      </w:r>
    </w:p>
    <w:p w14:paraId="7474D3D1">
      <w:pPr>
        <w:pStyle w:val="13"/>
        <w:keepNext w:val="0"/>
        <w:keepLines w:val="0"/>
        <w:widowControl/>
        <w:suppressLineNumbers w:val="0"/>
        <w:rPr>
          <w:rFonts w:hint="eastAsia"/>
          <w:sz w:val="24"/>
          <w:szCs w:val="24"/>
        </w:rPr>
      </w:pPr>
      <w:r>
        <w:rPr>
          <w:rFonts w:hint="eastAsia"/>
          <w:sz w:val="24"/>
          <w:szCs w:val="24"/>
        </w:rPr>
        <w:t>综上所述，尽管此类游戏有助于满足老年用户的认知与心理需求，但在界面可读性、操作简化、难度梯度设计以及文化适配等方面仍有待改进。</w:t>
      </w:r>
    </w:p>
    <w:p w14:paraId="4B3D4DBC">
      <w:pPr>
        <w:pStyle w:val="13"/>
        <w:keepNext w:val="0"/>
        <w:keepLines w:val="0"/>
        <w:widowControl/>
        <w:suppressLineNumbers w:val="0"/>
        <w:ind w:left="0" w:leftChars="0" w:right="0" w:rightChars="0"/>
        <w:outlineLvl w:val="2"/>
        <w:rPr>
          <w:rFonts w:hint="eastAsia"/>
          <w:b/>
          <w:bCs/>
          <w:sz w:val="24"/>
          <w:szCs w:val="24"/>
          <w:lang w:val="en-US" w:eastAsia="zh-CN"/>
        </w:rPr>
      </w:pPr>
      <w:bookmarkStart w:id="5" w:name="_Toc13953"/>
      <w:r>
        <w:rPr>
          <w:rFonts w:hint="eastAsia"/>
          <w:b/>
          <w:bCs/>
          <w:sz w:val="24"/>
          <w:szCs w:val="24"/>
          <w:lang w:val="en-US" w:eastAsia="zh-CN"/>
        </w:rPr>
        <w:t>1.3.2老年人游戏设计的倾向</w:t>
      </w:r>
      <w:bookmarkEnd w:id="5"/>
    </w:p>
    <w:p w14:paraId="3E92487C">
      <w:pPr>
        <w:outlineLvl w:val="3"/>
        <w:rPr>
          <w:rFonts w:hint="default"/>
          <w:b w:val="0"/>
          <w:bCs w:val="0"/>
          <w:sz w:val="24"/>
          <w:szCs w:val="24"/>
          <w:lang w:val="en-US" w:eastAsia="zh-CN"/>
        </w:rPr>
      </w:pPr>
      <w:bookmarkStart w:id="6" w:name="_Toc17062"/>
      <w:r>
        <w:rPr>
          <w:rFonts w:hint="default"/>
          <w:b w:val="0"/>
          <w:bCs w:val="0"/>
          <w:sz w:val="24"/>
          <w:szCs w:val="24"/>
          <w:lang w:val="en-US" w:eastAsia="zh-CN"/>
        </w:rPr>
        <w:t>1. 认知友好倾向</w:t>
      </w:r>
      <w:bookmarkEnd w:id="6"/>
      <w:r>
        <w:rPr>
          <w:rFonts w:hint="default"/>
          <w:b w:val="0"/>
          <w:bCs w:val="0"/>
          <w:sz w:val="24"/>
          <w:szCs w:val="24"/>
          <w:lang w:val="en-US" w:eastAsia="zh-CN"/>
        </w:rPr>
        <w:t xml:space="preserve">  </w:t>
      </w:r>
    </w:p>
    <w:p w14:paraId="2651FBDF">
      <w:pPr>
        <w:rPr>
          <w:rFonts w:hint="default"/>
          <w:b w:val="0"/>
          <w:bCs w:val="0"/>
          <w:sz w:val="24"/>
          <w:szCs w:val="24"/>
          <w:lang w:val="en-US" w:eastAsia="zh-CN"/>
        </w:rPr>
      </w:pPr>
      <w:r>
        <w:rPr>
          <w:rFonts w:hint="default"/>
          <w:b w:val="0"/>
          <w:bCs w:val="0"/>
          <w:sz w:val="24"/>
          <w:szCs w:val="24"/>
          <w:lang w:val="en-US" w:eastAsia="zh-CN"/>
        </w:rPr>
        <w:t>老年用户强烈倾向于低认知负荷的设计。具体表现为规则系统应直观简明，避免多层逻辑嵌套；界面信息架构需极简化，强调关键功能突显；交互流程应符合其既有心智模型，优先采用现实生活隐喻（如实体棋牌的数字化映射）。</w:t>
      </w:r>
    </w:p>
    <w:p w14:paraId="6EDD2260">
      <w:pPr>
        <w:outlineLvl w:val="3"/>
        <w:rPr>
          <w:rFonts w:hint="default"/>
          <w:b w:val="0"/>
          <w:bCs w:val="0"/>
          <w:sz w:val="24"/>
          <w:szCs w:val="24"/>
          <w:lang w:val="en-US" w:eastAsia="zh-CN"/>
        </w:rPr>
      </w:pPr>
      <w:bookmarkStart w:id="7" w:name="_Toc18169"/>
      <w:r>
        <w:rPr>
          <w:rFonts w:hint="default"/>
          <w:b w:val="0"/>
          <w:bCs w:val="0"/>
          <w:sz w:val="24"/>
          <w:szCs w:val="24"/>
          <w:lang w:val="en-US" w:eastAsia="zh-CN"/>
        </w:rPr>
        <w:t>2. 操作包容倾向</w:t>
      </w:r>
      <w:bookmarkEnd w:id="7"/>
      <w:r>
        <w:rPr>
          <w:rFonts w:hint="default"/>
          <w:b w:val="0"/>
          <w:bCs w:val="0"/>
          <w:sz w:val="24"/>
          <w:szCs w:val="24"/>
          <w:lang w:val="en-US" w:eastAsia="zh-CN"/>
        </w:rPr>
        <w:t xml:space="preserve">  </w:t>
      </w:r>
    </w:p>
    <w:p w14:paraId="58620DCE">
      <w:pPr>
        <w:rPr>
          <w:rFonts w:hint="default"/>
          <w:b w:val="0"/>
          <w:bCs w:val="0"/>
          <w:sz w:val="24"/>
          <w:szCs w:val="24"/>
          <w:lang w:val="en-US" w:eastAsia="zh-CN"/>
        </w:rPr>
      </w:pPr>
      <w:r>
        <w:rPr>
          <w:rFonts w:hint="default"/>
          <w:b w:val="0"/>
          <w:bCs w:val="0"/>
          <w:sz w:val="24"/>
          <w:szCs w:val="24"/>
          <w:lang w:val="en-US" w:eastAsia="zh-CN"/>
        </w:rPr>
        <w:t>在交互层面呈现显著的容错性偏好。要求操作热区尺寸显著大于常规设计标准（建议≥10mm），交互手势以基础点按、拖拽为主，全面规避复杂手势操作。同时，需提供明确的逆向操作路径及操作确认机制。</w:t>
      </w:r>
    </w:p>
    <w:p w14:paraId="172FF8CE">
      <w:pPr>
        <w:outlineLvl w:val="3"/>
        <w:rPr>
          <w:rFonts w:hint="default"/>
          <w:b w:val="0"/>
          <w:bCs w:val="0"/>
          <w:sz w:val="24"/>
          <w:szCs w:val="24"/>
          <w:lang w:val="en-US" w:eastAsia="zh-CN"/>
        </w:rPr>
      </w:pPr>
      <w:bookmarkStart w:id="8" w:name="_Toc8303"/>
      <w:r>
        <w:rPr>
          <w:rFonts w:hint="default"/>
          <w:b w:val="0"/>
          <w:bCs w:val="0"/>
          <w:sz w:val="24"/>
          <w:szCs w:val="24"/>
          <w:lang w:val="en-US" w:eastAsia="zh-CN"/>
        </w:rPr>
        <w:t>3. 情感适配倾向</w:t>
      </w:r>
      <w:bookmarkEnd w:id="8"/>
      <w:r>
        <w:rPr>
          <w:rFonts w:hint="default"/>
          <w:b w:val="0"/>
          <w:bCs w:val="0"/>
          <w:sz w:val="24"/>
          <w:szCs w:val="24"/>
          <w:lang w:val="en-US" w:eastAsia="zh-CN"/>
        </w:rPr>
        <w:t xml:space="preserve">  </w:t>
      </w:r>
    </w:p>
    <w:p w14:paraId="0CB1CF71">
      <w:pPr>
        <w:rPr>
          <w:rFonts w:hint="default"/>
          <w:b w:val="0"/>
          <w:bCs w:val="0"/>
          <w:sz w:val="24"/>
          <w:szCs w:val="24"/>
          <w:lang w:val="en-US" w:eastAsia="zh-CN"/>
        </w:rPr>
      </w:pPr>
      <w:r>
        <w:rPr>
          <w:rFonts w:hint="default"/>
          <w:b w:val="0"/>
          <w:bCs w:val="0"/>
          <w:sz w:val="24"/>
          <w:szCs w:val="24"/>
          <w:lang w:val="en-US" w:eastAsia="zh-CN"/>
        </w:rPr>
        <w:t>在美学层面倾向于温和稳定的视觉表达。具体包括采用明度对比适中的色彩方案，规避高饱和度色彩刺激；视觉元素需保持较高辨识度，减少抽象化表达；可适度融入具有时代特征的怀旧元素，以增强情感共鸣。</w:t>
      </w:r>
    </w:p>
    <w:p w14:paraId="09A3C4D4">
      <w:pPr>
        <w:rPr>
          <w:rFonts w:hint="default"/>
          <w:b w:val="0"/>
          <w:bCs w:val="0"/>
          <w:sz w:val="24"/>
          <w:szCs w:val="24"/>
          <w:lang w:val="en-US" w:eastAsia="zh-CN"/>
        </w:rPr>
      </w:pPr>
    </w:p>
    <w:p w14:paraId="4608EB86">
      <w:pPr>
        <w:rPr>
          <w:rFonts w:hint="default"/>
          <w:b w:val="0"/>
          <w:bCs w:val="0"/>
          <w:sz w:val="24"/>
          <w:szCs w:val="24"/>
          <w:lang w:val="en-US" w:eastAsia="zh-CN"/>
        </w:rPr>
      </w:pPr>
      <w:r>
        <w:rPr>
          <w:rFonts w:hint="default"/>
          <w:b w:val="0"/>
          <w:bCs w:val="0"/>
          <w:sz w:val="24"/>
          <w:szCs w:val="24"/>
          <w:lang w:val="en-US" w:eastAsia="zh-CN"/>
        </w:rPr>
        <w:t>这些设计倾向共同构成了适老化游戏设计的基本原则，指向了以“降低使用门槛、保障操作自主、强化情感连接”为特征的设计范式，为后续具体设计实践提供了明确的方向指引。</w:t>
      </w:r>
    </w:p>
    <w:p w14:paraId="5C3ABCFA">
      <w:pPr>
        <w:pStyle w:val="2"/>
        <w:bidi w:val="0"/>
        <w:rPr>
          <w:rFonts w:hint="eastAsia"/>
          <w:lang w:eastAsia="zh-CN"/>
        </w:rPr>
      </w:pPr>
      <w:bookmarkStart w:id="9" w:name="_Toc32433"/>
      <w:r>
        <w:rPr>
          <w:rFonts w:hint="eastAsia"/>
        </w:rPr>
        <w:t>问卷设计说明</w:t>
      </w:r>
      <w:bookmarkEnd w:id="9"/>
    </w:p>
    <w:p w14:paraId="078876A9">
      <w:pPr>
        <w:outlineLvl w:val="1"/>
        <w:rPr>
          <w:rFonts w:hint="eastAsia" w:eastAsiaTheme="minorEastAsia"/>
          <w:b/>
          <w:bCs/>
          <w:sz w:val="28"/>
          <w:szCs w:val="28"/>
          <w:lang w:eastAsia="zh-CN"/>
        </w:rPr>
      </w:pPr>
      <w:bookmarkStart w:id="10" w:name="_Toc2607"/>
      <w:r>
        <w:rPr>
          <w:rFonts w:hint="eastAsia"/>
          <w:b/>
          <w:bCs/>
          <w:sz w:val="28"/>
          <w:szCs w:val="28"/>
        </w:rPr>
        <w:t>2.1 问卷设计的理论基础与方法论</w:t>
      </w:r>
      <w:bookmarkEnd w:id="10"/>
    </w:p>
    <w:p w14:paraId="41449F49">
      <w:pPr>
        <w:rPr>
          <w:rFonts w:hint="eastAsia"/>
          <w:sz w:val="24"/>
          <w:szCs w:val="24"/>
        </w:rPr>
      </w:pPr>
      <w:r>
        <w:rPr>
          <w:rFonts w:hint="eastAsia"/>
          <w:sz w:val="24"/>
          <w:szCs w:val="24"/>
        </w:rPr>
        <w:t>本研究的问卷设计基于感性工学与用户体验研究的理论框架。感性工学作为将用户感性需求转化为设计要素的方法，为问卷结构提供了核心指导。同时，问卷整合了技术接受模型中的“感知易用性”与“感知有用性”维度，以及认知心理学中的心智模型理论，共同构成多层次的评估体系。</w:t>
      </w:r>
    </w:p>
    <w:p w14:paraId="4B9C5CF2">
      <w:pPr>
        <w:rPr>
          <w:rFonts w:hint="eastAsia"/>
          <w:sz w:val="24"/>
          <w:szCs w:val="24"/>
        </w:rPr>
      </w:pPr>
    </w:p>
    <w:p w14:paraId="0508310B">
      <w:pPr>
        <w:rPr>
          <w:rFonts w:hint="eastAsia"/>
          <w:sz w:val="24"/>
          <w:szCs w:val="24"/>
        </w:rPr>
      </w:pPr>
      <w:r>
        <w:rPr>
          <w:rFonts w:hint="eastAsia"/>
          <w:sz w:val="24"/>
          <w:szCs w:val="24"/>
        </w:rPr>
        <w:t>问卷采用分层递进结构，涵盖用户基础属性、行为偏好与情感反应三个层面，以系统获取从行为表象到心理动因的完整数据链。为提升数据生态效度，问卷采用情境化呈现方式，借助真实游戏界面激发用户的具身认知反应。</w:t>
      </w:r>
    </w:p>
    <w:p w14:paraId="00195AD6">
      <w:pPr>
        <w:rPr>
          <w:rFonts w:hint="eastAsia"/>
          <w:sz w:val="24"/>
          <w:szCs w:val="24"/>
        </w:rPr>
      </w:pPr>
    </w:p>
    <w:p w14:paraId="1D794BCE">
      <w:pPr>
        <w:rPr>
          <w:rFonts w:hint="eastAsia"/>
          <w:sz w:val="24"/>
          <w:szCs w:val="24"/>
        </w:rPr>
      </w:pPr>
      <w:r>
        <w:rPr>
          <w:rFonts w:hint="eastAsia"/>
          <w:sz w:val="24"/>
          <w:szCs w:val="24"/>
        </w:rPr>
        <w:t>在测量工具方面，综合运用Likert量表、语义差异量表与多项选择题等形式，以适应不同数据类型的采集需求。主观感受部分采用经过信效度检验的标准化评分方式，确保数据的可靠性与有效性。</w:t>
      </w:r>
    </w:p>
    <w:p w14:paraId="6CDA205E">
      <w:pPr>
        <w:outlineLvl w:val="1"/>
        <w:rPr>
          <w:rFonts w:hint="eastAsia" w:eastAsiaTheme="minorEastAsia"/>
          <w:b/>
          <w:bCs/>
          <w:sz w:val="28"/>
          <w:szCs w:val="28"/>
          <w:lang w:eastAsia="zh-CN"/>
        </w:rPr>
      </w:pPr>
      <w:bookmarkStart w:id="11" w:name="_Toc599"/>
      <w:r>
        <w:rPr>
          <w:rFonts w:hint="eastAsia"/>
          <w:b/>
          <w:bCs/>
          <w:sz w:val="28"/>
          <w:szCs w:val="28"/>
        </w:rPr>
        <w:t>2.2 问卷的整体构架与逻辑流程</w:t>
      </w:r>
      <w:bookmarkEnd w:id="11"/>
    </w:p>
    <w:p w14:paraId="6B70989D">
      <w:pPr>
        <w:rPr>
          <w:rFonts w:hint="eastAsia"/>
          <w:sz w:val="24"/>
          <w:szCs w:val="24"/>
        </w:rPr>
      </w:pPr>
      <w:r>
        <w:rPr>
          <w:rFonts w:hint="eastAsia"/>
          <w:sz w:val="24"/>
          <w:szCs w:val="24"/>
        </w:rPr>
        <w:t>问卷的整体构架经过精心设计，形成了四个相互关联又层层递进的模块，体现了从宏观到微观、从抽象到具体的逻辑演进。</w:t>
      </w:r>
    </w:p>
    <w:p w14:paraId="1A6F096F">
      <w:pPr>
        <w:rPr>
          <w:rFonts w:hint="eastAsia"/>
          <w:sz w:val="24"/>
          <w:szCs w:val="24"/>
        </w:rPr>
      </w:pPr>
    </w:p>
    <w:p w14:paraId="3DA54B30">
      <w:pPr>
        <w:rPr>
          <w:rFonts w:hint="eastAsia"/>
          <w:sz w:val="24"/>
          <w:szCs w:val="24"/>
        </w:rPr>
      </w:pPr>
      <w:r>
        <w:rPr>
          <w:rFonts w:hint="eastAsia"/>
          <w:sz w:val="24"/>
          <w:szCs w:val="24"/>
        </w:rPr>
        <w:t>第一个模块（第1-4题）聚焦于用户的基础特征，这一部分采用了较为传统的社会统计学信息收集方式，但特别强调了与数字产品使用密切相关的特征维度。其中，智能手机使用熟练度的评估不仅包含了操作技能，还隐含了对数字产品心理接受度的测量，为后续的游戏设计难度定位提供了关键参考依据。</w:t>
      </w:r>
    </w:p>
    <w:p w14:paraId="238CA647">
      <w:pPr>
        <w:rPr>
          <w:rFonts w:hint="eastAsia"/>
          <w:sz w:val="24"/>
          <w:szCs w:val="24"/>
        </w:rPr>
      </w:pPr>
    </w:p>
    <w:p w14:paraId="2507C370">
      <w:pPr>
        <w:rPr>
          <w:rFonts w:hint="eastAsia"/>
          <w:sz w:val="24"/>
          <w:szCs w:val="24"/>
        </w:rPr>
      </w:pPr>
      <w:r>
        <w:rPr>
          <w:rFonts w:hint="eastAsia"/>
          <w:sz w:val="24"/>
          <w:szCs w:val="24"/>
        </w:rPr>
        <w:t>第二个模块（第5-7题）转向行为习惯调查，这一部分的设计借鉴了行为经济学中的显示性偏好理论，通过用户过去和现在的行为模式来预测未来的使用倾向。题目设置避免了假设性情景，而是基于实际发生的行为，确保了数据的真实性。特别值得注意的是，注意力持续时间的测量并没有采用客观时间记录，而是通过主观感受评估，这种方法更符合老年用户的认知特点，也为游戏时长的分段设计提供了直接依据。</w:t>
      </w:r>
    </w:p>
    <w:p w14:paraId="72058F8B">
      <w:pPr>
        <w:rPr>
          <w:rFonts w:hint="eastAsia"/>
          <w:sz w:val="24"/>
          <w:szCs w:val="24"/>
        </w:rPr>
      </w:pPr>
    </w:p>
    <w:p w14:paraId="6CC58134">
      <w:pPr>
        <w:rPr>
          <w:rFonts w:hint="eastAsia"/>
          <w:sz w:val="24"/>
          <w:szCs w:val="24"/>
        </w:rPr>
      </w:pPr>
      <w:r>
        <w:rPr>
          <w:rFonts w:hint="eastAsia"/>
          <w:sz w:val="24"/>
          <w:szCs w:val="24"/>
        </w:rPr>
        <w:t>第三个模块（第8-28题）是问卷的核心创新部分，采用了实验心理学中的刺激-反应测量范式。我们精心选择了五款具有代表性的游戏界面作为刺激材料，涵盖了从传统到现代、从简单到复杂的设计谱系。每个界面的评估都遵循相同的五个维度，这种标准化设计使得不同界面之间的比较具有科学性和可操作性。评分维度的选择基于诺曼的情感化设计理论，涵盖了本能层、行为层和反思层三个层次，确保了对用户体验的全方位捕捉。</w:t>
      </w:r>
    </w:p>
    <w:p w14:paraId="75F33C89">
      <w:pPr>
        <w:rPr>
          <w:rFonts w:hint="eastAsia"/>
          <w:sz w:val="24"/>
          <w:szCs w:val="24"/>
        </w:rPr>
      </w:pPr>
    </w:p>
    <w:p w14:paraId="1E80664A">
      <w:pPr>
        <w:rPr>
          <w:rFonts w:hint="eastAsia"/>
          <w:sz w:val="24"/>
          <w:szCs w:val="24"/>
        </w:rPr>
      </w:pPr>
      <w:r>
        <w:rPr>
          <w:rFonts w:hint="eastAsia"/>
          <w:sz w:val="24"/>
          <w:szCs w:val="24"/>
        </w:rPr>
        <w:t>第四个模块（第29-30题）着眼于未来应用场景，这一部分的设计体现了从产品功能到使用场景的思维转换。社交互动偏好的测量不仅关注行为倾向，还深入探究了情感接受度，这与马斯洛需求层次理论中社交需求与安全需求的平衡密切相关。</w:t>
      </w:r>
    </w:p>
    <w:p w14:paraId="6A77FFFD">
      <w:pPr>
        <w:outlineLvl w:val="1"/>
        <w:rPr>
          <w:rFonts w:hint="eastAsia"/>
          <w:sz w:val="24"/>
          <w:szCs w:val="24"/>
        </w:rPr>
      </w:pPr>
      <w:bookmarkStart w:id="12" w:name="_Toc25000"/>
      <w:r>
        <w:rPr>
          <w:rFonts w:hint="eastAsia"/>
          <w:b/>
          <w:bCs/>
          <w:sz w:val="28"/>
          <w:szCs w:val="28"/>
        </w:rPr>
        <w:t>2.</w:t>
      </w:r>
      <w:r>
        <w:rPr>
          <w:rFonts w:hint="eastAsia"/>
          <w:b/>
          <w:bCs/>
          <w:sz w:val="28"/>
          <w:szCs w:val="28"/>
          <w:lang w:val="en-US" w:eastAsia="zh-CN"/>
        </w:rPr>
        <w:t>3</w:t>
      </w:r>
      <w:r>
        <w:rPr>
          <w:rFonts w:hint="eastAsia"/>
          <w:b/>
          <w:bCs/>
          <w:sz w:val="28"/>
          <w:szCs w:val="28"/>
        </w:rPr>
        <w:t xml:space="preserve"> 问卷设计的创新与局限</w:t>
      </w:r>
      <w:bookmarkEnd w:id="12"/>
    </w:p>
    <w:p w14:paraId="4A756AB7">
      <w:pPr>
        <w:rPr>
          <w:rFonts w:hint="eastAsia"/>
          <w:sz w:val="24"/>
          <w:szCs w:val="24"/>
        </w:rPr>
      </w:pPr>
      <w:r>
        <w:rPr>
          <w:rFonts w:hint="eastAsia"/>
          <w:sz w:val="24"/>
          <w:szCs w:val="24"/>
        </w:rPr>
        <w:t>本问卷设计的主要创新体现在三个方面：首先，将感性工学的理论框架与具体的游戏设计要素进行了系统对接，建立了一个可操作化的研究模型；其次，采用了情境化评价的方法，通过真实界面的呈现获取了更具生态效度的用户反馈；最后，问卷结构体现了从外在行为到内在动机的深度探索，为设计决策提供了多层次的数据支持。</w:t>
      </w:r>
    </w:p>
    <w:p w14:paraId="1DF6ADCD">
      <w:pPr>
        <w:rPr>
          <w:rFonts w:hint="eastAsia"/>
          <w:sz w:val="24"/>
          <w:szCs w:val="24"/>
        </w:rPr>
      </w:pPr>
      <w:r>
        <w:rPr>
          <w:rFonts w:hint="eastAsia"/>
          <w:sz w:val="24"/>
          <w:szCs w:val="24"/>
        </w:rPr>
        <w:t>然而，本研究问卷也存在一定的局限性。由于采用在线问卷形式，样本自选择偏差难以完全避免，那些对技术接受度较低的老年群体可能未被充分代表。这些局限在后续数据分析中需要予以考虑，并在未来研究中通过多种方法交叉验证来弥补。</w:t>
      </w:r>
    </w:p>
    <w:p w14:paraId="32EF0D1F">
      <w:pPr>
        <w:rPr>
          <w:rFonts w:hint="eastAsia"/>
          <w:sz w:val="24"/>
          <w:szCs w:val="24"/>
        </w:rPr>
      </w:pPr>
    </w:p>
    <w:p w14:paraId="78C71A45">
      <w:pPr>
        <w:rPr>
          <w:rFonts w:hint="eastAsia"/>
          <w:sz w:val="24"/>
          <w:szCs w:val="24"/>
        </w:rPr>
      </w:pPr>
      <w:r>
        <w:rPr>
          <w:rFonts w:hint="eastAsia"/>
          <w:sz w:val="24"/>
          <w:szCs w:val="24"/>
        </w:rPr>
        <w:t>通过这种系统化、多层次的问卷设计，我们确保了研究数据的丰富性和可靠性，为后续的深入分析和设计转化奠定了坚实的基础。</w:t>
      </w:r>
    </w:p>
    <w:p w14:paraId="588581EB">
      <w:pPr>
        <w:pStyle w:val="2"/>
        <w:bidi w:val="0"/>
        <w:rPr>
          <w:rFonts w:hint="eastAsia"/>
        </w:rPr>
      </w:pPr>
      <w:bookmarkStart w:id="13" w:name="_Toc25928"/>
      <w:r>
        <w:rPr>
          <w:rFonts w:hint="eastAsia"/>
        </w:rPr>
        <w:t>问卷数据分析</w:t>
      </w:r>
      <w:bookmarkEnd w:id="13"/>
    </w:p>
    <w:p w14:paraId="15D38039">
      <w:pPr>
        <w:outlineLvl w:val="1"/>
        <w:rPr>
          <w:rFonts w:hint="eastAsia"/>
          <w:sz w:val="24"/>
          <w:szCs w:val="24"/>
        </w:rPr>
      </w:pPr>
      <w:bookmarkStart w:id="14" w:name="_Toc19167"/>
      <w:r>
        <w:rPr>
          <w:rFonts w:hint="eastAsia"/>
          <w:b/>
          <w:bCs/>
          <w:sz w:val="28"/>
          <w:szCs w:val="28"/>
        </w:rPr>
        <w:t>3.1 问卷信效度检验</w:t>
      </w:r>
      <w:bookmarkEnd w:id="14"/>
    </w:p>
    <w:p w14:paraId="089557E0">
      <w:pPr>
        <w:outlineLvl w:val="2"/>
        <w:rPr>
          <w:rFonts w:hint="eastAsia"/>
          <w:b/>
          <w:bCs/>
          <w:sz w:val="24"/>
          <w:szCs w:val="24"/>
        </w:rPr>
      </w:pPr>
      <w:bookmarkStart w:id="15" w:name="_Toc2346"/>
      <w:r>
        <w:rPr>
          <w:rFonts w:hint="eastAsia"/>
          <w:b/>
          <w:bCs/>
          <w:sz w:val="24"/>
          <w:szCs w:val="24"/>
        </w:rPr>
        <w:t>3.1.1 信度检验分析</w:t>
      </w:r>
      <w:bookmarkEnd w:id="15"/>
    </w:p>
    <w:p w14:paraId="1F8A68C5">
      <w:pPr>
        <w:rPr>
          <w:rFonts w:hint="eastAsia"/>
          <w:sz w:val="24"/>
          <w:szCs w:val="24"/>
        </w:rPr>
      </w:pPr>
      <w:r>
        <w:rPr>
          <w:rFonts w:hint="eastAsia"/>
          <w:sz w:val="24"/>
          <w:szCs w:val="24"/>
        </w:rPr>
        <w:t>对问卷核心部分——五款游戏界面评价量表的内部一致性进行检验。该部分包含玩法直观性、难易度、美观度、字键清晰度、尝试意愿五个维度，每个维度均采用5点李克特量表。数据分析显示，总体Cronbach's α系数为0.836，各维度的α系数分别为：玩法直观性0.812、难易度0.795、美观度0.823、字键清晰度0.781、尝试意愿0.802。所有系数均高于0.7的可接受标准，表明量表具有较好的内部一致性。</w:t>
      </w:r>
    </w:p>
    <w:p w14:paraId="6214992C">
      <w:pPr>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5082540" cy="2656840"/>
            <wp:effectExtent l="0" t="0" r="10160" b="10160"/>
            <wp:docPr id="1" name="图片 1" descr="1253ca27dc1b04be003f66edfe8f0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253ca27dc1b04be003f66edfe8f0b3b"/>
                    <pic:cNvPicPr>
                      <a:picLocks noChangeAspect="1"/>
                    </pic:cNvPicPr>
                  </pic:nvPicPr>
                  <pic:blipFill>
                    <a:blip r:embed="rId4"/>
                    <a:srcRect t="11199"/>
                    <a:stretch>
                      <a:fillRect/>
                    </a:stretch>
                  </pic:blipFill>
                  <pic:spPr>
                    <a:xfrm>
                      <a:off x="0" y="0"/>
                      <a:ext cx="5082540" cy="2656840"/>
                    </a:xfrm>
                    <a:prstGeom prst="rect">
                      <a:avLst/>
                    </a:prstGeom>
                  </pic:spPr>
                </pic:pic>
              </a:graphicData>
            </a:graphic>
          </wp:inline>
        </w:drawing>
      </w:r>
    </w:p>
    <w:p w14:paraId="63DA8763">
      <w:pPr>
        <w:pStyle w:val="5"/>
        <w:jc w:val="center"/>
        <w:rPr>
          <w:rFonts w:hint="default" w:eastAsia="黑体"/>
          <w:lang w:val="en-US" w:eastAsia="zh-CN"/>
        </w:rPr>
      </w:pPr>
      <w:r>
        <w:rPr>
          <w:rFonts w:hint="eastAsia"/>
          <w:lang w:val="en-US" w:eastAsia="zh-CN"/>
        </w:rPr>
        <w:t>图</w:t>
      </w:r>
      <w:r>
        <w:t xml:space="preserve">1 </w:t>
      </w:r>
      <w:r>
        <w:rPr>
          <w:rFonts w:hint="eastAsia"/>
          <w:lang w:val="en-US" w:eastAsia="zh-CN"/>
        </w:rPr>
        <w:t>问卷信度分析</w:t>
      </w:r>
    </w:p>
    <w:p w14:paraId="544306FC">
      <w:pPr>
        <w:rPr>
          <w:rFonts w:hint="eastAsia" w:eastAsiaTheme="minorEastAsia"/>
          <w:sz w:val="24"/>
          <w:szCs w:val="24"/>
          <w:lang w:eastAsia="zh-CN"/>
        </w:rPr>
      </w:pPr>
    </w:p>
    <w:p w14:paraId="40BEF6E9">
      <w:pPr>
        <w:rPr>
          <w:rFonts w:hint="default" w:eastAsiaTheme="minorEastAsia"/>
          <w:sz w:val="24"/>
          <w:szCs w:val="24"/>
          <w:lang w:val="en-US" w:eastAsia="zh-CN"/>
        </w:rPr>
      </w:pPr>
    </w:p>
    <w:p w14:paraId="1D3FB8CE">
      <w:pPr>
        <w:rPr>
          <w:rFonts w:hint="eastAsia" w:eastAsiaTheme="minorEastAsia"/>
          <w:sz w:val="24"/>
          <w:szCs w:val="24"/>
          <w:lang w:eastAsia="zh-CN"/>
        </w:rPr>
      </w:pPr>
      <w:r>
        <w:rPr>
          <w:rFonts w:hint="eastAsia"/>
          <w:sz w:val="24"/>
          <w:szCs w:val="24"/>
        </w:rPr>
        <w:t>结论C1：问卷核心评价量表的信度良好（α=0.836），各维度测量结果稳定可靠，适合进行后续统计分析。</w:t>
      </w:r>
    </w:p>
    <w:p w14:paraId="6E67DAE4">
      <w:pPr>
        <w:rPr>
          <w:rFonts w:hint="eastAsia"/>
          <w:sz w:val="24"/>
          <w:szCs w:val="24"/>
        </w:rPr>
      </w:pPr>
    </w:p>
    <w:p w14:paraId="2A9A5267">
      <w:pPr>
        <w:outlineLvl w:val="2"/>
        <w:rPr>
          <w:rFonts w:hint="eastAsia"/>
          <w:b/>
          <w:bCs/>
          <w:sz w:val="24"/>
          <w:szCs w:val="24"/>
        </w:rPr>
      </w:pPr>
      <w:bookmarkStart w:id="16" w:name="_Toc32712"/>
      <w:r>
        <w:rPr>
          <w:rFonts w:hint="eastAsia"/>
          <w:b/>
          <w:bCs/>
          <w:sz w:val="24"/>
          <w:szCs w:val="24"/>
        </w:rPr>
        <w:t>3.1.2 效度检验分析</w:t>
      </w:r>
      <w:bookmarkEnd w:id="16"/>
    </w:p>
    <w:p w14:paraId="29FA8CB5">
      <w:pPr>
        <w:rPr>
          <w:rFonts w:hint="eastAsia"/>
          <w:sz w:val="24"/>
          <w:szCs w:val="24"/>
        </w:rPr>
      </w:pPr>
      <w:r>
        <w:rPr>
          <w:rFonts w:hint="eastAsia"/>
          <w:sz w:val="24"/>
          <w:szCs w:val="24"/>
        </w:rPr>
        <w:t>通过探索性因子分析检验问卷结构效度。KMO值为0.782，Bartlett球形检验卡方值为356.782（p&lt;0.001），表明变量间存在显著相关性，适合进行因子分析。采用主成分分析法提取出5个特征值大于1的因子，累计方差解释率为68.45%，各题项在对应因子上的载荷均大于0.6，交叉载荷均小于0.4，表明问卷具有良好的结构效度。</w:t>
      </w:r>
    </w:p>
    <w:p w14:paraId="4234383C">
      <w:pPr>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5033645" cy="2479675"/>
            <wp:effectExtent l="0" t="0" r="8255" b="9525"/>
            <wp:docPr id="6" name="图片 6" descr="b4df535163297223ce5d41428b375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4df535163297223ce5d41428b375c93"/>
                    <pic:cNvPicPr>
                      <a:picLocks noChangeAspect="1"/>
                    </pic:cNvPicPr>
                  </pic:nvPicPr>
                  <pic:blipFill>
                    <a:blip r:embed="rId5"/>
                    <a:srcRect t="7664"/>
                    <a:stretch>
                      <a:fillRect/>
                    </a:stretch>
                  </pic:blipFill>
                  <pic:spPr>
                    <a:xfrm>
                      <a:off x="0" y="0"/>
                      <a:ext cx="5033645" cy="2479675"/>
                    </a:xfrm>
                    <a:prstGeom prst="rect">
                      <a:avLst/>
                    </a:prstGeom>
                  </pic:spPr>
                </pic:pic>
              </a:graphicData>
            </a:graphic>
          </wp:inline>
        </w:drawing>
      </w:r>
    </w:p>
    <w:p w14:paraId="2E5E0314">
      <w:pPr>
        <w:pStyle w:val="5"/>
        <w:jc w:val="center"/>
        <w:rPr>
          <w:rFonts w:hint="default" w:eastAsia="黑体"/>
          <w:lang w:val="en-US" w:eastAsia="zh-CN"/>
        </w:rPr>
      </w:pPr>
      <w:r>
        <w:rPr>
          <w:rFonts w:hint="eastAsia"/>
          <w:lang w:val="en-US" w:eastAsia="zh-CN"/>
        </w:rPr>
        <w:t>图2 因子特征值与方差解释率（碎石图）</w:t>
      </w:r>
    </w:p>
    <w:p w14:paraId="69C96691">
      <w:pPr>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5061585" cy="2645410"/>
            <wp:effectExtent l="0" t="0" r="5715" b="8890"/>
            <wp:docPr id="7" name="图片 7" descr="28507d042bf5965daa519fd05cbec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8507d042bf5965daa519fd05cbec53a"/>
                    <pic:cNvPicPr>
                      <a:picLocks noChangeAspect="1"/>
                    </pic:cNvPicPr>
                  </pic:nvPicPr>
                  <pic:blipFill>
                    <a:blip r:embed="rId6"/>
                    <a:srcRect l="-466" t="7576" r="466" b="2015"/>
                    <a:stretch>
                      <a:fillRect/>
                    </a:stretch>
                  </pic:blipFill>
                  <pic:spPr>
                    <a:xfrm>
                      <a:off x="0" y="0"/>
                      <a:ext cx="5061585" cy="2645410"/>
                    </a:xfrm>
                    <a:prstGeom prst="rect">
                      <a:avLst/>
                    </a:prstGeom>
                  </pic:spPr>
                </pic:pic>
              </a:graphicData>
            </a:graphic>
          </wp:inline>
        </w:drawing>
      </w:r>
    </w:p>
    <w:p w14:paraId="364B63B6">
      <w:pPr>
        <w:pStyle w:val="5"/>
        <w:jc w:val="center"/>
        <w:rPr>
          <w:rFonts w:hint="default" w:eastAsia="黑体"/>
          <w:lang w:val="en-US" w:eastAsia="zh-CN"/>
        </w:rPr>
      </w:pPr>
      <w:r>
        <w:rPr>
          <w:rFonts w:hint="eastAsia"/>
          <w:lang w:val="en-US" w:eastAsia="zh-CN"/>
        </w:rPr>
        <w:t>图3</w:t>
      </w:r>
      <w:r>
        <w:t xml:space="preserve"> </w:t>
      </w:r>
      <w:r>
        <w:rPr>
          <w:rFonts w:hint="eastAsia"/>
          <w:lang w:val="en-US" w:eastAsia="zh-CN"/>
        </w:rPr>
        <w:t>因子方差解释率分布</w:t>
      </w:r>
    </w:p>
    <w:p w14:paraId="622E6C0B">
      <w:pPr>
        <w:rPr>
          <w:rFonts w:hint="eastAsia" w:eastAsiaTheme="minorEastAsia"/>
          <w:sz w:val="24"/>
          <w:szCs w:val="24"/>
          <w:lang w:eastAsia="zh-CN"/>
        </w:rPr>
      </w:pPr>
    </w:p>
    <w:p w14:paraId="413F32C9">
      <w:pPr>
        <w:rPr>
          <w:rFonts w:hint="eastAsia"/>
          <w:b/>
          <w:bCs/>
          <w:sz w:val="28"/>
          <w:szCs w:val="28"/>
        </w:rPr>
      </w:pPr>
      <w:r>
        <w:rPr>
          <w:rFonts w:hint="eastAsia"/>
          <w:sz w:val="24"/>
          <w:szCs w:val="24"/>
        </w:rPr>
        <w:t>结论C2：问卷结构效度良好，五个评价维度具有较好的区分度，能够有效测量老年用户对游戏界面的不同方面评价。</w:t>
      </w:r>
    </w:p>
    <w:p w14:paraId="72B280E6">
      <w:pPr>
        <w:outlineLvl w:val="1"/>
        <w:rPr>
          <w:rFonts w:hint="eastAsia"/>
          <w:b/>
          <w:bCs/>
          <w:sz w:val="28"/>
          <w:szCs w:val="28"/>
        </w:rPr>
      </w:pPr>
      <w:bookmarkStart w:id="17" w:name="_Toc19294"/>
      <w:r>
        <w:rPr>
          <w:rFonts w:hint="eastAsia"/>
          <w:b/>
          <w:bCs/>
          <w:sz w:val="28"/>
          <w:szCs w:val="28"/>
        </w:rPr>
        <w:t>3.2 用户基本特征描述性统计</w:t>
      </w:r>
      <w:bookmarkEnd w:id="17"/>
    </w:p>
    <w:p w14:paraId="1DE791C8">
      <w:pPr>
        <w:outlineLvl w:val="2"/>
        <w:rPr>
          <w:rFonts w:hint="eastAsia"/>
          <w:b/>
          <w:bCs/>
          <w:sz w:val="24"/>
          <w:szCs w:val="24"/>
        </w:rPr>
      </w:pPr>
      <w:bookmarkStart w:id="18" w:name="_Toc20093"/>
      <w:r>
        <w:rPr>
          <w:rFonts w:hint="eastAsia"/>
          <w:b/>
          <w:bCs/>
          <w:sz w:val="24"/>
          <w:szCs w:val="24"/>
        </w:rPr>
        <w:t>3.2.1 人口统计学特征分析</w:t>
      </w:r>
      <w:bookmarkEnd w:id="18"/>
    </w:p>
    <w:p w14:paraId="2883A7C1">
      <w:pPr>
        <w:rPr>
          <w:rFonts w:hint="eastAsia"/>
          <w:sz w:val="24"/>
          <w:szCs w:val="24"/>
        </w:rPr>
      </w:pPr>
      <w:r>
        <w:rPr>
          <w:rFonts w:hint="eastAsia"/>
          <w:sz w:val="24"/>
          <w:szCs w:val="24"/>
        </w:rPr>
        <w:t>样本年龄分布呈现偏态特征，55-65岁占67.74%（21人），66-75岁占12.9%（4人），76岁以上占19.35%（6人）。性别分布相对均衡，男性45.16%（14人），女性54.84%（17人）。教育水平呈现近似正态分布，大专/本科48.39%（15人），中学35.48%（11人），小学及以下16.13%（5人）。</w:t>
      </w:r>
    </w:p>
    <w:p w14:paraId="4C7C24DD">
      <w:pPr>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4979035" cy="2607945"/>
            <wp:effectExtent l="0" t="0" r="12065" b="8255"/>
            <wp:docPr id="2" name="图片 2" descr="7240894e325c471839d7f4eca7b64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240894e325c471839d7f4eca7b642f3"/>
                    <pic:cNvPicPr>
                      <a:picLocks noChangeAspect="1"/>
                    </pic:cNvPicPr>
                  </pic:nvPicPr>
                  <pic:blipFill>
                    <a:blip r:embed="rId7"/>
                    <a:srcRect t="9500"/>
                    <a:stretch>
                      <a:fillRect/>
                    </a:stretch>
                  </pic:blipFill>
                  <pic:spPr>
                    <a:xfrm>
                      <a:off x="0" y="0"/>
                      <a:ext cx="4979035" cy="2607945"/>
                    </a:xfrm>
                    <a:prstGeom prst="rect">
                      <a:avLst/>
                    </a:prstGeom>
                  </pic:spPr>
                </pic:pic>
              </a:graphicData>
            </a:graphic>
          </wp:inline>
        </w:drawing>
      </w:r>
    </w:p>
    <w:p w14:paraId="386D3714">
      <w:pPr>
        <w:pStyle w:val="5"/>
        <w:jc w:val="center"/>
        <w:rPr>
          <w:rFonts w:hint="default" w:eastAsia="黑体"/>
          <w:lang w:val="en-US" w:eastAsia="zh-CN"/>
        </w:rPr>
      </w:pPr>
      <w:r>
        <w:rPr>
          <w:rFonts w:hint="eastAsia"/>
          <w:lang w:val="en-US" w:eastAsia="zh-CN"/>
        </w:rPr>
        <w:t>图4</w:t>
      </w:r>
      <w:r>
        <w:t xml:space="preserve"> </w:t>
      </w:r>
      <w:r>
        <w:rPr>
          <w:rFonts w:hint="eastAsia"/>
          <w:lang w:val="en-US" w:eastAsia="zh-CN"/>
        </w:rPr>
        <w:t>样本性别与教育水平分布</w:t>
      </w:r>
    </w:p>
    <w:p w14:paraId="420733AF">
      <w:pPr>
        <w:rPr>
          <w:rFonts w:hint="eastAsia" w:eastAsiaTheme="minorEastAsia"/>
          <w:sz w:val="24"/>
          <w:szCs w:val="24"/>
          <w:lang w:eastAsia="zh-CN"/>
        </w:rPr>
      </w:pPr>
    </w:p>
    <w:p w14:paraId="63E6BA98">
      <w:pPr>
        <w:rPr>
          <w:rFonts w:hint="eastAsia" w:eastAsiaTheme="minorEastAsia"/>
          <w:sz w:val="24"/>
          <w:szCs w:val="24"/>
          <w:lang w:eastAsia="zh-CN"/>
        </w:rPr>
      </w:pPr>
      <w:r>
        <w:rPr>
          <w:rFonts w:hint="eastAsia"/>
          <w:sz w:val="24"/>
          <w:szCs w:val="24"/>
        </w:rPr>
        <w:t>结论C3：样本以年轻老年人（55-65岁）为主，教育水平中等偏上，性别分布均衡，具有良好的代表性。</w:t>
      </w:r>
    </w:p>
    <w:p w14:paraId="28252CB0">
      <w:pPr>
        <w:rPr>
          <w:rFonts w:hint="eastAsia"/>
          <w:sz w:val="24"/>
          <w:szCs w:val="24"/>
        </w:rPr>
      </w:pPr>
    </w:p>
    <w:p w14:paraId="3E5B405F">
      <w:pPr>
        <w:outlineLvl w:val="2"/>
        <w:rPr>
          <w:rFonts w:hint="eastAsia"/>
          <w:b/>
          <w:bCs/>
          <w:sz w:val="24"/>
          <w:szCs w:val="24"/>
        </w:rPr>
      </w:pPr>
      <w:bookmarkStart w:id="19" w:name="_Toc30442"/>
      <w:r>
        <w:rPr>
          <w:rFonts w:hint="eastAsia"/>
          <w:b/>
          <w:bCs/>
          <w:sz w:val="24"/>
          <w:szCs w:val="24"/>
        </w:rPr>
        <w:t>3.2.2 数字能力特征分析</w:t>
      </w:r>
      <w:bookmarkEnd w:id="19"/>
    </w:p>
    <w:p w14:paraId="14B460E0">
      <w:pPr>
        <w:rPr>
          <w:rFonts w:hint="eastAsia"/>
          <w:sz w:val="24"/>
          <w:szCs w:val="24"/>
        </w:rPr>
      </w:pPr>
      <w:r>
        <w:rPr>
          <w:rFonts w:hint="eastAsia"/>
          <w:sz w:val="24"/>
          <w:szCs w:val="24"/>
        </w:rPr>
        <w:t>智能手机使用熟练度平均得分3.55（SD=0.89），其中55-65岁群体平均得分3.86（SD=0.72），66-75岁群体3.25（SD=0.96），76岁以上群体2.83（SD=0.75）。单因素方差分析显示，不同年龄段在数字能力上存在显著差异（F=8.327，p=0.001）。</w:t>
      </w:r>
    </w:p>
    <w:p w14:paraId="5D300DEF">
      <w:pPr>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5264150" cy="2687955"/>
            <wp:effectExtent l="0" t="0" r="6350" b="4445"/>
            <wp:docPr id="3" name="图片 3" descr="2a2e5d88d4e34887b2eed8349ba12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a2e5d88d4e34887b2eed8349ba1263f"/>
                    <pic:cNvPicPr>
                      <a:picLocks noChangeAspect="1"/>
                    </pic:cNvPicPr>
                  </pic:nvPicPr>
                  <pic:blipFill>
                    <a:blip r:embed="rId8"/>
                    <a:srcRect l="118" t="7367" r="-118" b="2490"/>
                    <a:stretch>
                      <a:fillRect/>
                    </a:stretch>
                  </pic:blipFill>
                  <pic:spPr>
                    <a:xfrm>
                      <a:off x="0" y="0"/>
                      <a:ext cx="5264150" cy="2687955"/>
                    </a:xfrm>
                    <a:prstGeom prst="rect">
                      <a:avLst/>
                    </a:prstGeom>
                  </pic:spPr>
                </pic:pic>
              </a:graphicData>
            </a:graphic>
          </wp:inline>
        </w:drawing>
      </w:r>
    </w:p>
    <w:p w14:paraId="0D4CCD71">
      <w:pPr>
        <w:pStyle w:val="5"/>
        <w:jc w:val="center"/>
        <w:rPr>
          <w:rFonts w:hint="default" w:eastAsia="黑体"/>
          <w:lang w:val="en-US" w:eastAsia="zh-CN"/>
        </w:rPr>
      </w:pPr>
      <w:r>
        <w:rPr>
          <w:rFonts w:hint="eastAsia"/>
          <w:lang w:val="en-US" w:eastAsia="zh-CN"/>
        </w:rPr>
        <w:t>图5</w:t>
      </w:r>
      <w:r>
        <w:t xml:space="preserve"> </w:t>
      </w:r>
      <w:r>
        <w:rPr>
          <w:rFonts w:hint="eastAsia"/>
          <w:lang w:val="en-US" w:eastAsia="zh-CN"/>
        </w:rPr>
        <w:t>不同年龄段数字能力比较</w:t>
      </w:r>
    </w:p>
    <w:p w14:paraId="7EB4B7C9">
      <w:pPr>
        <w:rPr>
          <w:rFonts w:hint="eastAsia" w:eastAsiaTheme="minorEastAsia"/>
          <w:sz w:val="24"/>
          <w:szCs w:val="24"/>
          <w:lang w:eastAsia="zh-CN"/>
        </w:rPr>
      </w:pPr>
    </w:p>
    <w:p w14:paraId="33BF8C15">
      <w:pPr>
        <w:rPr>
          <w:rFonts w:hint="eastAsia" w:eastAsiaTheme="minorEastAsia"/>
          <w:sz w:val="24"/>
          <w:szCs w:val="24"/>
          <w:lang w:eastAsia="zh-CN"/>
        </w:rPr>
      </w:pPr>
      <w:r>
        <w:rPr>
          <w:rFonts w:hint="eastAsia"/>
          <w:sz w:val="24"/>
          <w:szCs w:val="24"/>
        </w:rPr>
        <w:t>结论C4：老年用户的数字能力呈现明显的年龄梯度差异，55-65岁群体数字素养较高，76岁以上群体数字素养显著较低。</w:t>
      </w:r>
    </w:p>
    <w:p w14:paraId="5A1398A0">
      <w:pPr>
        <w:outlineLvl w:val="1"/>
        <w:rPr>
          <w:rFonts w:hint="eastAsia"/>
          <w:b/>
          <w:bCs/>
          <w:sz w:val="28"/>
          <w:szCs w:val="28"/>
        </w:rPr>
      </w:pPr>
      <w:bookmarkStart w:id="20" w:name="_Toc32245"/>
      <w:r>
        <w:rPr>
          <w:rFonts w:hint="eastAsia"/>
          <w:b/>
          <w:bCs/>
          <w:sz w:val="28"/>
          <w:szCs w:val="28"/>
        </w:rPr>
        <w:t>3.3 游戏偏好与使用习惯分析</w:t>
      </w:r>
      <w:bookmarkEnd w:id="20"/>
    </w:p>
    <w:p w14:paraId="7010C8B6">
      <w:pPr>
        <w:outlineLvl w:val="2"/>
        <w:rPr>
          <w:rFonts w:hint="eastAsia"/>
          <w:b/>
          <w:bCs/>
          <w:sz w:val="24"/>
          <w:szCs w:val="24"/>
        </w:rPr>
      </w:pPr>
      <w:bookmarkStart w:id="21" w:name="_Toc26317"/>
      <w:r>
        <w:rPr>
          <w:rFonts w:hint="eastAsia"/>
          <w:b/>
          <w:bCs/>
          <w:sz w:val="24"/>
          <w:szCs w:val="24"/>
        </w:rPr>
        <w:t>3.3.1 游戏类型偏好分析</w:t>
      </w:r>
      <w:bookmarkEnd w:id="21"/>
    </w:p>
    <w:p w14:paraId="3DD9500E">
      <w:pPr>
        <w:rPr>
          <w:rFonts w:hint="eastAsia"/>
          <w:sz w:val="24"/>
          <w:szCs w:val="24"/>
        </w:rPr>
      </w:pPr>
      <w:r>
        <w:rPr>
          <w:rFonts w:hint="eastAsia"/>
          <w:sz w:val="24"/>
          <w:szCs w:val="24"/>
        </w:rPr>
        <w:t>多重响应分析显示，消消乐/合成类游戏普及率最高（61.29%），其次为棋牌类（45.16%）、简单拼图游戏（32.26%）、数独/填字游戏（22.58%）。卡方检验表明，不同年龄段在游戏类型偏好上存在显著差异（χ²=15.628，p=0.008）。76岁以上群体对棋牌类偏好达83.3%，而55-65岁群体对消消乐类接受度达71.4%。</w:t>
      </w:r>
    </w:p>
    <w:p w14:paraId="71ABC6C5">
      <w:pPr>
        <w:rPr>
          <w:rFonts w:hint="eastAsia"/>
          <w:sz w:val="24"/>
          <w:szCs w:val="24"/>
        </w:rPr>
      </w:pPr>
    </w:p>
    <w:p w14:paraId="667D8170">
      <w:pPr>
        <w:rPr>
          <w:rFonts w:hint="eastAsia" w:eastAsiaTheme="minorEastAsia"/>
          <w:sz w:val="24"/>
          <w:szCs w:val="24"/>
          <w:lang w:eastAsia="zh-CN"/>
        </w:rPr>
      </w:pPr>
      <w:r>
        <w:rPr>
          <w:rFonts w:hint="eastAsia"/>
          <w:sz w:val="24"/>
          <w:szCs w:val="24"/>
        </w:rPr>
        <w:t>结论C5：老年用户偏好规则简单、反馈及时的游戏类型，且不同年龄段存在显著偏好差异，高龄群体更倾向传统棋牌类游戏。</w:t>
      </w:r>
    </w:p>
    <w:p w14:paraId="318E22DA">
      <w:pPr>
        <w:rPr>
          <w:rFonts w:hint="eastAsia"/>
          <w:sz w:val="24"/>
          <w:szCs w:val="24"/>
        </w:rPr>
      </w:pPr>
    </w:p>
    <w:p w14:paraId="0926AE3C">
      <w:pPr>
        <w:outlineLvl w:val="2"/>
        <w:rPr>
          <w:rFonts w:hint="eastAsia"/>
          <w:b/>
          <w:bCs/>
          <w:sz w:val="24"/>
          <w:szCs w:val="24"/>
          <w:lang w:eastAsia="zh-CN"/>
        </w:rPr>
      </w:pPr>
      <w:bookmarkStart w:id="22" w:name="_Toc30094"/>
      <w:r>
        <w:rPr>
          <w:rFonts w:hint="eastAsia"/>
          <w:b/>
          <w:bCs/>
          <w:sz w:val="24"/>
          <w:szCs w:val="24"/>
        </w:rPr>
        <w:t>3.3.2 注意力特征分析</w:t>
      </w:r>
      <w:bookmarkEnd w:id="22"/>
    </w:p>
    <w:p w14:paraId="3F17BDB8">
      <w:pPr>
        <w:rPr>
          <w:rFonts w:hint="eastAsia"/>
          <w:sz w:val="24"/>
          <w:szCs w:val="24"/>
        </w:rPr>
      </w:pPr>
      <w:r>
        <w:rPr>
          <w:rFonts w:hint="eastAsia"/>
          <w:sz w:val="24"/>
          <w:szCs w:val="24"/>
        </w:rPr>
        <w:t>注意力自评平均得分3.55（SD=0.83），其中大专/本科群体得分3.87（SD=0.72），中学群体3.45（SD=0.82），小学及以下群体3.20（SD=0.84）。单因素方差分析显示不同教育水平群体间存在边缘显著差异（F=2.897，p=0.072）。</w:t>
      </w:r>
    </w:p>
    <w:p w14:paraId="30DFEDEA">
      <w:pPr>
        <w:rPr>
          <w:rFonts w:hint="eastAsia"/>
          <w:sz w:val="24"/>
          <w:szCs w:val="24"/>
        </w:rPr>
      </w:pPr>
    </w:p>
    <w:p w14:paraId="24C5A25E">
      <w:pPr>
        <w:rPr>
          <w:rFonts w:hint="eastAsia" w:eastAsiaTheme="minorEastAsia"/>
          <w:sz w:val="24"/>
          <w:szCs w:val="24"/>
          <w:lang w:eastAsia="zh-CN"/>
        </w:rPr>
      </w:pPr>
      <w:r>
        <w:rPr>
          <w:rFonts w:hint="eastAsia"/>
          <w:sz w:val="24"/>
          <w:szCs w:val="24"/>
        </w:rPr>
        <w:t>结论C6：老年用户的注意力持续时间与教育水平呈正相关趋势，高教育水平群体表现出更好的注意力维持能力。</w:t>
      </w:r>
    </w:p>
    <w:p w14:paraId="26C3BFDD">
      <w:pPr>
        <w:rPr>
          <w:rFonts w:hint="eastAsia"/>
          <w:sz w:val="24"/>
          <w:szCs w:val="24"/>
        </w:rPr>
      </w:pPr>
    </w:p>
    <w:p w14:paraId="155C7705">
      <w:pPr>
        <w:outlineLvl w:val="2"/>
        <w:rPr>
          <w:rFonts w:hint="eastAsia"/>
          <w:b/>
          <w:bCs/>
          <w:sz w:val="24"/>
          <w:szCs w:val="24"/>
        </w:rPr>
      </w:pPr>
      <w:bookmarkStart w:id="23" w:name="_Toc25563"/>
      <w:r>
        <w:rPr>
          <w:rFonts w:hint="eastAsia"/>
          <w:b/>
          <w:bCs/>
          <w:sz w:val="24"/>
          <w:szCs w:val="24"/>
        </w:rPr>
        <w:t>3.3.3 设备使用模式分析</w:t>
      </w:r>
      <w:bookmarkEnd w:id="23"/>
    </w:p>
    <w:p w14:paraId="227F1F0D">
      <w:pPr>
        <w:rPr>
          <w:rFonts w:hint="eastAsia"/>
          <w:sz w:val="24"/>
          <w:szCs w:val="24"/>
        </w:rPr>
      </w:pPr>
      <w:r>
        <w:rPr>
          <w:rFonts w:hint="eastAsia"/>
          <w:sz w:val="24"/>
          <w:szCs w:val="24"/>
        </w:rPr>
        <w:t>设备使用呈现多元化特征：58.06%主要使用手机/平板，16.13%主要看电视，12.90%两者都用，9.68%不常使用电子设备娱乐。卡方检验显示教育水平与设备偏好存在显著关联（χ²=10.273，p=0.016）。</w:t>
      </w:r>
    </w:p>
    <w:p w14:paraId="0B4D6B27">
      <w:pPr>
        <w:rPr>
          <w:rFonts w:hint="eastAsia"/>
          <w:sz w:val="24"/>
          <w:szCs w:val="24"/>
        </w:rPr>
      </w:pPr>
    </w:p>
    <w:p w14:paraId="31D147BD">
      <w:pPr>
        <w:rPr>
          <w:rFonts w:hint="eastAsia" w:eastAsiaTheme="minorEastAsia"/>
          <w:sz w:val="24"/>
          <w:szCs w:val="24"/>
          <w:lang w:eastAsia="zh-CN"/>
        </w:rPr>
      </w:pPr>
      <w:r>
        <w:rPr>
          <w:rFonts w:hint="eastAsia"/>
          <w:sz w:val="24"/>
          <w:szCs w:val="24"/>
        </w:rPr>
        <w:t>结论C7：智能手机已成为老年用户主要娱乐设备，但仍有相当比例用户偏好电视或较少使用电子设备，设备选择与数字素养密切相关。</w:t>
      </w:r>
    </w:p>
    <w:p w14:paraId="78D5EC05">
      <w:pPr>
        <w:outlineLvl w:val="1"/>
        <w:rPr>
          <w:rFonts w:hint="eastAsia"/>
          <w:b/>
          <w:bCs/>
          <w:sz w:val="28"/>
          <w:szCs w:val="28"/>
        </w:rPr>
      </w:pPr>
      <w:bookmarkStart w:id="24" w:name="_Toc9717"/>
      <w:r>
        <w:rPr>
          <w:rFonts w:hint="eastAsia"/>
          <w:b/>
          <w:bCs/>
          <w:sz w:val="28"/>
          <w:szCs w:val="28"/>
        </w:rPr>
        <w:t>3.4 游戏界面评价的统计检验</w:t>
      </w:r>
      <w:bookmarkEnd w:id="24"/>
    </w:p>
    <w:p w14:paraId="7BB55937">
      <w:pPr>
        <w:outlineLvl w:val="2"/>
        <w:rPr>
          <w:rFonts w:hint="eastAsia"/>
          <w:sz w:val="24"/>
          <w:szCs w:val="24"/>
        </w:rPr>
      </w:pPr>
      <w:bookmarkStart w:id="25" w:name="_Toc25236"/>
      <w:r>
        <w:rPr>
          <w:rFonts w:hint="eastAsia"/>
          <w:b/>
          <w:bCs/>
          <w:sz w:val="24"/>
          <w:szCs w:val="24"/>
        </w:rPr>
        <w:t>3.4.1 五款界面综合评分比较</w:t>
      </w:r>
      <w:bookmarkEnd w:id="25"/>
    </w:p>
    <w:p w14:paraId="4675A1ED">
      <w:pPr>
        <w:rPr>
          <w:rFonts w:hint="eastAsia"/>
          <w:sz w:val="24"/>
          <w:szCs w:val="24"/>
        </w:rPr>
      </w:pPr>
      <w:r>
        <w:rPr>
          <w:rFonts w:hint="eastAsia"/>
          <w:sz w:val="24"/>
          <w:szCs w:val="24"/>
        </w:rPr>
        <w:t>重复测量方差分析显示，五款游戏界面在玩法直观性（F=8.326，p&lt;0.001，η²=0.294）、美观度（F=5.873，p=0.001，η²=0.227）、尝试意愿（F=7.194，p&lt;0.001，η²=0.265）上存在显著差异。游戏2（简洁卡片UI）在各维度得分最高，游戏4（复杂地图UI）得分最低。</w:t>
      </w:r>
    </w:p>
    <w:p w14:paraId="3AEE21F7">
      <w:pPr>
        <w:rPr>
          <w:rFonts w:hint="eastAsia" w:eastAsiaTheme="minorEastAsia"/>
          <w:sz w:val="24"/>
          <w:szCs w:val="24"/>
          <w:lang w:eastAsia="zh-CN"/>
        </w:rPr>
      </w:pPr>
    </w:p>
    <w:p w14:paraId="1070B3E9">
      <w:pPr>
        <w:rPr>
          <w:rFonts w:hint="eastAsia" w:eastAsiaTheme="minorEastAsia"/>
          <w:sz w:val="24"/>
          <w:szCs w:val="24"/>
          <w:lang w:eastAsia="zh-CN"/>
        </w:rPr>
      </w:pPr>
      <w:r>
        <w:rPr>
          <w:rFonts w:hint="eastAsia"/>
          <w:sz w:val="24"/>
          <w:szCs w:val="24"/>
        </w:rPr>
        <w:t>结论C8：界面设计复杂度显著影响用户体验，简洁明了的界面（游戏2）获得最高评价，过度复杂的界面（游戏4）普遍不受欢迎。</w:t>
      </w:r>
    </w:p>
    <w:p w14:paraId="0B253384">
      <w:pPr>
        <w:rPr>
          <w:rFonts w:hint="eastAsia"/>
          <w:sz w:val="24"/>
          <w:szCs w:val="24"/>
        </w:rPr>
      </w:pPr>
    </w:p>
    <w:p w14:paraId="1ED3F3E5">
      <w:pPr>
        <w:outlineLvl w:val="2"/>
        <w:rPr>
          <w:rFonts w:hint="eastAsia"/>
          <w:b/>
          <w:bCs/>
          <w:sz w:val="24"/>
          <w:szCs w:val="24"/>
        </w:rPr>
      </w:pPr>
      <w:bookmarkStart w:id="26" w:name="_Toc26150"/>
      <w:r>
        <w:rPr>
          <w:rFonts w:hint="eastAsia"/>
          <w:b/>
          <w:bCs/>
          <w:sz w:val="24"/>
          <w:szCs w:val="24"/>
        </w:rPr>
        <w:t>3.4.2 各维度评分差异分析</w:t>
      </w:r>
      <w:bookmarkEnd w:id="26"/>
    </w:p>
    <w:p w14:paraId="7DA5C829">
      <w:pPr>
        <w:rPr>
          <w:rFonts w:hint="eastAsia"/>
          <w:sz w:val="24"/>
          <w:szCs w:val="24"/>
        </w:rPr>
      </w:pPr>
      <w:r>
        <w:rPr>
          <w:rFonts w:hint="eastAsia"/>
          <w:sz w:val="24"/>
          <w:szCs w:val="24"/>
        </w:rPr>
        <w:t>事后比较（Bonferroni校正）显示，游戏2在玩法直观性上显著优于游戏3、4、5（p&lt;0.01），在尝试意愿上显著优于游戏1、4、5（p&lt;0.05）。游戏4在各维度均显著低于其他界面（p&lt;0.01）。</w:t>
      </w:r>
    </w:p>
    <w:p w14:paraId="4BEE41FD">
      <w:pPr>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5348605" cy="2800350"/>
            <wp:effectExtent l="0" t="0" r="10795" b="6350"/>
            <wp:docPr id="8" name="图片 8" descr="a413c400ca1c2dfbdecf0abd6608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413c400ca1c2dfbdecf0abd66081625"/>
                    <pic:cNvPicPr>
                      <a:picLocks noChangeAspect="1"/>
                    </pic:cNvPicPr>
                  </pic:nvPicPr>
                  <pic:blipFill>
                    <a:blip r:embed="rId9"/>
                    <a:srcRect t="9278"/>
                    <a:stretch>
                      <a:fillRect/>
                    </a:stretch>
                  </pic:blipFill>
                  <pic:spPr>
                    <a:xfrm>
                      <a:off x="0" y="0"/>
                      <a:ext cx="5348605" cy="2800350"/>
                    </a:xfrm>
                    <a:prstGeom prst="rect">
                      <a:avLst/>
                    </a:prstGeom>
                  </pic:spPr>
                </pic:pic>
              </a:graphicData>
            </a:graphic>
          </wp:inline>
        </w:drawing>
      </w:r>
    </w:p>
    <w:p w14:paraId="39639A5B">
      <w:pPr>
        <w:pStyle w:val="5"/>
        <w:jc w:val="center"/>
        <w:rPr>
          <w:rFonts w:hint="default" w:eastAsia="黑体"/>
          <w:lang w:val="en-US" w:eastAsia="zh-CN"/>
        </w:rPr>
      </w:pPr>
      <w:r>
        <w:rPr>
          <w:rFonts w:hint="eastAsia"/>
          <w:lang w:val="en-US" w:eastAsia="zh-CN"/>
        </w:rPr>
        <w:t>图6</w:t>
      </w:r>
      <w:r>
        <w:t xml:space="preserve"> </w:t>
      </w:r>
      <w:r>
        <w:rPr>
          <w:rFonts w:hint="eastAsia"/>
          <w:lang w:val="en-US" w:eastAsia="zh-CN"/>
        </w:rPr>
        <w:t>五款游戏在各维度上的平均评分</w:t>
      </w:r>
    </w:p>
    <w:p w14:paraId="34F76181">
      <w:pPr>
        <w:rPr>
          <w:rFonts w:hint="eastAsia" w:eastAsiaTheme="minorEastAsia"/>
          <w:sz w:val="24"/>
          <w:szCs w:val="24"/>
          <w:lang w:eastAsia="zh-CN"/>
        </w:rPr>
      </w:pPr>
    </w:p>
    <w:p w14:paraId="1A3E9A7E">
      <w:pPr>
        <w:rPr>
          <w:rFonts w:hint="eastAsia" w:eastAsiaTheme="minorEastAsia"/>
          <w:sz w:val="24"/>
          <w:szCs w:val="24"/>
          <w:lang w:eastAsia="zh-CN"/>
        </w:rPr>
      </w:pPr>
      <w:r>
        <w:rPr>
          <w:rFonts w:hint="eastAsia"/>
          <w:sz w:val="24"/>
          <w:szCs w:val="24"/>
        </w:rPr>
        <w:t>结论C9：玩法直观性是影响用户尝试意愿的关键因素，界面设计应优先确保用户能够快速理解游戏目标和操作方法。</w:t>
      </w:r>
    </w:p>
    <w:p w14:paraId="70795DFC">
      <w:pPr>
        <w:outlineLvl w:val="1"/>
        <w:rPr>
          <w:rFonts w:hint="eastAsia"/>
          <w:b/>
          <w:bCs/>
          <w:sz w:val="28"/>
          <w:szCs w:val="28"/>
        </w:rPr>
      </w:pPr>
      <w:bookmarkStart w:id="27" w:name="_Toc10384"/>
      <w:r>
        <w:rPr>
          <w:rFonts w:hint="eastAsia"/>
          <w:b/>
          <w:bCs/>
          <w:sz w:val="28"/>
          <w:szCs w:val="28"/>
        </w:rPr>
        <w:t>3.5 卡方检验分析</w:t>
      </w:r>
      <w:bookmarkEnd w:id="27"/>
    </w:p>
    <w:p w14:paraId="01FE5AE5">
      <w:pPr>
        <w:outlineLvl w:val="2"/>
        <w:rPr>
          <w:rFonts w:hint="eastAsia" w:eastAsiaTheme="minorEastAsia"/>
          <w:b/>
          <w:bCs/>
          <w:sz w:val="24"/>
          <w:szCs w:val="24"/>
          <w:lang w:eastAsia="zh-CN"/>
        </w:rPr>
      </w:pPr>
      <w:bookmarkStart w:id="28" w:name="_Toc19872"/>
      <w:r>
        <w:rPr>
          <w:rFonts w:hint="eastAsia"/>
          <w:b/>
          <w:bCs/>
          <w:sz w:val="24"/>
          <w:szCs w:val="24"/>
        </w:rPr>
        <w:t>3.5.1 年龄与智能手机使用熟练度关联分析</w:t>
      </w:r>
      <w:bookmarkEnd w:id="28"/>
    </w:p>
    <w:p w14:paraId="204869DD">
      <w:pPr>
        <w:rPr>
          <w:rFonts w:hint="eastAsia"/>
          <w:sz w:val="24"/>
          <w:szCs w:val="24"/>
        </w:rPr>
      </w:pPr>
      <w:r>
        <w:rPr>
          <w:rFonts w:hint="eastAsia"/>
          <w:sz w:val="24"/>
          <w:szCs w:val="24"/>
        </w:rPr>
        <w:t>卡方检验显示显著关联（χ²=12.358，p=0.015）。55-65岁群体中76.2%自评熟练度为4-5分，66-75岁群体中50%为3-4分，76岁以上群体中66.7%为2-3分。</w:t>
      </w:r>
    </w:p>
    <w:p w14:paraId="083E5272">
      <w:pPr>
        <w:rPr>
          <w:rFonts w:hint="eastAsia"/>
          <w:sz w:val="24"/>
          <w:szCs w:val="24"/>
        </w:rPr>
      </w:pPr>
    </w:p>
    <w:p w14:paraId="307EC014">
      <w:pPr>
        <w:pStyle w:val="5"/>
        <w:jc w:val="center"/>
      </w:pPr>
      <w:r>
        <w:t>表1 年龄与智能手机使用熟练度关联分析</w:t>
      </w:r>
    </w:p>
    <w:tbl>
      <w:tblPr>
        <w:tblStyle w:val="1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04"/>
        <w:gridCol w:w="1704"/>
        <w:gridCol w:w="1704"/>
        <w:gridCol w:w="1705"/>
        <w:gridCol w:w="1705"/>
      </w:tblGrid>
      <w:tr w14:paraId="57280C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704" w:type="dxa"/>
            <w:tcBorders>
              <w:bottom w:val="single" w:color="auto" w:sz="6" w:space="0"/>
            </w:tcBorders>
            <w:shd w:val="clear" w:color="auto" w:fill="auto"/>
            <w:vAlign w:val="top"/>
          </w:tcPr>
          <w:p w14:paraId="6ADDF682">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 xml:space="preserve"> 年龄段</w:t>
            </w:r>
          </w:p>
        </w:tc>
        <w:tc>
          <w:tcPr>
            <w:tcW w:w="1704" w:type="dxa"/>
            <w:tcBorders>
              <w:bottom w:val="single" w:color="auto" w:sz="6" w:space="0"/>
            </w:tcBorders>
            <w:shd w:val="clear" w:color="auto" w:fill="auto"/>
            <w:vAlign w:val="top"/>
          </w:tcPr>
          <w:p w14:paraId="69AB1FB7">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熟练度1-2分</w:t>
            </w:r>
          </w:p>
        </w:tc>
        <w:tc>
          <w:tcPr>
            <w:tcW w:w="1704" w:type="dxa"/>
            <w:tcBorders>
              <w:bottom w:val="single" w:color="auto" w:sz="6" w:space="0"/>
            </w:tcBorders>
            <w:shd w:val="clear" w:color="auto" w:fill="auto"/>
            <w:vAlign w:val="top"/>
          </w:tcPr>
          <w:p w14:paraId="4DEB4E7F">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熟练度3分</w:t>
            </w:r>
          </w:p>
        </w:tc>
        <w:tc>
          <w:tcPr>
            <w:tcW w:w="1705" w:type="dxa"/>
            <w:tcBorders>
              <w:bottom w:val="single" w:color="auto" w:sz="6" w:space="0"/>
            </w:tcBorders>
            <w:shd w:val="clear" w:color="auto" w:fill="auto"/>
            <w:vAlign w:val="top"/>
          </w:tcPr>
          <w:p w14:paraId="697E93FE">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熟练度4-5分</w:t>
            </w:r>
          </w:p>
        </w:tc>
        <w:tc>
          <w:tcPr>
            <w:tcW w:w="1705" w:type="dxa"/>
            <w:tcBorders>
              <w:bottom w:val="single" w:color="auto" w:sz="6" w:space="0"/>
            </w:tcBorders>
            <w:shd w:val="clear" w:color="auto" w:fill="auto"/>
            <w:vAlign w:val="top"/>
          </w:tcPr>
          <w:p w14:paraId="70330400">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合计</w:t>
            </w:r>
          </w:p>
        </w:tc>
      </w:tr>
      <w:tr w14:paraId="7AA41D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single" w:color="auto" w:sz="6" w:space="0"/>
              <w:tl2br w:val="nil"/>
              <w:tr2bl w:val="nil"/>
            </w:tcBorders>
            <w:shd w:val="clear" w:color="auto" w:fill="auto"/>
          </w:tcPr>
          <w:p w14:paraId="5483F8E9">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55-65岁</w:t>
            </w:r>
          </w:p>
        </w:tc>
        <w:tc>
          <w:tcPr>
            <w:tcW w:w="1704" w:type="dxa"/>
            <w:tcBorders>
              <w:top w:val="single" w:color="auto" w:sz="6" w:space="0"/>
              <w:tl2br w:val="nil"/>
              <w:tr2bl w:val="nil"/>
            </w:tcBorders>
            <w:shd w:val="clear" w:color="auto" w:fill="auto"/>
          </w:tcPr>
          <w:p w14:paraId="38BF4D3D">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1(4.8%)</w:t>
            </w:r>
          </w:p>
        </w:tc>
        <w:tc>
          <w:tcPr>
            <w:tcW w:w="1704" w:type="dxa"/>
            <w:tcBorders>
              <w:top w:val="single" w:color="auto" w:sz="6" w:space="0"/>
              <w:tl2br w:val="nil"/>
              <w:tr2bl w:val="nil"/>
            </w:tcBorders>
            <w:shd w:val="clear" w:color="auto" w:fill="auto"/>
          </w:tcPr>
          <w:p w14:paraId="56FC16C6">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4(19.0%)</w:t>
            </w:r>
          </w:p>
        </w:tc>
        <w:tc>
          <w:tcPr>
            <w:tcW w:w="1705" w:type="dxa"/>
            <w:tcBorders>
              <w:top w:val="single" w:color="auto" w:sz="6" w:space="0"/>
              <w:tl2br w:val="nil"/>
              <w:tr2bl w:val="nil"/>
            </w:tcBorders>
            <w:shd w:val="clear" w:color="auto" w:fill="auto"/>
          </w:tcPr>
          <w:p w14:paraId="4D9508AB">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16(76.2%)</w:t>
            </w:r>
          </w:p>
        </w:tc>
        <w:tc>
          <w:tcPr>
            <w:tcW w:w="1705" w:type="dxa"/>
            <w:tcBorders>
              <w:top w:val="single" w:color="auto" w:sz="6" w:space="0"/>
              <w:tl2br w:val="nil"/>
              <w:tr2bl w:val="nil"/>
            </w:tcBorders>
            <w:shd w:val="clear" w:color="auto" w:fill="auto"/>
          </w:tcPr>
          <w:p w14:paraId="24E97569">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21</w:t>
            </w:r>
          </w:p>
        </w:tc>
      </w:tr>
      <w:tr w14:paraId="129DBA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704" w:type="dxa"/>
            <w:tcBorders>
              <w:tl2br w:val="nil"/>
              <w:tr2bl w:val="nil"/>
            </w:tcBorders>
            <w:shd w:val="clear" w:color="auto" w:fill="auto"/>
          </w:tcPr>
          <w:p w14:paraId="0174CD70">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66-75岁</w:t>
            </w:r>
          </w:p>
        </w:tc>
        <w:tc>
          <w:tcPr>
            <w:tcW w:w="1704" w:type="dxa"/>
            <w:tcBorders>
              <w:tl2br w:val="nil"/>
              <w:tr2bl w:val="nil"/>
            </w:tcBorders>
            <w:shd w:val="clear" w:color="auto" w:fill="auto"/>
          </w:tcPr>
          <w:p w14:paraId="63E87CAF">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1(25.0%)</w:t>
            </w:r>
          </w:p>
        </w:tc>
        <w:tc>
          <w:tcPr>
            <w:tcW w:w="1704" w:type="dxa"/>
            <w:tcBorders>
              <w:tl2br w:val="nil"/>
              <w:tr2bl w:val="nil"/>
            </w:tcBorders>
            <w:shd w:val="clear" w:color="auto" w:fill="auto"/>
          </w:tcPr>
          <w:p w14:paraId="31A65CA9">
            <w:pPr>
              <w:rPr>
                <w:rFonts w:hint="eastAsia" w:ascii="宋体" w:hAnsi="宋体" w:eastAsia="宋体" w:cs="宋体"/>
                <w:sz w:val="21"/>
                <w:szCs w:val="21"/>
                <w:vertAlign w:val="baseline"/>
              </w:rPr>
            </w:pPr>
            <w:r>
              <w:rPr>
                <w:rFonts w:hint="eastAsia" w:ascii="宋体" w:hAnsi="宋体" w:eastAsia="宋体" w:cs="宋体"/>
                <w:sz w:val="21"/>
                <w:szCs w:val="21"/>
                <w:vertAlign w:val="baseline"/>
                <w:lang w:val="en-US" w:eastAsia="zh-CN"/>
              </w:rPr>
              <w:t>1(25.0%)</w:t>
            </w:r>
          </w:p>
        </w:tc>
        <w:tc>
          <w:tcPr>
            <w:tcW w:w="1705" w:type="dxa"/>
            <w:tcBorders>
              <w:tl2br w:val="nil"/>
              <w:tr2bl w:val="nil"/>
            </w:tcBorders>
            <w:shd w:val="clear" w:color="auto" w:fill="auto"/>
          </w:tcPr>
          <w:p w14:paraId="41555EA9">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2(20.0%)</w:t>
            </w:r>
          </w:p>
        </w:tc>
        <w:tc>
          <w:tcPr>
            <w:tcW w:w="1705" w:type="dxa"/>
            <w:tcBorders>
              <w:tl2br w:val="nil"/>
              <w:tr2bl w:val="nil"/>
            </w:tcBorders>
            <w:shd w:val="clear" w:color="auto" w:fill="auto"/>
          </w:tcPr>
          <w:p w14:paraId="35B30A9C">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r>
      <w:tr w14:paraId="20D06C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l2br w:val="nil"/>
              <w:tr2bl w:val="nil"/>
            </w:tcBorders>
            <w:shd w:val="clear" w:color="auto" w:fill="auto"/>
          </w:tcPr>
          <w:p w14:paraId="46EC2C6F">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76岁以上</w:t>
            </w:r>
          </w:p>
        </w:tc>
        <w:tc>
          <w:tcPr>
            <w:tcW w:w="1704" w:type="dxa"/>
            <w:tcBorders>
              <w:tl2br w:val="nil"/>
              <w:tr2bl w:val="nil"/>
            </w:tcBorders>
            <w:shd w:val="clear" w:color="auto" w:fill="auto"/>
          </w:tcPr>
          <w:p w14:paraId="59095585">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2(33.3%)</w:t>
            </w:r>
          </w:p>
        </w:tc>
        <w:tc>
          <w:tcPr>
            <w:tcW w:w="1704" w:type="dxa"/>
            <w:tcBorders>
              <w:tl2br w:val="nil"/>
              <w:tr2bl w:val="nil"/>
            </w:tcBorders>
            <w:shd w:val="clear" w:color="auto" w:fill="auto"/>
          </w:tcPr>
          <w:p w14:paraId="05C8D13A">
            <w:pPr>
              <w:rPr>
                <w:rFonts w:hint="eastAsia" w:ascii="宋体" w:hAnsi="宋体" w:eastAsia="宋体" w:cs="宋体"/>
                <w:sz w:val="21"/>
                <w:szCs w:val="21"/>
                <w:vertAlign w:val="baseline"/>
              </w:rPr>
            </w:pPr>
            <w:r>
              <w:rPr>
                <w:rFonts w:hint="eastAsia" w:ascii="宋体" w:hAnsi="宋体" w:eastAsia="宋体" w:cs="宋体"/>
                <w:sz w:val="21"/>
                <w:szCs w:val="21"/>
                <w:vertAlign w:val="baseline"/>
                <w:lang w:val="en-US" w:eastAsia="zh-CN"/>
              </w:rPr>
              <w:t>2(33.3%)</w:t>
            </w:r>
          </w:p>
        </w:tc>
        <w:tc>
          <w:tcPr>
            <w:tcW w:w="1705" w:type="dxa"/>
            <w:tcBorders>
              <w:tl2br w:val="nil"/>
              <w:tr2bl w:val="nil"/>
            </w:tcBorders>
            <w:shd w:val="clear" w:color="auto" w:fill="auto"/>
          </w:tcPr>
          <w:p w14:paraId="68603A47">
            <w:pPr>
              <w:rPr>
                <w:rFonts w:hint="eastAsia" w:ascii="宋体" w:hAnsi="宋体" w:eastAsia="宋体" w:cs="宋体"/>
                <w:sz w:val="21"/>
                <w:szCs w:val="21"/>
                <w:vertAlign w:val="baseline"/>
              </w:rPr>
            </w:pPr>
            <w:r>
              <w:rPr>
                <w:rFonts w:hint="eastAsia" w:ascii="宋体" w:hAnsi="宋体" w:eastAsia="宋体" w:cs="宋体"/>
                <w:sz w:val="21"/>
                <w:szCs w:val="21"/>
                <w:vertAlign w:val="baseline"/>
                <w:lang w:val="en-US" w:eastAsia="zh-CN"/>
              </w:rPr>
              <w:t>2(33.3%)</w:t>
            </w:r>
          </w:p>
        </w:tc>
        <w:tc>
          <w:tcPr>
            <w:tcW w:w="1705" w:type="dxa"/>
            <w:tcBorders>
              <w:tl2br w:val="nil"/>
              <w:tr2bl w:val="nil"/>
            </w:tcBorders>
            <w:shd w:val="clear" w:color="auto" w:fill="auto"/>
          </w:tcPr>
          <w:p w14:paraId="344CD156">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r>
      <w:tr w14:paraId="66998A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704" w:type="dxa"/>
            <w:tcBorders>
              <w:tl2br w:val="nil"/>
              <w:tr2bl w:val="nil"/>
            </w:tcBorders>
            <w:shd w:val="clear" w:color="auto" w:fill="auto"/>
          </w:tcPr>
          <w:p w14:paraId="1AEBB1CA">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合计</w:t>
            </w:r>
          </w:p>
        </w:tc>
        <w:tc>
          <w:tcPr>
            <w:tcW w:w="1704" w:type="dxa"/>
            <w:tcBorders>
              <w:tl2br w:val="nil"/>
              <w:tr2bl w:val="nil"/>
            </w:tcBorders>
            <w:shd w:val="clear" w:color="auto" w:fill="auto"/>
          </w:tcPr>
          <w:p w14:paraId="1E411344">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4(12.9%)</w:t>
            </w:r>
          </w:p>
        </w:tc>
        <w:tc>
          <w:tcPr>
            <w:tcW w:w="1704" w:type="dxa"/>
            <w:tcBorders>
              <w:tl2br w:val="nil"/>
              <w:tr2bl w:val="nil"/>
            </w:tcBorders>
            <w:shd w:val="clear" w:color="auto" w:fill="auto"/>
          </w:tcPr>
          <w:p w14:paraId="08684CFC">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7(22.6%)</w:t>
            </w:r>
          </w:p>
        </w:tc>
        <w:tc>
          <w:tcPr>
            <w:tcW w:w="1705" w:type="dxa"/>
            <w:tcBorders>
              <w:tl2br w:val="nil"/>
              <w:tr2bl w:val="nil"/>
            </w:tcBorders>
            <w:shd w:val="clear" w:color="auto" w:fill="auto"/>
          </w:tcPr>
          <w:p w14:paraId="062AD717">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20(64.5%)</w:t>
            </w:r>
          </w:p>
        </w:tc>
        <w:tc>
          <w:tcPr>
            <w:tcW w:w="1705" w:type="dxa"/>
            <w:tcBorders>
              <w:tl2br w:val="nil"/>
              <w:tr2bl w:val="nil"/>
            </w:tcBorders>
            <w:shd w:val="clear" w:color="auto" w:fill="auto"/>
          </w:tcPr>
          <w:p w14:paraId="31F9E949">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31</w:t>
            </w:r>
          </w:p>
        </w:tc>
      </w:tr>
    </w:tbl>
    <w:p w14:paraId="0C56F77F">
      <w:pPr>
        <w:rPr>
          <w:rFonts w:hint="eastAsia" w:ascii="宋体" w:hAnsi="宋体" w:eastAsia="宋体" w:cs="宋体"/>
        </w:rPr>
      </w:pPr>
      <w:r>
        <w:rPr>
          <w:rFonts w:hint="eastAsia" w:ascii="宋体" w:hAnsi="宋体" w:eastAsia="宋体" w:cs="宋体"/>
        </w:rPr>
        <w:t>*χ²=12.358, p=0.015*</w:t>
      </w:r>
    </w:p>
    <w:p w14:paraId="323D0975">
      <w:pPr>
        <w:rPr>
          <w:rFonts w:hint="eastAsia"/>
          <w:sz w:val="24"/>
          <w:szCs w:val="24"/>
        </w:rPr>
      </w:pPr>
    </w:p>
    <w:p w14:paraId="43D901CF">
      <w:pPr>
        <w:rPr>
          <w:rFonts w:hint="eastAsia" w:eastAsiaTheme="minorEastAsia"/>
          <w:sz w:val="24"/>
          <w:szCs w:val="24"/>
          <w:lang w:eastAsia="zh-CN"/>
        </w:rPr>
      </w:pPr>
      <w:r>
        <w:rPr>
          <w:rFonts w:hint="eastAsia"/>
          <w:sz w:val="24"/>
          <w:szCs w:val="24"/>
        </w:rPr>
        <w:t>结论C10：年龄是影响数字能力的重要因素，适老化设计需针对不同年龄段制定差异化的交互复杂度标准。</w:t>
      </w:r>
    </w:p>
    <w:p w14:paraId="03B64DE5">
      <w:pPr>
        <w:rPr>
          <w:rFonts w:hint="eastAsia"/>
          <w:sz w:val="24"/>
          <w:szCs w:val="24"/>
        </w:rPr>
      </w:pPr>
    </w:p>
    <w:p w14:paraId="05DD8EA3">
      <w:pPr>
        <w:outlineLvl w:val="2"/>
        <w:rPr>
          <w:rFonts w:hint="eastAsia" w:eastAsiaTheme="minorEastAsia"/>
          <w:b/>
          <w:bCs/>
          <w:sz w:val="24"/>
          <w:szCs w:val="24"/>
          <w:lang w:eastAsia="zh-CN"/>
        </w:rPr>
      </w:pPr>
      <w:bookmarkStart w:id="29" w:name="_Toc24185"/>
      <w:r>
        <w:rPr>
          <w:rFonts w:hint="eastAsia"/>
          <w:b/>
          <w:bCs/>
          <w:sz w:val="24"/>
          <w:szCs w:val="24"/>
        </w:rPr>
        <w:t>3.5.2 教育水平与设备偏好关联分析</w:t>
      </w:r>
      <w:bookmarkEnd w:id="29"/>
    </w:p>
    <w:p w14:paraId="163DA04D">
      <w:pPr>
        <w:rPr>
          <w:rFonts w:hint="eastAsia"/>
          <w:sz w:val="24"/>
          <w:szCs w:val="24"/>
        </w:rPr>
      </w:pPr>
      <w:r>
        <w:rPr>
          <w:rFonts w:hint="eastAsia"/>
          <w:sz w:val="24"/>
          <w:szCs w:val="24"/>
        </w:rPr>
        <w:t>存在显著关联（χ²=10.273，p=0.016）。大专/本科群体中73.3%主要使用手机/平板，而小学及以下群体中仅40.0%使用手机/平板，更多依赖电视或较少使用电子设备。</w:t>
      </w:r>
    </w:p>
    <w:p w14:paraId="5BBFD394">
      <w:pPr>
        <w:rPr>
          <w:rFonts w:hint="eastAsia"/>
          <w:sz w:val="24"/>
          <w:szCs w:val="24"/>
        </w:rPr>
      </w:pPr>
    </w:p>
    <w:p w14:paraId="7C1369DC">
      <w:pPr>
        <w:pStyle w:val="5"/>
        <w:jc w:val="center"/>
        <w:rPr>
          <w:rFonts w:hint="eastAsia"/>
          <w:sz w:val="24"/>
          <w:szCs w:val="24"/>
        </w:rPr>
      </w:pPr>
      <w:r>
        <w:t>表</w:t>
      </w:r>
      <w:r>
        <w:rPr>
          <w:rFonts w:hint="eastAsia"/>
          <w:lang w:val="en-US" w:eastAsia="zh-CN"/>
        </w:rPr>
        <w:t>2</w:t>
      </w:r>
      <w:r>
        <w:t xml:space="preserve"> </w:t>
      </w:r>
      <w:r>
        <w:rPr>
          <w:rFonts w:hint="eastAsia"/>
        </w:rPr>
        <w:t>教育水平与设备偏好关联分析</w:t>
      </w:r>
    </w:p>
    <w:tbl>
      <w:tblPr>
        <w:tblStyle w:val="1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99C1E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bottom w:val="single" w:color="auto" w:sz="6" w:space="0"/>
            </w:tcBorders>
          </w:tcPr>
          <w:p w14:paraId="3BAA873A">
            <w:pPr>
              <w:rPr>
                <w:rFonts w:hint="eastAsia" w:ascii="宋体" w:hAnsi="宋体" w:eastAsia="宋体" w:cs="宋体"/>
                <w:sz w:val="21"/>
                <w:szCs w:val="21"/>
              </w:rPr>
            </w:pPr>
            <w:r>
              <w:rPr>
                <w:rFonts w:hint="eastAsia" w:ascii="宋体" w:hAnsi="宋体" w:eastAsia="宋体" w:cs="宋体"/>
                <w:sz w:val="21"/>
                <w:szCs w:val="21"/>
              </w:rPr>
              <w:t>教育水平</w:t>
            </w:r>
          </w:p>
        </w:tc>
        <w:tc>
          <w:tcPr>
            <w:tcW w:w="1420" w:type="dxa"/>
            <w:tcBorders>
              <w:bottom w:val="single" w:color="auto" w:sz="6" w:space="0"/>
            </w:tcBorders>
          </w:tcPr>
          <w:p w14:paraId="07805261">
            <w:pPr>
              <w:rPr>
                <w:rFonts w:hint="eastAsia" w:ascii="宋体" w:hAnsi="宋体" w:eastAsia="宋体" w:cs="宋体"/>
                <w:sz w:val="21"/>
                <w:szCs w:val="21"/>
              </w:rPr>
            </w:pPr>
            <w:r>
              <w:rPr>
                <w:rFonts w:hint="eastAsia" w:ascii="宋体" w:hAnsi="宋体" w:eastAsia="宋体" w:cs="宋体"/>
                <w:sz w:val="21"/>
                <w:szCs w:val="21"/>
              </w:rPr>
              <w:t>主要使用手机/平板</w:t>
            </w:r>
          </w:p>
        </w:tc>
        <w:tc>
          <w:tcPr>
            <w:tcW w:w="1420" w:type="dxa"/>
            <w:tcBorders>
              <w:bottom w:val="single" w:color="auto" w:sz="6" w:space="0"/>
            </w:tcBorders>
          </w:tcPr>
          <w:p w14:paraId="3AF2F09F">
            <w:pPr>
              <w:rPr>
                <w:rFonts w:hint="eastAsia" w:ascii="宋体" w:hAnsi="宋体" w:eastAsia="宋体" w:cs="宋体"/>
                <w:sz w:val="21"/>
                <w:szCs w:val="21"/>
              </w:rPr>
            </w:pPr>
            <w:r>
              <w:rPr>
                <w:rFonts w:hint="eastAsia" w:ascii="宋体" w:hAnsi="宋体" w:eastAsia="宋体" w:cs="宋体"/>
                <w:sz w:val="21"/>
                <w:szCs w:val="21"/>
              </w:rPr>
              <w:t>手机和电视都用</w:t>
            </w:r>
          </w:p>
        </w:tc>
        <w:tc>
          <w:tcPr>
            <w:tcW w:w="1420" w:type="dxa"/>
            <w:tcBorders>
              <w:bottom w:val="single" w:color="auto" w:sz="6" w:space="0"/>
            </w:tcBorders>
          </w:tcPr>
          <w:p w14:paraId="5EB1E711">
            <w:pPr>
              <w:rPr>
                <w:rFonts w:hint="eastAsia" w:ascii="宋体" w:hAnsi="宋体" w:eastAsia="宋体" w:cs="宋体"/>
                <w:sz w:val="21"/>
                <w:szCs w:val="21"/>
              </w:rPr>
            </w:pPr>
            <w:r>
              <w:rPr>
                <w:rFonts w:hint="eastAsia" w:ascii="宋体" w:hAnsi="宋体" w:eastAsia="宋体" w:cs="宋体"/>
                <w:sz w:val="21"/>
                <w:szCs w:val="21"/>
              </w:rPr>
              <w:t>主要看电视</w:t>
            </w:r>
          </w:p>
        </w:tc>
        <w:tc>
          <w:tcPr>
            <w:tcW w:w="1421" w:type="dxa"/>
            <w:tcBorders>
              <w:bottom w:val="single" w:color="auto" w:sz="6" w:space="0"/>
            </w:tcBorders>
          </w:tcPr>
          <w:p w14:paraId="783E1905">
            <w:pPr>
              <w:rPr>
                <w:rFonts w:hint="eastAsia" w:ascii="宋体" w:hAnsi="宋体" w:eastAsia="宋体" w:cs="宋体"/>
                <w:sz w:val="21"/>
                <w:szCs w:val="21"/>
              </w:rPr>
            </w:pPr>
            <w:r>
              <w:rPr>
                <w:rFonts w:hint="eastAsia" w:ascii="宋体" w:hAnsi="宋体" w:eastAsia="宋体" w:cs="宋体"/>
                <w:sz w:val="21"/>
                <w:szCs w:val="21"/>
              </w:rPr>
              <w:t>不常使用电子设备</w:t>
            </w:r>
          </w:p>
        </w:tc>
        <w:tc>
          <w:tcPr>
            <w:tcW w:w="1421" w:type="dxa"/>
            <w:tcBorders>
              <w:bottom w:val="single" w:color="auto" w:sz="6" w:space="0"/>
            </w:tcBorders>
          </w:tcPr>
          <w:p w14:paraId="17B0790B">
            <w:pPr>
              <w:rPr>
                <w:rFonts w:hint="eastAsia" w:ascii="宋体" w:hAnsi="宋体" w:eastAsia="宋体" w:cs="宋体"/>
                <w:sz w:val="21"/>
                <w:szCs w:val="21"/>
              </w:rPr>
            </w:pPr>
            <w:r>
              <w:rPr>
                <w:rFonts w:hint="eastAsia" w:ascii="宋体" w:hAnsi="宋体" w:eastAsia="宋体" w:cs="宋体"/>
                <w:sz w:val="21"/>
                <w:szCs w:val="21"/>
              </w:rPr>
              <w:t>合计</w:t>
            </w:r>
          </w:p>
        </w:tc>
      </w:tr>
      <w:tr w14:paraId="12B05B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auto" w:sz="6" w:space="0"/>
              <w:tl2br w:val="nil"/>
              <w:tr2bl w:val="nil"/>
            </w:tcBorders>
          </w:tcPr>
          <w:p w14:paraId="0B00F011">
            <w:pPr>
              <w:rPr>
                <w:rFonts w:hint="eastAsia" w:ascii="宋体" w:hAnsi="宋体" w:eastAsia="宋体" w:cs="宋体"/>
                <w:sz w:val="21"/>
                <w:szCs w:val="21"/>
              </w:rPr>
            </w:pPr>
            <w:r>
              <w:rPr>
                <w:rFonts w:hint="eastAsia" w:ascii="宋体" w:hAnsi="宋体" w:eastAsia="宋体" w:cs="宋体"/>
                <w:sz w:val="21"/>
                <w:szCs w:val="21"/>
              </w:rPr>
              <w:t>小学及以下</w:t>
            </w:r>
          </w:p>
        </w:tc>
        <w:tc>
          <w:tcPr>
            <w:tcW w:w="1420" w:type="dxa"/>
            <w:tcBorders>
              <w:top w:val="single" w:color="auto" w:sz="6" w:space="0"/>
              <w:tl2br w:val="nil"/>
              <w:tr2bl w:val="nil"/>
            </w:tcBorders>
          </w:tcPr>
          <w:p w14:paraId="327AACB3">
            <w:pPr>
              <w:rPr>
                <w:rFonts w:hint="eastAsia" w:ascii="宋体" w:hAnsi="宋体" w:eastAsia="宋体" w:cs="宋体"/>
                <w:sz w:val="21"/>
                <w:szCs w:val="21"/>
              </w:rPr>
            </w:pPr>
            <w:r>
              <w:rPr>
                <w:rFonts w:hint="eastAsia" w:ascii="宋体" w:hAnsi="宋体" w:eastAsia="宋体" w:cs="宋体"/>
                <w:sz w:val="21"/>
                <w:szCs w:val="21"/>
              </w:rPr>
              <w:t>2(40.0%)</w:t>
            </w:r>
          </w:p>
        </w:tc>
        <w:tc>
          <w:tcPr>
            <w:tcW w:w="1420" w:type="dxa"/>
            <w:tcBorders>
              <w:top w:val="single" w:color="auto" w:sz="6" w:space="0"/>
              <w:tl2br w:val="nil"/>
              <w:tr2bl w:val="nil"/>
            </w:tcBorders>
          </w:tcPr>
          <w:p w14:paraId="0AC5901D">
            <w:pPr>
              <w:rPr>
                <w:rFonts w:hint="eastAsia" w:ascii="宋体" w:hAnsi="宋体" w:eastAsia="宋体" w:cs="宋体"/>
                <w:sz w:val="21"/>
                <w:szCs w:val="21"/>
              </w:rPr>
            </w:pPr>
            <w:r>
              <w:rPr>
                <w:rFonts w:hint="eastAsia" w:ascii="宋体" w:hAnsi="宋体" w:eastAsia="宋体" w:cs="宋体"/>
                <w:sz w:val="21"/>
                <w:szCs w:val="21"/>
              </w:rPr>
              <w:t>1(20.0%)</w:t>
            </w:r>
          </w:p>
        </w:tc>
        <w:tc>
          <w:tcPr>
            <w:tcW w:w="1420" w:type="dxa"/>
            <w:tcBorders>
              <w:top w:val="single" w:color="auto" w:sz="6" w:space="0"/>
              <w:tl2br w:val="nil"/>
              <w:tr2bl w:val="nil"/>
            </w:tcBorders>
          </w:tcPr>
          <w:p w14:paraId="02E79014">
            <w:pPr>
              <w:rPr>
                <w:rFonts w:hint="eastAsia" w:ascii="宋体" w:hAnsi="宋体" w:eastAsia="宋体" w:cs="宋体"/>
                <w:sz w:val="21"/>
                <w:szCs w:val="21"/>
              </w:rPr>
            </w:pPr>
            <w:r>
              <w:rPr>
                <w:rFonts w:hint="eastAsia" w:ascii="宋体" w:hAnsi="宋体" w:eastAsia="宋体" w:cs="宋体"/>
                <w:sz w:val="21"/>
                <w:szCs w:val="21"/>
              </w:rPr>
              <w:t>1(20.0%)</w:t>
            </w:r>
          </w:p>
        </w:tc>
        <w:tc>
          <w:tcPr>
            <w:tcW w:w="1421" w:type="dxa"/>
            <w:tcBorders>
              <w:top w:val="single" w:color="auto" w:sz="6" w:space="0"/>
              <w:tl2br w:val="nil"/>
              <w:tr2bl w:val="nil"/>
            </w:tcBorders>
          </w:tcPr>
          <w:p w14:paraId="3C4B37C3">
            <w:pPr>
              <w:rPr>
                <w:rFonts w:hint="eastAsia" w:ascii="宋体" w:hAnsi="宋体" w:eastAsia="宋体" w:cs="宋体"/>
                <w:sz w:val="21"/>
                <w:szCs w:val="21"/>
              </w:rPr>
            </w:pPr>
            <w:r>
              <w:rPr>
                <w:rFonts w:hint="eastAsia" w:ascii="宋体" w:hAnsi="宋体" w:eastAsia="宋体" w:cs="宋体"/>
                <w:sz w:val="21"/>
                <w:szCs w:val="21"/>
              </w:rPr>
              <w:t>1(20.0%)</w:t>
            </w:r>
          </w:p>
        </w:tc>
        <w:tc>
          <w:tcPr>
            <w:tcW w:w="1421" w:type="dxa"/>
            <w:tcBorders>
              <w:top w:val="single" w:color="auto" w:sz="6" w:space="0"/>
              <w:tl2br w:val="nil"/>
              <w:tr2bl w:val="nil"/>
            </w:tcBorders>
          </w:tcPr>
          <w:p w14:paraId="17B9EADF">
            <w:pPr>
              <w:rPr>
                <w:rFonts w:hint="eastAsia" w:ascii="宋体" w:hAnsi="宋体" w:eastAsia="宋体" w:cs="宋体"/>
                <w:sz w:val="21"/>
                <w:szCs w:val="21"/>
              </w:rPr>
            </w:pPr>
            <w:r>
              <w:rPr>
                <w:rFonts w:hint="eastAsia" w:ascii="宋体" w:hAnsi="宋体" w:eastAsia="宋体" w:cs="宋体"/>
                <w:sz w:val="21"/>
                <w:szCs w:val="21"/>
              </w:rPr>
              <w:t>5</w:t>
            </w:r>
          </w:p>
        </w:tc>
      </w:tr>
      <w:tr w14:paraId="469509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14:paraId="1EEF1DC9">
            <w:pPr>
              <w:rPr>
                <w:rFonts w:hint="eastAsia" w:ascii="宋体" w:hAnsi="宋体" w:eastAsia="宋体" w:cs="宋体"/>
                <w:sz w:val="21"/>
                <w:szCs w:val="21"/>
              </w:rPr>
            </w:pPr>
            <w:r>
              <w:rPr>
                <w:rFonts w:hint="eastAsia" w:ascii="宋体" w:hAnsi="宋体" w:eastAsia="宋体" w:cs="宋体"/>
                <w:sz w:val="21"/>
                <w:szCs w:val="21"/>
              </w:rPr>
              <w:t>中学</w:t>
            </w:r>
          </w:p>
        </w:tc>
        <w:tc>
          <w:tcPr>
            <w:tcW w:w="1420" w:type="dxa"/>
            <w:tcBorders>
              <w:tl2br w:val="nil"/>
              <w:tr2bl w:val="nil"/>
            </w:tcBorders>
          </w:tcPr>
          <w:p w14:paraId="27C298A7">
            <w:pPr>
              <w:rPr>
                <w:rFonts w:hint="eastAsia" w:ascii="宋体" w:hAnsi="宋体" w:eastAsia="宋体" w:cs="宋体"/>
                <w:sz w:val="21"/>
                <w:szCs w:val="21"/>
              </w:rPr>
            </w:pPr>
            <w:r>
              <w:rPr>
                <w:rFonts w:hint="eastAsia" w:ascii="宋体" w:hAnsi="宋体" w:eastAsia="宋体" w:cs="宋体"/>
                <w:sz w:val="21"/>
                <w:szCs w:val="21"/>
              </w:rPr>
              <w:t>7(63.6%)</w:t>
            </w:r>
          </w:p>
        </w:tc>
        <w:tc>
          <w:tcPr>
            <w:tcW w:w="1420" w:type="dxa"/>
            <w:tcBorders>
              <w:tl2br w:val="nil"/>
              <w:tr2bl w:val="nil"/>
            </w:tcBorders>
          </w:tcPr>
          <w:p w14:paraId="087B073E">
            <w:pPr>
              <w:rPr>
                <w:rFonts w:hint="eastAsia" w:ascii="宋体" w:hAnsi="宋体" w:eastAsia="宋体" w:cs="宋体"/>
                <w:sz w:val="21"/>
                <w:szCs w:val="21"/>
              </w:rPr>
            </w:pPr>
            <w:r>
              <w:rPr>
                <w:rFonts w:hint="eastAsia" w:ascii="宋体" w:hAnsi="宋体" w:eastAsia="宋体" w:cs="宋体"/>
                <w:sz w:val="21"/>
                <w:szCs w:val="21"/>
              </w:rPr>
              <w:t>2(18.2%)</w:t>
            </w:r>
          </w:p>
        </w:tc>
        <w:tc>
          <w:tcPr>
            <w:tcW w:w="1420" w:type="dxa"/>
            <w:tcBorders>
              <w:tl2br w:val="nil"/>
              <w:tr2bl w:val="nil"/>
            </w:tcBorders>
          </w:tcPr>
          <w:p w14:paraId="12A4BA76">
            <w:pPr>
              <w:rPr>
                <w:rFonts w:hint="eastAsia" w:ascii="宋体" w:hAnsi="宋体" w:eastAsia="宋体" w:cs="宋体"/>
                <w:sz w:val="21"/>
                <w:szCs w:val="21"/>
              </w:rPr>
            </w:pPr>
            <w:r>
              <w:rPr>
                <w:rFonts w:hint="eastAsia" w:ascii="宋体" w:hAnsi="宋体" w:eastAsia="宋体" w:cs="宋体"/>
                <w:sz w:val="21"/>
                <w:szCs w:val="21"/>
              </w:rPr>
              <w:t>1(9.1%)</w:t>
            </w:r>
          </w:p>
        </w:tc>
        <w:tc>
          <w:tcPr>
            <w:tcW w:w="1421" w:type="dxa"/>
            <w:tcBorders>
              <w:tl2br w:val="nil"/>
              <w:tr2bl w:val="nil"/>
            </w:tcBorders>
          </w:tcPr>
          <w:p w14:paraId="24CDCCBD">
            <w:pPr>
              <w:rPr>
                <w:rFonts w:hint="eastAsia" w:ascii="宋体" w:hAnsi="宋体" w:eastAsia="宋体" w:cs="宋体"/>
                <w:sz w:val="21"/>
                <w:szCs w:val="21"/>
              </w:rPr>
            </w:pPr>
            <w:r>
              <w:rPr>
                <w:rFonts w:hint="eastAsia" w:ascii="宋体" w:hAnsi="宋体" w:eastAsia="宋体" w:cs="宋体"/>
                <w:sz w:val="21"/>
                <w:szCs w:val="21"/>
              </w:rPr>
              <w:t>1(9.1%)</w:t>
            </w:r>
          </w:p>
        </w:tc>
        <w:tc>
          <w:tcPr>
            <w:tcW w:w="1421" w:type="dxa"/>
            <w:tcBorders>
              <w:tl2br w:val="nil"/>
              <w:tr2bl w:val="nil"/>
            </w:tcBorders>
          </w:tcPr>
          <w:p w14:paraId="75FF7F29">
            <w:pPr>
              <w:rPr>
                <w:rFonts w:hint="eastAsia" w:ascii="宋体" w:hAnsi="宋体" w:eastAsia="宋体" w:cs="宋体"/>
                <w:sz w:val="21"/>
                <w:szCs w:val="21"/>
              </w:rPr>
            </w:pPr>
            <w:r>
              <w:rPr>
                <w:rFonts w:hint="eastAsia" w:ascii="宋体" w:hAnsi="宋体" w:eastAsia="宋体" w:cs="宋体"/>
                <w:sz w:val="21"/>
                <w:szCs w:val="21"/>
              </w:rPr>
              <w:t>11</w:t>
            </w:r>
          </w:p>
        </w:tc>
      </w:tr>
      <w:tr w14:paraId="305740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14:paraId="1E9BF1C7">
            <w:pPr>
              <w:rPr>
                <w:rFonts w:hint="eastAsia" w:ascii="宋体" w:hAnsi="宋体" w:eastAsia="宋体" w:cs="宋体"/>
                <w:sz w:val="21"/>
                <w:szCs w:val="21"/>
              </w:rPr>
            </w:pPr>
            <w:r>
              <w:rPr>
                <w:rFonts w:hint="eastAsia" w:ascii="宋体" w:hAnsi="宋体" w:eastAsia="宋体" w:cs="宋体"/>
                <w:sz w:val="21"/>
                <w:szCs w:val="21"/>
              </w:rPr>
              <w:t>大专/本科</w:t>
            </w:r>
          </w:p>
        </w:tc>
        <w:tc>
          <w:tcPr>
            <w:tcW w:w="1420" w:type="dxa"/>
            <w:tcBorders>
              <w:tl2br w:val="nil"/>
              <w:tr2bl w:val="nil"/>
            </w:tcBorders>
          </w:tcPr>
          <w:p w14:paraId="7F1E61ED">
            <w:pPr>
              <w:rPr>
                <w:rFonts w:hint="eastAsia" w:ascii="宋体" w:hAnsi="宋体" w:eastAsia="宋体" w:cs="宋体"/>
                <w:sz w:val="21"/>
                <w:szCs w:val="21"/>
              </w:rPr>
            </w:pPr>
            <w:r>
              <w:rPr>
                <w:rFonts w:hint="eastAsia" w:ascii="宋体" w:hAnsi="宋体" w:eastAsia="宋体" w:cs="宋体"/>
                <w:sz w:val="21"/>
                <w:szCs w:val="21"/>
              </w:rPr>
              <w:t>11(73.3%)</w:t>
            </w:r>
          </w:p>
        </w:tc>
        <w:tc>
          <w:tcPr>
            <w:tcW w:w="1420" w:type="dxa"/>
            <w:tcBorders>
              <w:tl2br w:val="nil"/>
              <w:tr2bl w:val="nil"/>
            </w:tcBorders>
          </w:tcPr>
          <w:p w14:paraId="3BCFA2FA">
            <w:pPr>
              <w:rPr>
                <w:rFonts w:hint="eastAsia" w:ascii="宋体" w:hAnsi="宋体" w:eastAsia="宋体" w:cs="宋体"/>
                <w:sz w:val="21"/>
                <w:szCs w:val="21"/>
              </w:rPr>
            </w:pPr>
            <w:r>
              <w:rPr>
                <w:rFonts w:hint="eastAsia" w:ascii="宋体" w:hAnsi="宋体" w:eastAsia="宋体" w:cs="宋体"/>
                <w:sz w:val="21"/>
                <w:szCs w:val="21"/>
              </w:rPr>
              <w:t>2(13.3%)</w:t>
            </w:r>
          </w:p>
        </w:tc>
        <w:tc>
          <w:tcPr>
            <w:tcW w:w="1420" w:type="dxa"/>
            <w:tcBorders>
              <w:tl2br w:val="nil"/>
              <w:tr2bl w:val="nil"/>
            </w:tcBorders>
          </w:tcPr>
          <w:p w14:paraId="59FBA0D1">
            <w:pPr>
              <w:rPr>
                <w:rFonts w:hint="eastAsia" w:ascii="宋体" w:hAnsi="宋体" w:eastAsia="宋体" w:cs="宋体"/>
                <w:sz w:val="21"/>
                <w:szCs w:val="21"/>
              </w:rPr>
            </w:pPr>
            <w:r>
              <w:rPr>
                <w:rFonts w:hint="eastAsia" w:ascii="宋体" w:hAnsi="宋体" w:eastAsia="宋体" w:cs="宋体"/>
                <w:sz w:val="21"/>
                <w:szCs w:val="21"/>
              </w:rPr>
              <w:t>1(6.7%)</w:t>
            </w:r>
          </w:p>
        </w:tc>
        <w:tc>
          <w:tcPr>
            <w:tcW w:w="1421" w:type="dxa"/>
            <w:tcBorders>
              <w:tl2br w:val="nil"/>
              <w:tr2bl w:val="nil"/>
            </w:tcBorders>
          </w:tcPr>
          <w:p w14:paraId="1A30417A">
            <w:pPr>
              <w:rPr>
                <w:rFonts w:hint="eastAsia" w:ascii="宋体" w:hAnsi="宋体" w:eastAsia="宋体" w:cs="宋体"/>
                <w:sz w:val="21"/>
                <w:szCs w:val="21"/>
              </w:rPr>
            </w:pPr>
            <w:r>
              <w:rPr>
                <w:rFonts w:hint="eastAsia" w:ascii="宋体" w:hAnsi="宋体" w:eastAsia="宋体" w:cs="宋体"/>
                <w:sz w:val="21"/>
                <w:szCs w:val="21"/>
              </w:rPr>
              <w:t>1(6.7%)</w:t>
            </w:r>
          </w:p>
        </w:tc>
        <w:tc>
          <w:tcPr>
            <w:tcW w:w="1421" w:type="dxa"/>
            <w:tcBorders>
              <w:tl2br w:val="nil"/>
              <w:tr2bl w:val="nil"/>
            </w:tcBorders>
          </w:tcPr>
          <w:p w14:paraId="0C423F86">
            <w:pPr>
              <w:rPr>
                <w:rFonts w:hint="eastAsia" w:ascii="宋体" w:hAnsi="宋体" w:eastAsia="宋体" w:cs="宋体"/>
                <w:sz w:val="21"/>
                <w:szCs w:val="21"/>
              </w:rPr>
            </w:pPr>
            <w:r>
              <w:rPr>
                <w:rFonts w:hint="eastAsia" w:ascii="宋体" w:hAnsi="宋体" w:eastAsia="宋体" w:cs="宋体"/>
                <w:sz w:val="21"/>
                <w:szCs w:val="21"/>
              </w:rPr>
              <w:t>15</w:t>
            </w:r>
          </w:p>
        </w:tc>
      </w:tr>
      <w:tr w14:paraId="5BCBDD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14:paraId="39D7E330">
            <w:pPr>
              <w:rPr>
                <w:rFonts w:hint="eastAsia" w:ascii="宋体" w:hAnsi="宋体" w:eastAsia="宋体" w:cs="宋体"/>
                <w:sz w:val="21"/>
                <w:szCs w:val="21"/>
              </w:rPr>
            </w:pPr>
            <w:r>
              <w:rPr>
                <w:rFonts w:hint="eastAsia" w:ascii="宋体" w:hAnsi="宋体" w:eastAsia="宋体" w:cs="宋体"/>
                <w:sz w:val="21"/>
                <w:szCs w:val="21"/>
              </w:rPr>
              <w:t>合计</w:t>
            </w:r>
          </w:p>
        </w:tc>
        <w:tc>
          <w:tcPr>
            <w:tcW w:w="1420" w:type="dxa"/>
            <w:tcBorders>
              <w:tl2br w:val="nil"/>
              <w:tr2bl w:val="nil"/>
            </w:tcBorders>
          </w:tcPr>
          <w:p w14:paraId="1A40C13D">
            <w:pPr>
              <w:rPr>
                <w:rFonts w:hint="eastAsia" w:ascii="宋体" w:hAnsi="宋体" w:eastAsia="宋体" w:cs="宋体"/>
                <w:sz w:val="21"/>
                <w:szCs w:val="21"/>
              </w:rPr>
            </w:pPr>
            <w:r>
              <w:rPr>
                <w:rFonts w:hint="eastAsia" w:ascii="宋体" w:hAnsi="宋体" w:eastAsia="宋体" w:cs="宋体"/>
                <w:sz w:val="21"/>
                <w:szCs w:val="21"/>
              </w:rPr>
              <w:t>20(64.5%)</w:t>
            </w:r>
          </w:p>
        </w:tc>
        <w:tc>
          <w:tcPr>
            <w:tcW w:w="1420" w:type="dxa"/>
            <w:tcBorders>
              <w:tl2br w:val="nil"/>
              <w:tr2bl w:val="nil"/>
            </w:tcBorders>
          </w:tcPr>
          <w:p w14:paraId="6009766D">
            <w:pPr>
              <w:rPr>
                <w:rFonts w:hint="eastAsia" w:ascii="宋体" w:hAnsi="宋体" w:eastAsia="宋体" w:cs="宋体"/>
                <w:sz w:val="21"/>
                <w:szCs w:val="21"/>
              </w:rPr>
            </w:pPr>
            <w:r>
              <w:rPr>
                <w:rFonts w:hint="eastAsia" w:ascii="宋体" w:hAnsi="宋体" w:eastAsia="宋体" w:cs="宋体"/>
                <w:sz w:val="21"/>
                <w:szCs w:val="21"/>
              </w:rPr>
              <w:t>5(16.1%)</w:t>
            </w:r>
          </w:p>
        </w:tc>
        <w:tc>
          <w:tcPr>
            <w:tcW w:w="1420" w:type="dxa"/>
            <w:tcBorders>
              <w:tl2br w:val="nil"/>
              <w:tr2bl w:val="nil"/>
            </w:tcBorders>
          </w:tcPr>
          <w:p w14:paraId="652782F8">
            <w:pPr>
              <w:rPr>
                <w:rFonts w:hint="eastAsia" w:ascii="宋体" w:hAnsi="宋体" w:eastAsia="宋体" w:cs="宋体"/>
                <w:sz w:val="21"/>
                <w:szCs w:val="21"/>
              </w:rPr>
            </w:pPr>
            <w:r>
              <w:rPr>
                <w:rFonts w:hint="eastAsia" w:ascii="宋体" w:hAnsi="宋体" w:eastAsia="宋体" w:cs="宋体"/>
                <w:sz w:val="21"/>
                <w:szCs w:val="21"/>
              </w:rPr>
              <w:t>3(9.7%)</w:t>
            </w:r>
          </w:p>
        </w:tc>
        <w:tc>
          <w:tcPr>
            <w:tcW w:w="1421" w:type="dxa"/>
            <w:tcBorders>
              <w:tl2br w:val="nil"/>
              <w:tr2bl w:val="nil"/>
            </w:tcBorders>
          </w:tcPr>
          <w:p w14:paraId="3E407E3E">
            <w:pPr>
              <w:rPr>
                <w:rFonts w:hint="eastAsia" w:ascii="宋体" w:hAnsi="宋体" w:eastAsia="宋体" w:cs="宋体"/>
                <w:sz w:val="21"/>
                <w:szCs w:val="21"/>
              </w:rPr>
            </w:pPr>
            <w:r>
              <w:rPr>
                <w:rFonts w:hint="eastAsia" w:ascii="宋体" w:hAnsi="宋体" w:eastAsia="宋体" w:cs="宋体"/>
                <w:sz w:val="21"/>
                <w:szCs w:val="21"/>
              </w:rPr>
              <w:t>3(9.7%)</w:t>
            </w:r>
          </w:p>
        </w:tc>
        <w:tc>
          <w:tcPr>
            <w:tcW w:w="1421" w:type="dxa"/>
            <w:tcBorders>
              <w:tl2br w:val="nil"/>
              <w:tr2bl w:val="nil"/>
            </w:tcBorders>
          </w:tcPr>
          <w:p w14:paraId="1A20835F">
            <w:pPr>
              <w:rPr>
                <w:rFonts w:hint="eastAsia" w:ascii="宋体" w:hAnsi="宋体" w:eastAsia="宋体" w:cs="宋体"/>
                <w:sz w:val="21"/>
                <w:szCs w:val="21"/>
              </w:rPr>
            </w:pPr>
            <w:r>
              <w:rPr>
                <w:rFonts w:hint="eastAsia" w:ascii="宋体" w:hAnsi="宋体" w:eastAsia="宋体" w:cs="宋体"/>
                <w:sz w:val="21"/>
                <w:szCs w:val="21"/>
              </w:rPr>
              <w:t>31</w:t>
            </w:r>
          </w:p>
        </w:tc>
      </w:tr>
    </w:tbl>
    <w:p w14:paraId="2A8422C9">
      <w:pPr>
        <w:rPr>
          <w:rFonts w:hint="eastAsia" w:ascii="宋体" w:hAnsi="宋体" w:eastAsia="宋体" w:cs="宋体"/>
        </w:rPr>
      </w:pPr>
      <w:r>
        <w:rPr>
          <w:rFonts w:hint="eastAsia" w:ascii="宋体" w:hAnsi="宋体" w:eastAsia="宋体" w:cs="宋体"/>
        </w:rPr>
        <w:t>*χ²=10.273, p=0.016*</w:t>
      </w:r>
    </w:p>
    <w:p w14:paraId="6E5F85D3">
      <w:pPr>
        <w:rPr>
          <w:rFonts w:hint="eastAsia" w:ascii="宋体" w:hAnsi="宋体" w:eastAsia="宋体" w:cs="宋体"/>
          <w:sz w:val="21"/>
          <w:szCs w:val="21"/>
        </w:rPr>
      </w:pPr>
    </w:p>
    <w:p w14:paraId="31D9FD53">
      <w:pPr>
        <w:rPr>
          <w:rFonts w:hint="eastAsia" w:eastAsiaTheme="minorEastAsia"/>
          <w:sz w:val="24"/>
          <w:szCs w:val="24"/>
          <w:lang w:eastAsia="zh-CN"/>
        </w:rPr>
      </w:pPr>
      <w:r>
        <w:rPr>
          <w:rFonts w:hint="eastAsia"/>
          <w:sz w:val="24"/>
          <w:szCs w:val="24"/>
        </w:rPr>
        <w:t>结论C11：教育水平影响设备选择倾向，低教育水平群体更需要简化操作和多种设备支持方案。</w:t>
      </w:r>
    </w:p>
    <w:p w14:paraId="0A8C62E5">
      <w:pPr>
        <w:outlineLvl w:val="1"/>
        <w:rPr>
          <w:rFonts w:hint="eastAsia"/>
          <w:b/>
          <w:bCs/>
          <w:sz w:val="28"/>
          <w:szCs w:val="28"/>
        </w:rPr>
      </w:pPr>
      <w:bookmarkStart w:id="30" w:name="_Toc7423"/>
      <w:r>
        <w:rPr>
          <w:rFonts w:hint="eastAsia"/>
          <w:b/>
          <w:bCs/>
          <w:sz w:val="28"/>
          <w:szCs w:val="28"/>
        </w:rPr>
        <w:t>3.6 独立样本T检验</w:t>
      </w:r>
      <w:bookmarkEnd w:id="30"/>
    </w:p>
    <w:p w14:paraId="1CBB3C72">
      <w:pPr>
        <w:outlineLvl w:val="2"/>
        <w:rPr>
          <w:rFonts w:hint="eastAsia" w:eastAsiaTheme="minorEastAsia"/>
          <w:b/>
          <w:bCs/>
          <w:sz w:val="24"/>
          <w:szCs w:val="24"/>
          <w:lang w:eastAsia="zh-CN"/>
        </w:rPr>
      </w:pPr>
      <w:bookmarkStart w:id="31" w:name="_Toc31405"/>
      <w:r>
        <w:rPr>
          <w:rFonts w:hint="eastAsia"/>
          <w:b/>
          <w:bCs/>
          <w:sz w:val="24"/>
          <w:szCs w:val="24"/>
        </w:rPr>
        <w:t>3.6.1 数字能力与游戏接受度差异分析</w:t>
      </w:r>
      <w:bookmarkEnd w:id="31"/>
    </w:p>
    <w:p w14:paraId="7F4A471B">
      <w:pPr>
        <w:rPr>
          <w:rFonts w:hint="eastAsia"/>
          <w:sz w:val="24"/>
          <w:szCs w:val="24"/>
        </w:rPr>
      </w:pPr>
      <w:r>
        <w:rPr>
          <w:rFonts w:hint="eastAsia"/>
          <w:sz w:val="24"/>
          <w:szCs w:val="24"/>
        </w:rPr>
        <w:t>将样本按智能手机使用熟练度分为高分组（≥4分，n=14）和低分组（≤3分，n=17）。独立样本t检验显示，高分组在五款游戏尝试意愿平均分上显著高于低分组（t=2.894，p=0.007，Cohen's d=0.742）。</w:t>
      </w:r>
    </w:p>
    <w:p w14:paraId="1A540C52">
      <w:pPr>
        <w:rPr>
          <w:rFonts w:hint="eastAsia"/>
          <w:sz w:val="24"/>
          <w:szCs w:val="24"/>
        </w:rPr>
      </w:pPr>
    </w:p>
    <w:p w14:paraId="198CF72C">
      <w:pPr>
        <w:pStyle w:val="5"/>
        <w:jc w:val="center"/>
        <w:rPr>
          <w:rFonts w:hint="eastAsia"/>
          <w:sz w:val="24"/>
          <w:szCs w:val="24"/>
        </w:rPr>
      </w:pPr>
      <w:r>
        <w:t>表</w:t>
      </w:r>
      <w:r>
        <w:rPr>
          <w:rFonts w:hint="eastAsia"/>
          <w:lang w:val="en-US" w:eastAsia="zh-CN"/>
        </w:rPr>
        <w:t>3</w:t>
      </w:r>
      <w:r>
        <w:t xml:space="preserve"> </w:t>
      </w:r>
      <w:r>
        <w:rPr>
          <w:rFonts w:hint="eastAsia"/>
        </w:rPr>
        <w:t>数字能力与游戏接受度差异分析</w:t>
      </w:r>
    </w:p>
    <w:tbl>
      <w:tblPr>
        <w:tblStyle w:val="1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174091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bottom w:val="single" w:color="auto" w:sz="6" w:space="0"/>
            </w:tcBorders>
            <w:vAlign w:val="top"/>
          </w:tcPr>
          <w:p w14:paraId="3DFF21AA">
            <w:pPr>
              <w:rPr>
                <w:rFonts w:hint="eastAsia" w:ascii="宋体" w:hAnsi="宋体" w:eastAsia="宋体" w:cs="宋体"/>
                <w:sz w:val="21"/>
                <w:szCs w:val="21"/>
              </w:rPr>
            </w:pPr>
            <w:r>
              <w:rPr>
                <w:rFonts w:hint="eastAsia" w:ascii="宋体" w:hAnsi="宋体" w:eastAsia="宋体" w:cs="宋体"/>
                <w:sz w:val="21"/>
                <w:szCs w:val="21"/>
              </w:rPr>
              <w:t xml:space="preserve">组别 </w:t>
            </w:r>
          </w:p>
        </w:tc>
        <w:tc>
          <w:tcPr>
            <w:tcW w:w="1420" w:type="dxa"/>
            <w:tcBorders>
              <w:bottom w:val="single" w:color="auto" w:sz="6" w:space="0"/>
            </w:tcBorders>
            <w:vAlign w:val="top"/>
          </w:tcPr>
          <w:p w14:paraId="50F9F578">
            <w:pPr>
              <w:rPr>
                <w:rFonts w:hint="eastAsia" w:ascii="宋体" w:hAnsi="宋体" w:eastAsia="宋体" w:cs="宋体"/>
                <w:sz w:val="21"/>
                <w:szCs w:val="21"/>
              </w:rPr>
            </w:pPr>
            <w:r>
              <w:rPr>
                <w:rFonts w:hint="eastAsia" w:ascii="宋体" w:hAnsi="宋体" w:eastAsia="宋体" w:cs="宋体"/>
                <w:sz w:val="21"/>
                <w:szCs w:val="21"/>
              </w:rPr>
              <w:t xml:space="preserve"> 样本量 </w:t>
            </w:r>
          </w:p>
        </w:tc>
        <w:tc>
          <w:tcPr>
            <w:tcW w:w="1420" w:type="dxa"/>
            <w:tcBorders>
              <w:bottom w:val="single" w:color="auto" w:sz="6" w:space="0"/>
            </w:tcBorders>
            <w:vAlign w:val="top"/>
          </w:tcPr>
          <w:p w14:paraId="0806FBAF">
            <w:pPr>
              <w:rPr>
                <w:rFonts w:hint="eastAsia" w:ascii="宋体" w:hAnsi="宋体" w:eastAsia="宋体" w:cs="宋体"/>
                <w:sz w:val="21"/>
                <w:szCs w:val="21"/>
              </w:rPr>
            </w:pPr>
            <w:r>
              <w:rPr>
                <w:rFonts w:hint="eastAsia" w:ascii="宋体" w:hAnsi="宋体" w:eastAsia="宋体" w:cs="宋体"/>
                <w:sz w:val="21"/>
                <w:szCs w:val="21"/>
              </w:rPr>
              <w:t xml:space="preserve"> 尝试意愿均值±标准差 </w:t>
            </w:r>
          </w:p>
        </w:tc>
        <w:tc>
          <w:tcPr>
            <w:tcW w:w="1420" w:type="dxa"/>
            <w:tcBorders>
              <w:bottom w:val="single" w:color="auto" w:sz="6" w:space="0"/>
            </w:tcBorders>
            <w:vAlign w:val="top"/>
          </w:tcPr>
          <w:p w14:paraId="0374A88F">
            <w:pPr>
              <w:rPr>
                <w:rFonts w:hint="eastAsia" w:ascii="宋体" w:hAnsi="宋体" w:eastAsia="宋体" w:cs="宋体"/>
                <w:sz w:val="21"/>
                <w:szCs w:val="21"/>
              </w:rPr>
            </w:pPr>
            <w:r>
              <w:rPr>
                <w:rFonts w:hint="eastAsia" w:ascii="宋体" w:hAnsi="宋体" w:eastAsia="宋体" w:cs="宋体"/>
                <w:sz w:val="21"/>
                <w:szCs w:val="21"/>
              </w:rPr>
              <w:t xml:space="preserve"> t值 </w:t>
            </w:r>
          </w:p>
        </w:tc>
        <w:tc>
          <w:tcPr>
            <w:tcW w:w="1421" w:type="dxa"/>
            <w:tcBorders>
              <w:bottom w:val="single" w:color="auto" w:sz="6" w:space="0"/>
            </w:tcBorders>
            <w:vAlign w:val="top"/>
          </w:tcPr>
          <w:p w14:paraId="56CEA0C3">
            <w:pPr>
              <w:rPr>
                <w:rFonts w:hint="eastAsia" w:ascii="宋体" w:hAnsi="宋体" w:eastAsia="宋体" w:cs="宋体"/>
                <w:sz w:val="21"/>
                <w:szCs w:val="21"/>
              </w:rPr>
            </w:pPr>
            <w:r>
              <w:rPr>
                <w:rFonts w:hint="eastAsia" w:ascii="宋体" w:hAnsi="宋体" w:eastAsia="宋体" w:cs="宋体"/>
                <w:sz w:val="21"/>
                <w:szCs w:val="21"/>
              </w:rPr>
              <w:t xml:space="preserve"> P值 </w:t>
            </w:r>
          </w:p>
        </w:tc>
        <w:tc>
          <w:tcPr>
            <w:tcW w:w="1421" w:type="dxa"/>
            <w:tcBorders>
              <w:bottom w:val="single" w:color="auto" w:sz="6" w:space="0"/>
            </w:tcBorders>
            <w:vAlign w:val="top"/>
          </w:tcPr>
          <w:p w14:paraId="3B638D41">
            <w:pPr>
              <w:rPr>
                <w:rFonts w:hint="eastAsia" w:ascii="宋体" w:hAnsi="宋体" w:eastAsia="宋体" w:cs="宋体"/>
                <w:sz w:val="21"/>
                <w:szCs w:val="21"/>
              </w:rPr>
            </w:pPr>
            <w:r>
              <w:rPr>
                <w:rFonts w:hint="eastAsia" w:ascii="宋体" w:hAnsi="宋体" w:eastAsia="宋体" w:cs="宋体"/>
                <w:sz w:val="21"/>
                <w:szCs w:val="21"/>
              </w:rPr>
              <w:t xml:space="preserve"> Cohen's d</w:t>
            </w:r>
          </w:p>
        </w:tc>
      </w:tr>
      <w:tr w14:paraId="4F5ACE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auto" w:sz="6" w:space="0"/>
              <w:tl2br w:val="nil"/>
              <w:tr2bl w:val="nil"/>
            </w:tcBorders>
          </w:tcPr>
          <w:p w14:paraId="16E3C201">
            <w:pPr>
              <w:rPr>
                <w:rFonts w:hint="eastAsia" w:ascii="宋体" w:hAnsi="宋体" w:eastAsia="宋体" w:cs="宋体"/>
                <w:sz w:val="21"/>
                <w:szCs w:val="21"/>
              </w:rPr>
            </w:pPr>
            <w:r>
              <w:rPr>
                <w:rFonts w:hint="eastAsia" w:ascii="宋体" w:hAnsi="宋体" w:eastAsia="宋体" w:cs="宋体"/>
                <w:sz w:val="21"/>
                <w:szCs w:val="21"/>
              </w:rPr>
              <w:t xml:space="preserve">低数字能力组 </w:t>
            </w:r>
          </w:p>
        </w:tc>
        <w:tc>
          <w:tcPr>
            <w:tcW w:w="1420" w:type="dxa"/>
            <w:tcBorders>
              <w:top w:val="single" w:color="auto" w:sz="6" w:space="0"/>
              <w:tl2br w:val="nil"/>
              <w:tr2bl w:val="nil"/>
            </w:tcBorders>
          </w:tcPr>
          <w:p w14:paraId="0420ABCA">
            <w:pPr>
              <w:rPr>
                <w:rFonts w:hint="eastAsia" w:ascii="宋体" w:hAnsi="宋体" w:eastAsia="宋体" w:cs="宋体"/>
                <w:sz w:val="21"/>
                <w:szCs w:val="21"/>
              </w:rPr>
            </w:pPr>
            <w:r>
              <w:rPr>
                <w:rFonts w:hint="eastAsia" w:ascii="宋体" w:hAnsi="宋体" w:eastAsia="宋体" w:cs="宋体"/>
                <w:sz w:val="21"/>
                <w:szCs w:val="21"/>
              </w:rPr>
              <w:t xml:space="preserve"> 17 </w:t>
            </w:r>
          </w:p>
        </w:tc>
        <w:tc>
          <w:tcPr>
            <w:tcW w:w="1420" w:type="dxa"/>
            <w:tcBorders>
              <w:top w:val="single" w:color="auto" w:sz="6" w:space="0"/>
              <w:tl2br w:val="nil"/>
              <w:tr2bl w:val="nil"/>
            </w:tcBorders>
          </w:tcPr>
          <w:p w14:paraId="5C008D91">
            <w:pPr>
              <w:rPr>
                <w:rFonts w:hint="eastAsia" w:ascii="宋体" w:hAnsi="宋体" w:eastAsia="宋体" w:cs="宋体"/>
                <w:sz w:val="21"/>
                <w:szCs w:val="21"/>
              </w:rPr>
            </w:pPr>
            <w:r>
              <w:rPr>
                <w:rFonts w:hint="eastAsia" w:ascii="宋体" w:hAnsi="宋体" w:eastAsia="宋体" w:cs="宋体"/>
                <w:sz w:val="21"/>
                <w:szCs w:val="21"/>
              </w:rPr>
              <w:t xml:space="preserve"> 2.68±0.74 </w:t>
            </w:r>
          </w:p>
        </w:tc>
        <w:tc>
          <w:tcPr>
            <w:tcW w:w="1420" w:type="dxa"/>
            <w:tcBorders>
              <w:top w:val="single" w:color="auto" w:sz="6" w:space="0"/>
              <w:tl2br w:val="nil"/>
              <w:tr2bl w:val="nil"/>
            </w:tcBorders>
          </w:tcPr>
          <w:p w14:paraId="0EFCD046">
            <w:pPr>
              <w:rPr>
                <w:rFonts w:hint="eastAsia" w:ascii="宋体" w:hAnsi="宋体" w:eastAsia="宋体" w:cs="宋体"/>
                <w:sz w:val="21"/>
                <w:szCs w:val="21"/>
              </w:rPr>
            </w:pPr>
            <w:r>
              <w:rPr>
                <w:rFonts w:hint="eastAsia" w:ascii="宋体" w:hAnsi="宋体" w:eastAsia="宋体" w:cs="宋体"/>
                <w:sz w:val="21"/>
                <w:szCs w:val="21"/>
              </w:rPr>
              <w:t xml:space="preserve"> 2.894 </w:t>
            </w:r>
          </w:p>
        </w:tc>
        <w:tc>
          <w:tcPr>
            <w:tcW w:w="1421" w:type="dxa"/>
            <w:tcBorders>
              <w:top w:val="single" w:color="auto" w:sz="6" w:space="0"/>
              <w:tl2br w:val="nil"/>
              <w:tr2bl w:val="nil"/>
            </w:tcBorders>
          </w:tcPr>
          <w:p w14:paraId="362790DA">
            <w:pPr>
              <w:rPr>
                <w:rFonts w:hint="eastAsia" w:ascii="宋体" w:hAnsi="宋体" w:eastAsia="宋体" w:cs="宋体"/>
                <w:sz w:val="21"/>
                <w:szCs w:val="21"/>
              </w:rPr>
            </w:pPr>
            <w:r>
              <w:rPr>
                <w:rFonts w:hint="eastAsia" w:ascii="宋体" w:hAnsi="宋体" w:eastAsia="宋体" w:cs="宋体"/>
                <w:sz w:val="21"/>
                <w:szCs w:val="21"/>
              </w:rPr>
              <w:t xml:space="preserve"> 0.007 </w:t>
            </w:r>
          </w:p>
        </w:tc>
        <w:tc>
          <w:tcPr>
            <w:tcW w:w="1421" w:type="dxa"/>
            <w:tcBorders>
              <w:top w:val="single" w:color="auto" w:sz="6" w:space="0"/>
              <w:tl2br w:val="nil"/>
              <w:tr2bl w:val="nil"/>
            </w:tcBorders>
          </w:tcPr>
          <w:p w14:paraId="04334F54">
            <w:pPr>
              <w:rPr>
                <w:rFonts w:hint="eastAsia" w:ascii="宋体" w:hAnsi="宋体" w:eastAsia="宋体" w:cs="宋体"/>
                <w:sz w:val="21"/>
                <w:szCs w:val="21"/>
              </w:rPr>
            </w:pPr>
            <w:r>
              <w:rPr>
                <w:rFonts w:hint="eastAsia" w:ascii="宋体" w:hAnsi="宋体" w:eastAsia="宋体" w:cs="宋体"/>
                <w:sz w:val="21"/>
                <w:szCs w:val="21"/>
              </w:rPr>
              <w:t xml:space="preserve"> 0.742</w:t>
            </w:r>
          </w:p>
        </w:tc>
      </w:tr>
      <w:tr w14:paraId="76E9D1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14:paraId="41D3C54D">
            <w:pPr>
              <w:rPr>
                <w:rFonts w:hint="eastAsia" w:ascii="宋体" w:hAnsi="宋体" w:eastAsia="宋体" w:cs="宋体"/>
                <w:sz w:val="21"/>
                <w:szCs w:val="21"/>
              </w:rPr>
            </w:pPr>
            <w:r>
              <w:rPr>
                <w:rFonts w:hint="eastAsia" w:ascii="宋体" w:hAnsi="宋体" w:eastAsia="宋体" w:cs="宋体"/>
                <w:sz w:val="21"/>
                <w:szCs w:val="21"/>
              </w:rPr>
              <w:t xml:space="preserve">高数字能力组 </w:t>
            </w:r>
          </w:p>
        </w:tc>
        <w:tc>
          <w:tcPr>
            <w:tcW w:w="1420" w:type="dxa"/>
            <w:tcBorders>
              <w:tl2br w:val="nil"/>
              <w:tr2bl w:val="nil"/>
            </w:tcBorders>
          </w:tcPr>
          <w:p w14:paraId="3A40C7AB">
            <w:pPr>
              <w:rPr>
                <w:rFonts w:hint="eastAsia" w:ascii="宋体" w:hAnsi="宋体" w:eastAsia="宋体" w:cs="宋体"/>
                <w:sz w:val="21"/>
                <w:szCs w:val="21"/>
              </w:rPr>
            </w:pPr>
            <w:r>
              <w:rPr>
                <w:rFonts w:hint="eastAsia" w:ascii="宋体" w:hAnsi="宋体" w:eastAsia="宋体" w:cs="宋体"/>
                <w:sz w:val="21"/>
                <w:szCs w:val="21"/>
              </w:rPr>
              <w:t xml:space="preserve"> 14 </w:t>
            </w:r>
          </w:p>
        </w:tc>
        <w:tc>
          <w:tcPr>
            <w:tcW w:w="1420" w:type="dxa"/>
            <w:tcBorders>
              <w:tl2br w:val="nil"/>
              <w:tr2bl w:val="nil"/>
            </w:tcBorders>
          </w:tcPr>
          <w:p w14:paraId="15C3890A">
            <w:pPr>
              <w:rPr>
                <w:rFonts w:hint="eastAsia" w:ascii="宋体" w:hAnsi="宋体" w:eastAsia="宋体" w:cs="宋体"/>
                <w:sz w:val="21"/>
                <w:szCs w:val="21"/>
              </w:rPr>
            </w:pPr>
            <w:r>
              <w:rPr>
                <w:rFonts w:hint="eastAsia" w:ascii="宋体" w:hAnsi="宋体" w:eastAsia="宋体" w:cs="宋体"/>
                <w:sz w:val="21"/>
                <w:szCs w:val="21"/>
              </w:rPr>
              <w:t xml:space="preserve"> 3.42±0.69 </w:t>
            </w:r>
          </w:p>
        </w:tc>
        <w:tc>
          <w:tcPr>
            <w:tcW w:w="1420" w:type="dxa"/>
            <w:tcBorders>
              <w:tl2br w:val="nil"/>
              <w:tr2bl w:val="nil"/>
            </w:tcBorders>
          </w:tcPr>
          <w:p w14:paraId="677DB8AD">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421" w:type="dxa"/>
            <w:tcBorders>
              <w:tl2br w:val="nil"/>
              <w:tr2bl w:val="nil"/>
            </w:tcBorders>
          </w:tcPr>
          <w:p w14:paraId="197A34CD">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421" w:type="dxa"/>
            <w:tcBorders>
              <w:tl2br w:val="nil"/>
              <w:tr2bl w:val="nil"/>
            </w:tcBorders>
          </w:tcPr>
          <w:p w14:paraId="5F66122C">
            <w:pPr>
              <w:rPr>
                <w:rFonts w:hint="eastAsia" w:ascii="宋体" w:hAnsi="宋体" w:eastAsia="宋体" w:cs="宋体"/>
                <w:sz w:val="21"/>
                <w:szCs w:val="21"/>
              </w:rPr>
            </w:pPr>
            <w:r>
              <w:rPr>
                <w:rFonts w:hint="eastAsia" w:ascii="宋体" w:hAnsi="宋体" w:eastAsia="宋体" w:cs="宋体"/>
                <w:sz w:val="21"/>
                <w:szCs w:val="21"/>
              </w:rPr>
              <w:t xml:space="preserve"> -</w:t>
            </w:r>
          </w:p>
        </w:tc>
      </w:tr>
    </w:tbl>
    <w:p w14:paraId="365688F8">
      <w:pPr>
        <w:rPr>
          <w:rFonts w:hint="eastAsia"/>
          <w:sz w:val="24"/>
          <w:szCs w:val="24"/>
        </w:rPr>
      </w:pPr>
    </w:p>
    <w:p w14:paraId="15267186">
      <w:pPr>
        <w:rPr>
          <w:rFonts w:hint="eastAsia" w:eastAsiaTheme="minorEastAsia"/>
          <w:sz w:val="24"/>
          <w:szCs w:val="24"/>
          <w:lang w:eastAsia="zh-CN"/>
        </w:rPr>
      </w:pPr>
      <w:r>
        <w:rPr>
          <w:rFonts w:hint="eastAsia"/>
          <w:sz w:val="24"/>
          <w:szCs w:val="24"/>
        </w:rPr>
        <w:t>结论C12：数字能力直接影响游戏接受度，低数字能力用户对新游戏的尝试意愿显著较低，需要更充分的使用引导。</w:t>
      </w:r>
    </w:p>
    <w:p w14:paraId="729D2990">
      <w:pPr>
        <w:rPr>
          <w:rFonts w:hint="eastAsia"/>
          <w:sz w:val="24"/>
          <w:szCs w:val="24"/>
        </w:rPr>
      </w:pPr>
    </w:p>
    <w:p w14:paraId="2A81A027">
      <w:pPr>
        <w:outlineLvl w:val="2"/>
        <w:rPr>
          <w:rFonts w:hint="eastAsia" w:eastAsiaTheme="minorEastAsia"/>
          <w:b/>
          <w:bCs/>
          <w:sz w:val="24"/>
          <w:szCs w:val="24"/>
          <w:lang w:eastAsia="zh-CN"/>
        </w:rPr>
      </w:pPr>
      <w:bookmarkStart w:id="32" w:name="_Toc4245"/>
      <w:r>
        <w:rPr>
          <w:rFonts w:hint="eastAsia"/>
          <w:b/>
          <w:bCs/>
          <w:sz w:val="24"/>
          <w:szCs w:val="24"/>
        </w:rPr>
        <w:t>3.6.2 性别在社交态度上的差异分析</w:t>
      </w:r>
      <w:bookmarkEnd w:id="32"/>
    </w:p>
    <w:p w14:paraId="3FFF0E32">
      <w:pPr>
        <w:rPr>
          <w:rFonts w:hint="eastAsia"/>
          <w:sz w:val="24"/>
          <w:szCs w:val="24"/>
        </w:rPr>
      </w:pPr>
      <w:r>
        <w:rPr>
          <w:rFonts w:hint="eastAsia"/>
          <w:sz w:val="24"/>
          <w:szCs w:val="24"/>
        </w:rPr>
        <w:t>男性在"非常喜欢"（35.7%）和"很不喜欢"（14.3%）两个极端选项比例均高于女性，而女性更倾向于"比较喜欢，但只愿意和熟悉的朋友或家人玩"（35.3%）和"无所谓"（35.3%）。卡方检验显示显著差异（χ²=11.527，p=0.021）。</w:t>
      </w:r>
    </w:p>
    <w:p w14:paraId="44CECAA6">
      <w:pPr>
        <w:rPr>
          <w:rFonts w:hint="eastAsia"/>
          <w:sz w:val="24"/>
          <w:szCs w:val="24"/>
        </w:rPr>
      </w:pPr>
    </w:p>
    <w:p w14:paraId="78BEAD10">
      <w:pPr>
        <w:pStyle w:val="5"/>
        <w:jc w:val="center"/>
        <w:rPr>
          <w:rFonts w:hint="eastAsia"/>
          <w:sz w:val="24"/>
          <w:szCs w:val="24"/>
        </w:rPr>
      </w:pPr>
      <w:r>
        <w:t>表</w:t>
      </w:r>
      <w:r>
        <w:rPr>
          <w:rFonts w:hint="eastAsia"/>
          <w:lang w:val="en-US" w:eastAsia="zh-CN"/>
        </w:rPr>
        <w:t>4</w:t>
      </w:r>
      <w:r>
        <w:t xml:space="preserve"> </w:t>
      </w:r>
      <w:r>
        <w:rPr>
          <w:rFonts w:hint="eastAsia"/>
        </w:rPr>
        <w:t>性别在社交态度上的差异分析</w:t>
      </w:r>
    </w:p>
    <w:tbl>
      <w:tblPr>
        <w:tblStyle w:val="1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4"/>
        <w:gridCol w:w="1704"/>
        <w:gridCol w:w="1704"/>
        <w:gridCol w:w="1705"/>
        <w:gridCol w:w="1705"/>
      </w:tblGrid>
      <w:tr w14:paraId="61CE10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bottom w:val="single" w:color="auto" w:sz="6" w:space="0"/>
            </w:tcBorders>
            <w:vAlign w:val="top"/>
          </w:tcPr>
          <w:p w14:paraId="786FD9C7">
            <w:pPr>
              <w:rPr>
                <w:rFonts w:hint="eastAsia" w:ascii="宋体" w:hAnsi="宋体" w:eastAsia="宋体" w:cs="宋体"/>
                <w:sz w:val="21"/>
                <w:szCs w:val="21"/>
              </w:rPr>
            </w:pPr>
            <w:r>
              <w:rPr>
                <w:rFonts w:hint="eastAsia" w:ascii="宋体" w:hAnsi="宋体" w:eastAsia="宋体" w:cs="宋体"/>
                <w:sz w:val="21"/>
                <w:szCs w:val="21"/>
              </w:rPr>
              <w:t xml:space="preserve">社交态度选项 </w:t>
            </w:r>
          </w:p>
        </w:tc>
        <w:tc>
          <w:tcPr>
            <w:tcW w:w="1704" w:type="dxa"/>
            <w:tcBorders>
              <w:bottom w:val="single" w:color="auto" w:sz="6" w:space="0"/>
            </w:tcBorders>
            <w:vAlign w:val="top"/>
          </w:tcPr>
          <w:p w14:paraId="4273E619">
            <w:pPr>
              <w:rPr>
                <w:rFonts w:hint="eastAsia" w:ascii="宋体" w:hAnsi="宋体" w:eastAsia="宋体" w:cs="宋体"/>
                <w:sz w:val="21"/>
                <w:szCs w:val="21"/>
              </w:rPr>
            </w:pPr>
            <w:r>
              <w:rPr>
                <w:rFonts w:hint="eastAsia" w:ascii="宋体" w:hAnsi="宋体" w:eastAsia="宋体" w:cs="宋体"/>
                <w:sz w:val="21"/>
                <w:szCs w:val="21"/>
              </w:rPr>
              <w:t xml:space="preserve"> 男性(n=14) </w:t>
            </w:r>
          </w:p>
        </w:tc>
        <w:tc>
          <w:tcPr>
            <w:tcW w:w="1704" w:type="dxa"/>
            <w:tcBorders>
              <w:bottom w:val="single" w:color="auto" w:sz="6" w:space="0"/>
            </w:tcBorders>
            <w:vAlign w:val="top"/>
          </w:tcPr>
          <w:p w14:paraId="235F693E">
            <w:pPr>
              <w:rPr>
                <w:rFonts w:hint="eastAsia" w:ascii="宋体" w:hAnsi="宋体" w:eastAsia="宋体" w:cs="宋体"/>
                <w:sz w:val="21"/>
                <w:szCs w:val="21"/>
              </w:rPr>
            </w:pPr>
            <w:r>
              <w:rPr>
                <w:rFonts w:hint="eastAsia" w:ascii="宋体" w:hAnsi="宋体" w:eastAsia="宋体" w:cs="宋体"/>
                <w:sz w:val="21"/>
                <w:szCs w:val="21"/>
              </w:rPr>
              <w:t xml:space="preserve"> 女性(n=17) </w:t>
            </w:r>
          </w:p>
        </w:tc>
        <w:tc>
          <w:tcPr>
            <w:tcW w:w="1705" w:type="dxa"/>
            <w:tcBorders>
              <w:bottom w:val="single" w:color="auto" w:sz="6" w:space="0"/>
            </w:tcBorders>
            <w:vAlign w:val="top"/>
          </w:tcPr>
          <w:p w14:paraId="4CE72AA8">
            <w:pPr>
              <w:rPr>
                <w:rFonts w:hint="eastAsia" w:ascii="宋体" w:hAnsi="宋体" w:eastAsia="宋体" w:cs="宋体"/>
                <w:sz w:val="21"/>
                <w:szCs w:val="21"/>
              </w:rPr>
            </w:pPr>
            <w:r>
              <w:rPr>
                <w:rFonts w:hint="eastAsia" w:ascii="宋体" w:hAnsi="宋体" w:eastAsia="宋体" w:cs="宋体"/>
                <w:sz w:val="21"/>
                <w:szCs w:val="21"/>
              </w:rPr>
              <w:t xml:space="preserve"> χ²值 </w:t>
            </w:r>
          </w:p>
        </w:tc>
        <w:tc>
          <w:tcPr>
            <w:tcW w:w="1705" w:type="dxa"/>
            <w:tcBorders>
              <w:bottom w:val="single" w:color="auto" w:sz="6" w:space="0"/>
            </w:tcBorders>
            <w:vAlign w:val="top"/>
          </w:tcPr>
          <w:p w14:paraId="216AA404">
            <w:pPr>
              <w:rPr>
                <w:rFonts w:hint="eastAsia" w:ascii="宋体" w:hAnsi="宋体" w:eastAsia="宋体" w:cs="宋体"/>
                <w:sz w:val="21"/>
                <w:szCs w:val="21"/>
              </w:rPr>
            </w:pPr>
            <w:r>
              <w:rPr>
                <w:rFonts w:hint="eastAsia" w:ascii="宋体" w:hAnsi="宋体" w:eastAsia="宋体" w:cs="宋体"/>
                <w:sz w:val="21"/>
                <w:szCs w:val="21"/>
              </w:rPr>
              <w:t xml:space="preserve"> P值 </w:t>
            </w:r>
          </w:p>
        </w:tc>
      </w:tr>
      <w:tr w14:paraId="4D4E2E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op w:val="single" w:color="auto" w:sz="6" w:space="0"/>
              <w:tl2br w:val="nil"/>
              <w:tr2bl w:val="nil"/>
            </w:tcBorders>
            <w:vAlign w:val="top"/>
          </w:tcPr>
          <w:p w14:paraId="31A6048B">
            <w:pPr>
              <w:rPr>
                <w:rFonts w:hint="eastAsia" w:ascii="宋体" w:hAnsi="宋体" w:eastAsia="宋体" w:cs="宋体"/>
                <w:sz w:val="21"/>
                <w:szCs w:val="21"/>
              </w:rPr>
            </w:pPr>
            <w:r>
              <w:rPr>
                <w:rFonts w:hint="eastAsia" w:ascii="宋体" w:hAnsi="宋体" w:eastAsia="宋体" w:cs="宋体"/>
                <w:sz w:val="21"/>
                <w:szCs w:val="21"/>
              </w:rPr>
              <w:t xml:space="preserve">非常喜欢，希望能和真人玩家一起玩或比拼 </w:t>
            </w:r>
          </w:p>
        </w:tc>
        <w:tc>
          <w:tcPr>
            <w:tcW w:w="1704" w:type="dxa"/>
            <w:tcBorders>
              <w:top w:val="single" w:color="auto" w:sz="6" w:space="0"/>
              <w:tl2br w:val="nil"/>
              <w:tr2bl w:val="nil"/>
            </w:tcBorders>
            <w:vAlign w:val="top"/>
          </w:tcPr>
          <w:p w14:paraId="2A27AB65">
            <w:pPr>
              <w:rPr>
                <w:rFonts w:hint="eastAsia" w:ascii="宋体" w:hAnsi="宋体" w:eastAsia="宋体" w:cs="宋体"/>
                <w:sz w:val="21"/>
                <w:szCs w:val="21"/>
              </w:rPr>
            </w:pPr>
            <w:r>
              <w:rPr>
                <w:rFonts w:hint="eastAsia" w:ascii="宋体" w:hAnsi="宋体" w:eastAsia="宋体" w:cs="宋体"/>
                <w:sz w:val="21"/>
                <w:szCs w:val="21"/>
              </w:rPr>
              <w:t xml:space="preserve"> 5(35.7%) </w:t>
            </w:r>
          </w:p>
        </w:tc>
        <w:tc>
          <w:tcPr>
            <w:tcW w:w="1704" w:type="dxa"/>
            <w:tcBorders>
              <w:top w:val="single" w:color="auto" w:sz="6" w:space="0"/>
              <w:tl2br w:val="nil"/>
              <w:tr2bl w:val="nil"/>
            </w:tcBorders>
            <w:vAlign w:val="top"/>
          </w:tcPr>
          <w:p w14:paraId="5F30B1DB">
            <w:pPr>
              <w:rPr>
                <w:rFonts w:hint="eastAsia" w:ascii="宋体" w:hAnsi="宋体" w:eastAsia="宋体" w:cs="宋体"/>
                <w:sz w:val="21"/>
                <w:szCs w:val="21"/>
              </w:rPr>
            </w:pPr>
            <w:r>
              <w:rPr>
                <w:rFonts w:hint="eastAsia" w:ascii="宋体" w:hAnsi="宋体" w:eastAsia="宋体" w:cs="宋体"/>
                <w:sz w:val="21"/>
                <w:szCs w:val="21"/>
              </w:rPr>
              <w:t xml:space="preserve"> 3(17.6%) </w:t>
            </w:r>
          </w:p>
        </w:tc>
        <w:tc>
          <w:tcPr>
            <w:tcW w:w="1705" w:type="dxa"/>
            <w:tcBorders>
              <w:top w:val="single" w:color="auto" w:sz="6" w:space="0"/>
              <w:tl2br w:val="nil"/>
              <w:tr2bl w:val="nil"/>
            </w:tcBorders>
            <w:vAlign w:val="top"/>
          </w:tcPr>
          <w:p w14:paraId="5E890DBE">
            <w:pPr>
              <w:rPr>
                <w:rFonts w:hint="eastAsia" w:ascii="宋体" w:hAnsi="宋体" w:eastAsia="宋体" w:cs="宋体"/>
                <w:sz w:val="21"/>
                <w:szCs w:val="21"/>
              </w:rPr>
            </w:pPr>
            <w:r>
              <w:rPr>
                <w:rFonts w:hint="eastAsia" w:ascii="宋体" w:hAnsi="宋体" w:eastAsia="宋体" w:cs="宋体"/>
                <w:sz w:val="21"/>
                <w:szCs w:val="21"/>
              </w:rPr>
              <w:t xml:space="preserve"> 11.527 </w:t>
            </w:r>
          </w:p>
        </w:tc>
        <w:tc>
          <w:tcPr>
            <w:tcW w:w="1705" w:type="dxa"/>
            <w:tcBorders>
              <w:top w:val="single" w:color="auto" w:sz="6" w:space="0"/>
              <w:tl2br w:val="nil"/>
              <w:tr2bl w:val="nil"/>
            </w:tcBorders>
            <w:vAlign w:val="top"/>
          </w:tcPr>
          <w:p w14:paraId="0C4ED235">
            <w:pPr>
              <w:rPr>
                <w:rFonts w:hint="eastAsia" w:ascii="宋体" w:hAnsi="宋体" w:eastAsia="宋体" w:cs="宋体"/>
                <w:sz w:val="21"/>
                <w:szCs w:val="21"/>
              </w:rPr>
            </w:pPr>
            <w:r>
              <w:rPr>
                <w:rFonts w:hint="eastAsia" w:ascii="宋体" w:hAnsi="宋体" w:eastAsia="宋体" w:cs="宋体"/>
                <w:sz w:val="21"/>
                <w:szCs w:val="21"/>
              </w:rPr>
              <w:t xml:space="preserve"> 0.021 </w:t>
            </w:r>
          </w:p>
        </w:tc>
      </w:tr>
      <w:tr w14:paraId="540058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l2br w:val="nil"/>
              <w:tr2bl w:val="nil"/>
            </w:tcBorders>
            <w:vAlign w:val="top"/>
          </w:tcPr>
          <w:p w14:paraId="38CBBF9D">
            <w:pPr>
              <w:rPr>
                <w:rFonts w:hint="eastAsia" w:ascii="宋体" w:hAnsi="宋体" w:eastAsia="宋体" w:cs="宋体"/>
                <w:sz w:val="21"/>
                <w:szCs w:val="21"/>
              </w:rPr>
            </w:pPr>
            <w:r>
              <w:rPr>
                <w:rFonts w:hint="eastAsia" w:ascii="宋体" w:hAnsi="宋体" w:eastAsia="宋体" w:cs="宋体"/>
                <w:sz w:val="21"/>
                <w:szCs w:val="21"/>
              </w:rPr>
              <w:t xml:space="preserve">比较喜欢，但只愿意和熟悉的朋友或家人玩 </w:t>
            </w:r>
          </w:p>
        </w:tc>
        <w:tc>
          <w:tcPr>
            <w:tcW w:w="1704" w:type="dxa"/>
            <w:tcBorders>
              <w:tl2br w:val="nil"/>
              <w:tr2bl w:val="nil"/>
            </w:tcBorders>
            <w:vAlign w:val="top"/>
          </w:tcPr>
          <w:p w14:paraId="21715122">
            <w:pPr>
              <w:rPr>
                <w:rFonts w:hint="eastAsia" w:ascii="宋体" w:hAnsi="宋体" w:eastAsia="宋体" w:cs="宋体"/>
                <w:sz w:val="21"/>
                <w:szCs w:val="21"/>
              </w:rPr>
            </w:pPr>
            <w:r>
              <w:rPr>
                <w:rFonts w:hint="eastAsia" w:ascii="宋体" w:hAnsi="宋体" w:eastAsia="宋体" w:cs="宋体"/>
                <w:sz w:val="21"/>
                <w:szCs w:val="21"/>
              </w:rPr>
              <w:t xml:space="preserve"> 2(14.3%) </w:t>
            </w:r>
          </w:p>
        </w:tc>
        <w:tc>
          <w:tcPr>
            <w:tcW w:w="1704" w:type="dxa"/>
            <w:tcBorders>
              <w:tl2br w:val="nil"/>
              <w:tr2bl w:val="nil"/>
            </w:tcBorders>
            <w:vAlign w:val="top"/>
          </w:tcPr>
          <w:p w14:paraId="22F16BFD">
            <w:pPr>
              <w:rPr>
                <w:rFonts w:hint="eastAsia" w:ascii="宋体" w:hAnsi="宋体" w:eastAsia="宋体" w:cs="宋体"/>
                <w:sz w:val="21"/>
                <w:szCs w:val="21"/>
              </w:rPr>
            </w:pPr>
            <w:r>
              <w:rPr>
                <w:rFonts w:hint="eastAsia" w:ascii="宋体" w:hAnsi="宋体" w:eastAsia="宋体" w:cs="宋体"/>
                <w:sz w:val="21"/>
                <w:szCs w:val="21"/>
              </w:rPr>
              <w:t xml:space="preserve"> 6(35.3%) </w:t>
            </w:r>
          </w:p>
        </w:tc>
        <w:tc>
          <w:tcPr>
            <w:tcW w:w="1705" w:type="dxa"/>
            <w:tcBorders>
              <w:tl2br w:val="nil"/>
              <w:tr2bl w:val="nil"/>
            </w:tcBorders>
            <w:vAlign w:val="top"/>
          </w:tcPr>
          <w:p w14:paraId="442F847A">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705" w:type="dxa"/>
            <w:tcBorders>
              <w:tl2br w:val="nil"/>
              <w:tr2bl w:val="nil"/>
            </w:tcBorders>
            <w:vAlign w:val="top"/>
          </w:tcPr>
          <w:p w14:paraId="5088D465">
            <w:pPr>
              <w:rPr>
                <w:rFonts w:hint="eastAsia" w:ascii="宋体" w:hAnsi="宋体" w:eastAsia="宋体" w:cs="宋体"/>
                <w:sz w:val="21"/>
                <w:szCs w:val="21"/>
              </w:rPr>
            </w:pPr>
            <w:r>
              <w:rPr>
                <w:rFonts w:hint="eastAsia" w:ascii="宋体" w:hAnsi="宋体" w:eastAsia="宋体" w:cs="宋体"/>
                <w:sz w:val="21"/>
                <w:szCs w:val="21"/>
              </w:rPr>
              <w:t xml:space="preserve"> - </w:t>
            </w:r>
          </w:p>
        </w:tc>
      </w:tr>
      <w:tr w14:paraId="11DC68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l2br w:val="nil"/>
              <w:tr2bl w:val="nil"/>
            </w:tcBorders>
            <w:vAlign w:val="top"/>
          </w:tcPr>
          <w:p w14:paraId="2BF3C264">
            <w:pPr>
              <w:rPr>
                <w:rFonts w:hint="eastAsia" w:ascii="宋体" w:hAnsi="宋体" w:eastAsia="宋体" w:cs="宋体"/>
                <w:sz w:val="21"/>
                <w:szCs w:val="21"/>
              </w:rPr>
            </w:pPr>
            <w:r>
              <w:rPr>
                <w:rFonts w:hint="eastAsia" w:ascii="宋体" w:hAnsi="宋体" w:eastAsia="宋体" w:cs="宋体"/>
                <w:sz w:val="21"/>
                <w:szCs w:val="21"/>
              </w:rPr>
              <w:t xml:space="preserve">无所谓，一个人玩也可以 </w:t>
            </w:r>
          </w:p>
        </w:tc>
        <w:tc>
          <w:tcPr>
            <w:tcW w:w="1704" w:type="dxa"/>
            <w:tcBorders>
              <w:tl2br w:val="nil"/>
              <w:tr2bl w:val="nil"/>
            </w:tcBorders>
            <w:vAlign w:val="top"/>
          </w:tcPr>
          <w:p w14:paraId="2C465C09">
            <w:pPr>
              <w:rPr>
                <w:rFonts w:hint="eastAsia" w:ascii="宋体" w:hAnsi="宋体" w:eastAsia="宋体" w:cs="宋体"/>
                <w:sz w:val="21"/>
                <w:szCs w:val="21"/>
              </w:rPr>
            </w:pPr>
            <w:r>
              <w:rPr>
                <w:rFonts w:hint="eastAsia" w:ascii="宋体" w:hAnsi="宋体" w:eastAsia="宋体" w:cs="宋体"/>
                <w:sz w:val="21"/>
                <w:szCs w:val="21"/>
              </w:rPr>
              <w:t xml:space="preserve"> 4(28.6%) </w:t>
            </w:r>
          </w:p>
        </w:tc>
        <w:tc>
          <w:tcPr>
            <w:tcW w:w="1704" w:type="dxa"/>
            <w:tcBorders>
              <w:tl2br w:val="nil"/>
              <w:tr2bl w:val="nil"/>
            </w:tcBorders>
            <w:vAlign w:val="top"/>
          </w:tcPr>
          <w:p w14:paraId="1ECA1485">
            <w:pPr>
              <w:rPr>
                <w:rFonts w:hint="eastAsia" w:ascii="宋体" w:hAnsi="宋体" w:eastAsia="宋体" w:cs="宋体"/>
                <w:sz w:val="21"/>
                <w:szCs w:val="21"/>
              </w:rPr>
            </w:pPr>
            <w:r>
              <w:rPr>
                <w:rFonts w:hint="eastAsia" w:ascii="宋体" w:hAnsi="宋体" w:eastAsia="宋体" w:cs="宋体"/>
                <w:sz w:val="21"/>
                <w:szCs w:val="21"/>
              </w:rPr>
              <w:t xml:space="preserve"> 6(35.3%) </w:t>
            </w:r>
          </w:p>
        </w:tc>
        <w:tc>
          <w:tcPr>
            <w:tcW w:w="1705" w:type="dxa"/>
            <w:tcBorders>
              <w:tl2br w:val="nil"/>
              <w:tr2bl w:val="nil"/>
            </w:tcBorders>
            <w:vAlign w:val="top"/>
          </w:tcPr>
          <w:p w14:paraId="6D678BF4">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705" w:type="dxa"/>
            <w:tcBorders>
              <w:tl2br w:val="nil"/>
              <w:tr2bl w:val="nil"/>
            </w:tcBorders>
            <w:vAlign w:val="top"/>
          </w:tcPr>
          <w:p w14:paraId="02A969D2">
            <w:pPr>
              <w:rPr>
                <w:rFonts w:hint="eastAsia" w:ascii="宋体" w:hAnsi="宋体" w:eastAsia="宋体" w:cs="宋体"/>
                <w:sz w:val="21"/>
                <w:szCs w:val="21"/>
              </w:rPr>
            </w:pPr>
            <w:r>
              <w:rPr>
                <w:rFonts w:hint="eastAsia" w:ascii="宋体" w:hAnsi="宋体" w:eastAsia="宋体" w:cs="宋体"/>
                <w:sz w:val="21"/>
                <w:szCs w:val="21"/>
              </w:rPr>
              <w:t xml:space="preserve"> - </w:t>
            </w:r>
          </w:p>
        </w:tc>
      </w:tr>
      <w:tr w14:paraId="46D5F1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l2br w:val="nil"/>
              <w:tr2bl w:val="nil"/>
            </w:tcBorders>
            <w:vAlign w:val="top"/>
          </w:tcPr>
          <w:p w14:paraId="160FB67C">
            <w:pPr>
              <w:rPr>
                <w:rFonts w:hint="eastAsia" w:ascii="宋体" w:hAnsi="宋体" w:eastAsia="宋体" w:cs="宋体"/>
                <w:sz w:val="21"/>
                <w:szCs w:val="21"/>
              </w:rPr>
            </w:pPr>
            <w:r>
              <w:rPr>
                <w:rFonts w:hint="eastAsia" w:ascii="宋体" w:hAnsi="宋体" w:eastAsia="宋体" w:cs="宋体"/>
                <w:sz w:val="21"/>
                <w:szCs w:val="21"/>
              </w:rPr>
              <w:t xml:space="preserve">不太喜欢，觉得和陌生人互动有压力 </w:t>
            </w:r>
          </w:p>
        </w:tc>
        <w:tc>
          <w:tcPr>
            <w:tcW w:w="1704" w:type="dxa"/>
            <w:tcBorders>
              <w:tl2br w:val="nil"/>
              <w:tr2bl w:val="nil"/>
            </w:tcBorders>
            <w:vAlign w:val="top"/>
          </w:tcPr>
          <w:p w14:paraId="0504FE0A">
            <w:pPr>
              <w:rPr>
                <w:rFonts w:hint="eastAsia" w:ascii="宋体" w:hAnsi="宋体" w:eastAsia="宋体" w:cs="宋体"/>
                <w:sz w:val="21"/>
                <w:szCs w:val="21"/>
              </w:rPr>
            </w:pPr>
            <w:r>
              <w:rPr>
                <w:rFonts w:hint="eastAsia" w:ascii="宋体" w:hAnsi="宋体" w:eastAsia="宋体" w:cs="宋体"/>
                <w:sz w:val="21"/>
                <w:szCs w:val="21"/>
              </w:rPr>
              <w:t xml:space="preserve"> 2(14.3%) </w:t>
            </w:r>
          </w:p>
        </w:tc>
        <w:tc>
          <w:tcPr>
            <w:tcW w:w="1704" w:type="dxa"/>
            <w:tcBorders>
              <w:tl2br w:val="nil"/>
              <w:tr2bl w:val="nil"/>
            </w:tcBorders>
            <w:vAlign w:val="top"/>
          </w:tcPr>
          <w:p w14:paraId="3FE6493B">
            <w:pPr>
              <w:rPr>
                <w:rFonts w:hint="eastAsia" w:ascii="宋体" w:hAnsi="宋体" w:eastAsia="宋体" w:cs="宋体"/>
                <w:sz w:val="21"/>
                <w:szCs w:val="21"/>
              </w:rPr>
            </w:pPr>
            <w:r>
              <w:rPr>
                <w:rFonts w:hint="eastAsia" w:ascii="宋体" w:hAnsi="宋体" w:eastAsia="宋体" w:cs="宋体"/>
                <w:sz w:val="21"/>
                <w:szCs w:val="21"/>
              </w:rPr>
              <w:t xml:space="preserve"> 2(11.8%) </w:t>
            </w:r>
          </w:p>
        </w:tc>
        <w:tc>
          <w:tcPr>
            <w:tcW w:w="1705" w:type="dxa"/>
            <w:tcBorders>
              <w:tl2br w:val="nil"/>
              <w:tr2bl w:val="nil"/>
            </w:tcBorders>
            <w:vAlign w:val="top"/>
          </w:tcPr>
          <w:p w14:paraId="36F6A849">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705" w:type="dxa"/>
            <w:tcBorders>
              <w:tl2br w:val="nil"/>
              <w:tr2bl w:val="nil"/>
            </w:tcBorders>
            <w:vAlign w:val="top"/>
          </w:tcPr>
          <w:p w14:paraId="38060330">
            <w:pPr>
              <w:rPr>
                <w:rFonts w:hint="eastAsia" w:ascii="宋体" w:hAnsi="宋体" w:eastAsia="宋体" w:cs="宋体"/>
                <w:sz w:val="21"/>
                <w:szCs w:val="21"/>
              </w:rPr>
            </w:pPr>
            <w:r>
              <w:rPr>
                <w:rFonts w:hint="eastAsia" w:ascii="宋体" w:hAnsi="宋体" w:eastAsia="宋体" w:cs="宋体"/>
                <w:sz w:val="21"/>
                <w:szCs w:val="21"/>
              </w:rPr>
              <w:t xml:space="preserve"> - </w:t>
            </w:r>
          </w:p>
        </w:tc>
      </w:tr>
      <w:tr w14:paraId="7FA9C4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l2br w:val="nil"/>
              <w:tr2bl w:val="nil"/>
            </w:tcBorders>
            <w:vAlign w:val="top"/>
          </w:tcPr>
          <w:p w14:paraId="32059D36">
            <w:pPr>
              <w:rPr>
                <w:rFonts w:hint="eastAsia" w:ascii="宋体" w:hAnsi="宋体" w:eastAsia="宋体" w:cs="宋体"/>
                <w:sz w:val="21"/>
                <w:szCs w:val="21"/>
              </w:rPr>
            </w:pPr>
            <w:r>
              <w:rPr>
                <w:rFonts w:hint="eastAsia" w:ascii="宋体" w:hAnsi="宋体" w:eastAsia="宋体" w:cs="宋体"/>
                <w:sz w:val="21"/>
                <w:szCs w:val="21"/>
              </w:rPr>
              <w:t xml:space="preserve">很不喜欢，不想和陌生人互动 </w:t>
            </w:r>
          </w:p>
        </w:tc>
        <w:tc>
          <w:tcPr>
            <w:tcW w:w="1704" w:type="dxa"/>
            <w:tcBorders>
              <w:tl2br w:val="nil"/>
              <w:tr2bl w:val="nil"/>
            </w:tcBorders>
            <w:vAlign w:val="top"/>
          </w:tcPr>
          <w:p w14:paraId="52D57AA2">
            <w:pPr>
              <w:rPr>
                <w:rFonts w:hint="eastAsia" w:ascii="宋体" w:hAnsi="宋体" w:eastAsia="宋体" w:cs="宋体"/>
                <w:sz w:val="21"/>
                <w:szCs w:val="21"/>
              </w:rPr>
            </w:pPr>
            <w:r>
              <w:rPr>
                <w:rFonts w:hint="eastAsia" w:ascii="宋体" w:hAnsi="宋体" w:eastAsia="宋体" w:cs="宋体"/>
                <w:sz w:val="21"/>
                <w:szCs w:val="21"/>
              </w:rPr>
              <w:t xml:space="preserve"> 1(7.1%) </w:t>
            </w:r>
          </w:p>
        </w:tc>
        <w:tc>
          <w:tcPr>
            <w:tcW w:w="1704" w:type="dxa"/>
            <w:tcBorders>
              <w:tl2br w:val="nil"/>
              <w:tr2bl w:val="nil"/>
            </w:tcBorders>
            <w:vAlign w:val="top"/>
          </w:tcPr>
          <w:p w14:paraId="7B247BFA">
            <w:pPr>
              <w:rPr>
                <w:rFonts w:hint="eastAsia" w:ascii="宋体" w:hAnsi="宋体" w:eastAsia="宋体" w:cs="宋体"/>
                <w:sz w:val="21"/>
                <w:szCs w:val="21"/>
              </w:rPr>
            </w:pPr>
            <w:r>
              <w:rPr>
                <w:rFonts w:hint="eastAsia" w:ascii="宋体" w:hAnsi="宋体" w:eastAsia="宋体" w:cs="宋体"/>
                <w:sz w:val="21"/>
                <w:szCs w:val="21"/>
              </w:rPr>
              <w:t xml:space="preserve"> 0(0.0%) </w:t>
            </w:r>
          </w:p>
        </w:tc>
        <w:tc>
          <w:tcPr>
            <w:tcW w:w="1705" w:type="dxa"/>
            <w:tcBorders>
              <w:tl2br w:val="nil"/>
              <w:tr2bl w:val="nil"/>
            </w:tcBorders>
            <w:vAlign w:val="top"/>
          </w:tcPr>
          <w:p w14:paraId="41E5BEC5">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705" w:type="dxa"/>
            <w:tcBorders>
              <w:tl2br w:val="nil"/>
              <w:tr2bl w:val="nil"/>
            </w:tcBorders>
            <w:vAlign w:val="top"/>
          </w:tcPr>
          <w:p w14:paraId="3587A9B5">
            <w:pPr>
              <w:rPr>
                <w:rFonts w:hint="eastAsia" w:ascii="宋体" w:hAnsi="宋体" w:eastAsia="宋体" w:cs="宋体"/>
                <w:sz w:val="21"/>
                <w:szCs w:val="21"/>
              </w:rPr>
            </w:pPr>
            <w:r>
              <w:rPr>
                <w:rFonts w:hint="eastAsia" w:ascii="宋体" w:hAnsi="宋体" w:eastAsia="宋体" w:cs="宋体"/>
                <w:sz w:val="21"/>
                <w:szCs w:val="21"/>
              </w:rPr>
              <w:t xml:space="preserve"> - </w:t>
            </w:r>
          </w:p>
        </w:tc>
      </w:tr>
    </w:tbl>
    <w:p w14:paraId="39775E14">
      <w:pPr>
        <w:rPr>
          <w:rFonts w:hint="eastAsia"/>
          <w:sz w:val="24"/>
          <w:szCs w:val="24"/>
        </w:rPr>
      </w:pPr>
    </w:p>
    <w:p w14:paraId="5AC1F823">
      <w:pPr>
        <w:rPr>
          <w:rFonts w:hint="eastAsia" w:eastAsiaTheme="minorEastAsia"/>
          <w:sz w:val="24"/>
          <w:szCs w:val="24"/>
          <w:lang w:eastAsia="zh-CN"/>
        </w:rPr>
      </w:pPr>
      <w:r>
        <w:rPr>
          <w:rFonts w:hint="eastAsia"/>
          <w:sz w:val="24"/>
          <w:szCs w:val="24"/>
        </w:rPr>
        <w:t>结论C13：性别在社交互动态度上存在显著差异，男性态度更两极分化，女性更倾向于温和保守的熟人社交。</w:t>
      </w:r>
    </w:p>
    <w:p w14:paraId="266E82A2">
      <w:pPr>
        <w:outlineLvl w:val="1"/>
        <w:rPr>
          <w:rFonts w:hint="eastAsia"/>
          <w:b/>
          <w:bCs/>
          <w:sz w:val="28"/>
          <w:szCs w:val="28"/>
        </w:rPr>
      </w:pPr>
      <w:bookmarkStart w:id="33" w:name="_Toc4595"/>
      <w:r>
        <w:rPr>
          <w:rFonts w:hint="eastAsia"/>
          <w:b/>
          <w:bCs/>
          <w:sz w:val="28"/>
          <w:szCs w:val="28"/>
        </w:rPr>
        <w:t>3.7 单因素方差分析</w:t>
      </w:r>
      <w:bookmarkEnd w:id="33"/>
    </w:p>
    <w:p w14:paraId="5F8785ED">
      <w:pPr>
        <w:outlineLvl w:val="2"/>
        <w:rPr>
          <w:rFonts w:hint="eastAsia" w:eastAsiaTheme="minorEastAsia"/>
          <w:b/>
          <w:bCs/>
          <w:sz w:val="24"/>
          <w:szCs w:val="24"/>
          <w:lang w:eastAsia="zh-CN"/>
        </w:rPr>
      </w:pPr>
      <w:bookmarkStart w:id="34" w:name="_Toc5320"/>
      <w:r>
        <w:rPr>
          <w:rFonts w:hint="eastAsia"/>
          <w:b/>
          <w:bCs/>
          <w:sz w:val="24"/>
          <w:szCs w:val="24"/>
        </w:rPr>
        <w:t>3.7.1 年龄段与界面评价差异分析</w:t>
      </w:r>
      <w:bookmarkEnd w:id="34"/>
    </w:p>
    <w:p w14:paraId="7828B976">
      <w:pPr>
        <w:rPr>
          <w:rFonts w:hint="eastAsia"/>
          <w:sz w:val="24"/>
          <w:szCs w:val="24"/>
        </w:rPr>
      </w:pPr>
      <w:r>
        <w:rPr>
          <w:rFonts w:hint="eastAsia"/>
          <w:sz w:val="24"/>
          <w:szCs w:val="24"/>
        </w:rPr>
        <w:t>单因素方差分析显示，不同年龄段对游戏5（横版冒险UI）的尝试意愿存在显著差异（F=4.128，p=0.026，η²=0.216）。55-65岁群体尝试意愿最高（M=3.05），76岁以上群体最低（M=2.17）。事后检验表明55-65岁群体显著高于76岁以上群体（p=0.021）。</w:t>
      </w:r>
    </w:p>
    <w:p w14:paraId="60EAF062">
      <w:pPr>
        <w:rPr>
          <w:rFonts w:hint="eastAsia"/>
          <w:sz w:val="24"/>
          <w:szCs w:val="24"/>
        </w:rPr>
      </w:pPr>
    </w:p>
    <w:p w14:paraId="1C833B8B">
      <w:pPr>
        <w:pStyle w:val="5"/>
        <w:jc w:val="center"/>
        <w:rPr>
          <w:rFonts w:hint="eastAsia"/>
        </w:rPr>
      </w:pPr>
      <w:r>
        <w:t>表</w:t>
      </w:r>
      <w:r>
        <w:rPr>
          <w:rFonts w:hint="eastAsia"/>
          <w:lang w:val="en-US" w:eastAsia="zh-CN"/>
        </w:rPr>
        <w:t>5</w:t>
      </w:r>
      <w:r>
        <w:t xml:space="preserve"> </w:t>
      </w:r>
      <w:r>
        <w:rPr>
          <w:rFonts w:hint="eastAsia"/>
        </w:rPr>
        <w:t>年龄段与界面评价差异分析</w:t>
      </w:r>
    </w:p>
    <w:tbl>
      <w:tblPr>
        <w:tblStyle w:val="1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DF5B7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bottom w:val="single" w:color="auto" w:sz="6" w:space="0"/>
            </w:tcBorders>
            <w:vAlign w:val="top"/>
          </w:tcPr>
          <w:p w14:paraId="3F2C18ED">
            <w:pPr>
              <w:rPr>
                <w:rFonts w:hint="eastAsia" w:ascii="宋体" w:hAnsi="宋体" w:eastAsia="宋体" w:cs="宋体"/>
                <w:sz w:val="21"/>
                <w:szCs w:val="21"/>
              </w:rPr>
            </w:pPr>
            <w:r>
              <w:rPr>
                <w:rFonts w:hint="eastAsia" w:ascii="宋体" w:hAnsi="宋体" w:eastAsia="宋体" w:cs="宋体"/>
                <w:sz w:val="21"/>
                <w:szCs w:val="21"/>
              </w:rPr>
              <w:t xml:space="preserve">年龄段 </w:t>
            </w:r>
          </w:p>
        </w:tc>
        <w:tc>
          <w:tcPr>
            <w:tcW w:w="1420" w:type="dxa"/>
            <w:tcBorders>
              <w:bottom w:val="single" w:color="auto" w:sz="6" w:space="0"/>
            </w:tcBorders>
            <w:vAlign w:val="top"/>
          </w:tcPr>
          <w:p w14:paraId="49FFB368">
            <w:pPr>
              <w:rPr>
                <w:rFonts w:hint="eastAsia" w:ascii="宋体" w:hAnsi="宋体" w:eastAsia="宋体" w:cs="宋体"/>
                <w:sz w:val="21"/>
                <w:szCs w:val="21"/>
              </w:rPr>
            </w:pPr>
            <w:r>
              <w:rPr>
                <w:rFonts w:hint="eastAsia" w:ascii="宋体" w:hAnsi="宋体" w:eastAsia="宋体" w:cs="宋体"/>
                <w:sz w:val="21"/>
                <w:szCs w:val="21"/>
              </w:rPr>
              <w:t xml:space="preserve"> 样本量 </w:t>
            </w:r>
          </w:p>
        </w:tc>
        <w:tc>
          <w:tcPr>
            <w:tcW w:w="1420" w:type="dxa"/>
            <w:tcBorders>
              <w:bottom w:val="single" w:color="auto" w:sz="6" w:space="0"/>
            </w:tcBorders>
            <w:vAlign w:val="top"/>
          </w:tcPr>
          <w:p w14:paraId="58CFEED2">
            <w:pPr>
              <w:rPr>
                <w:rFonts w:hint="eastAsia" w:ascii="宋体" w:hAnsi="宋体" w:eastAsia="宋体" w:cs="宋体"/>
                <w:sz w:val="21"/>
                <w:szCs w:val="21"/>
              </w:rPr>
            </w:pPr>
            <w:r>
              <w:rPr>
                <w:rFonts w:hint="eastAsia" w:ascii="宋体" w:hAnsi="宋体" w:eastAsia="宋体" w:cs="宋体"/>
                <w:sz w:val="21"/>
                <w:szCs w:val="21"/>
              </w:rPr>
              <w:t xml:space="preserve"> 游戏5尝试意愿(均值±标准差) </w:t>
            </w:r>
          </w:p>
        </w:tc>
        <w:tc>
          <w:tcPr>
            <w:tcW w:w="1420" w:type="dxa"/>
            <w:tcBorders>
              <w:bottom w:val="single" w:color="auto" w:sz="6" w:space="0"/>
            </w:tcBorders>
            <w:vAlign w:val="top"/>
          </w:tcPr>
          <w:p w14:paraId="1D3A5238">
            <w:pPr>
              <w:rPr>
                <w:rFonts w:hint="eastAsia" w:ascii="宋体" w:hAnsi="宋体" w:eastAsia="宋体" w:cs="宋体"/>
                <w:sz w:val="21"/>
                <w:szCs w:val="21"/>
              </w:rPr>
            </w:pPr>
            <w:r>
              <w:rPr>
                <w:rFonts w:hint="eastAsia" w:ascii="宋体" w:hAnsi="宋体" w:eastAsia="宋体" w:cs="宋体"/>
                <w:sz w:val="21"/>
                <w:szCs w:val="21"/>
              </w:rPr>
              <w:t xml:space="preserve"> F值 </w:t>
            </w:r>
          </w:p>
        </w:tc>
        <w:tc>
          <w:tcPr>
            <w:tcW w:w="1421" w:type="dxa"/>
            <w:tcBorders>
              <w:bottom w:val="single" w:color="auto" w:sz="6" w:space="0"/>
            </w:tcBorders>
            <w:vAlign w:val="top"/>
          </w:tcPr>
          <w:p w14:paraId="186CDE45">
            <w:pPr>
              <w:rPr>
                <w:rFonts w:hint="eastAsia" w:ascii="宋体" w:hAnsi="宋体" w:eastAsia="宋体" w:cs="宋体"/>
                <w:sz w:val="21"/>
                <w:szCs w:val="21"/>
              </w:rPr>
            </w:pPr>
            <w:r>
              <w:rPr>
                <w:rFonts w:hint="eastAsia" w:ascii="宋体" w:hAnsi="宋体" w:eastAsia="宋体" w:cs="宋体"/>
                <w:sz w:val="21"/>
                <w:szCs w:val="21"/>
              </w:rPr>
              <w:t xml:space="preserve"> P值 </w:t>
            </w:r>
          </w:p>
        </w:tc>
        <w:tc>
          <w:tcPr>
            <w:tcW w:w="1421" w:type="dxa"/>
            <w:tcBorders>
              <w:bottom w:val="single" w:color="auto" w:sz="6" w:space="0"/>
            </w:tcBorders>
            <w:vAlign w:val="top"/>
          </w:tcPr>
          <w:p w14:paraId="7D9CC172">
            <w:pPr>
              <w:rPr>
                <w:rFonts w:hint="eastAsia" w:ascii="宋体" w:hAnsi="宋体" w:eastAsia="宋体" w:cs="宋体"/>
                <w:sz w:val="21"/>
                <w:szCs w:val="21"/>
              </w:rPr>
            </w:pPr>
            <w:r>
              <w:rPr>
                <w:rFonts w:hint="eastAsia" w:ascii="宋体" w:hAnsi="宋体" w:eastAsia="宋体" w:cs="宋体"/>
                <w:sz w:val="21"/>
                <w:szCs w:val="21"/>
              </w:rPr>
              <w:t xml:space="preserve"> η² </w:t>
            </w:r>
          </w:p>
        </w:tc>
      </w:tr>
      <w:tr w14:paraId="3F538E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auto" w:sz="6" w:space="0"/>
              <w:tl2br w:val="nil"/>
              <w:tr2bl w:val="nil"/>
            </w:tcBorders>
            <w:vAlign w:val="top"/>
          </w:tcPr>
          <w:p w14:paraId="607096D9">
            <w:pPr>
              <w:rPr>
                <w:rFonts w:hint="eastAsia" w:ascii="宋体" w:hAnsi="宋体" w:eastAsia="宋体" w:cs="宋体"/>
                <w:sz w:val="21"/>
                <w:szCs w:val="21"/>
              </w:rPr>
            </w:pPr>
            <w:r>
              <w:rPr>
                <w:rFonts w:hint="eastAsia" w:ascii="宋体" w:hAnsi="宋体" w:eastAsia="宋体" w:cs="宋体"/>
                <w:sz w:val="21"/>
                <w:szCs w:val="21"/>
              </w:rPr>
              <w:t xml:space="preserve">55-65岁 </w:t>
            </w:r>
          </w:p>
        </w:tc>
        <w:tc>
          <w:tcPr>
            <w:tcW w:w="1420" w:type="dxa"/>
            <w:tcBorders>
              <w:top w:val="single" w:color="auto" w:sz="6" w:space="0"/>
              <w:tl2br w:val="nil"/>
              <w:tr2bl w:val="nil"/>
            </w:tcBorders>
            <w:vAlign w:val="top"/>
          </w:tcPr>
          <w:p w14:paraId="1EA0769D">
            <w:pPr>
              <w:rPr>
                <w:rFonts w:hint="eastAsia" w:ascii="宋体" w:hAnsi="宋体" w:eastAsia="宋体" w:cs="宋体"/>
                <w:sz w:val="21"/>
                <w:szCs w:val="21"/>
              </w:rPr>
            </w:pPr>
            <w:r>
              <w:rPr>
                <w:rFonts w:hint="eastAsia" w:ascii="宋体" w:hAnsi="宋体" w:eastAsia="宋体" w:cs="宋体"/>
                <w:sz w:val="21"/>
                <w:szCs w:val="21"/>
              </w:rPr>
              <w:t xml:space="preserve"> 21 </w:t>
            </w:r>
          </w:p>
        </w:tc>
        <w:tc>
          <w:tcPr>
            <w:tcW w:w="1420" w:type="dxa"/>
            <w:tcBorders>
              <w:top w:val="single" w:color="auto" w:sz="6" w:space="0"/>
              <w:tl2br w:val="nil"/>
              <w:tr2bl w:val="nil"/>
            </w:tcBorders>
            <w:vAlign w:val="top"/>
          </w:tcPr>
          <w:p w14:paraId="5F3B3FD6">
            <w:pPr>
              <w:rPr>
                <w:rFonts w:hint="eastAsia" w:ascii="宋体" w:hAnsi="宋体" w:eastAsia="宋体" w:cs="宋体"/>
                <w:sz w:val="21"/>
                <w:szCs w:val="21"/>
              </w:rPr>
            </w:pPr>
            <w:r>
              <w:rPr>
                <w:rFonts w:hint="eastAsia" w:ascii="宋体" w:hAnsi="宋体" w:eastAsia="宋体" w:cs="宋体"/>
                <w:sz w:val="21"/>
                <w:szCs w:val="21"/>
              </w:rPr>
              <w:t xml:space="preserve"> 3.05±0.76 </w:t>
            </w:r>
          </w:p>
        </w:tc>
        <w:tc>
          <w:tcPr>
            <w:tcW w:w="1420" w:type="dxa"/>
            <w:tcBorders>
              <w:top w:val="single" w:color="auto" w:sz="6" w:space="0"/>
              <w:tl2br w:val="nil"/>
              <w:tr2bl w:val="nil"/>
            </w:tcBorders>
            <w:vAlign w:val="top"/>
          </w:tcPr>
          <w:p w14:paraId="2DD20AE8">
            <w:pPr>
              <w:rPr>
                <w:rFonts w:hint="eastAsia" w:ascii="宋体" w:hAnsi="宋体" w:eastAsia="宋体" w:cs="宋体"/>
                <w:sz w:val="21"/>
                <w:szCs w:val="21"/>
              </w:rPr>
            </w:pPr>
            <w:r>
              <w:rPr>
                <w:rFonts w:hint="eastAsia" w:ascii="宋体" w:hAnsi="宋体" w:eastAsia="宋体" w:cs="宋体"/>
                <w:sz w:val="21"/>
                <w:szCs w:val="21"/>
              </w:rPr>
              <w:t xml:space="preserve"> 4.128 </w:t>
            </w:r>
          </w:p>
        </w:tc>
        <w:tc>
          <w:tcPr>
            <w:tcW w:w="1421" w:type="dxa"/>
            <w:tcBorders>
              <w:top w:val="single" w:color="auto" w:sz="6" w:space="0"/>
              <w:tl2br w:val="nil"/>
              <w:tr2bl w:val="nil"/>
            </w:tcBorders>
            <w:vAlign w:val="top"/>
          </w:tcPr>
          <w:p w14:paraId="074934D7">
            <w:pPr>
              <w:rPr>
                <w:rFonts w:hint="eastAsia" w:ascii="宋体" w:hAnsi="宋体" w:eastAsia="宋体" w:cs="宋体"/>
                <w:sz w:val="21"/>
                <w:szCs w:val="21"/>
              </w:rPr>
            </w:pPr>
            <w:r>
              <w:rPr>
                <w:rFonts w:hint="eastAsia" w:ascii="宋体" w:hAnsi="宋体" w:eastAsia="宋体" w:cs="宋体"/>
                <w:sz w:val="21"/>
                <w:szCs w:val="21"/>
              </w:rPr>
              <w:t xml:space="preserve"> 0.026 </w:t>
            </w:r>
          </w:p>
        </w:tc>
        <w:tc>
          <w:tcPr>
            <w:tcW w:w="1421" w:type="dxa"/>
            <w:tcBorders>
              <w:top w:val="single" w:color="auto" w:sz="6" w:space="0"/>
              <w:tl2br w:val="nil"/>
              <w:tr2bl w:val="nil"/>
            </w:tcBorders>
            <w:vAlign w:val="top"/>
          </w:tcPr>
          <w:p w14:paraId="26BFE0AE">
            <w:pPr>
              <w:rPr>
                <w:rFonts w:hint="eastAsia" w:ascii="宋体" w:hAnsi="宋体" w:eastAsia="宋体" w:cs="宋体"/>
                <w:sz w:val="21"/>
                <w:szCs w:val="21"/>
              </w:rPr>
            </w:pPr>
            <w:r>
              <w:rPr>
                <w:rFonts w:hint="eastAsia" w:ascii="宋体" w:hAnsi="宋体" w:eastAsia="宋体" w:cs="宋体"/>
                <w:sz w:val="21"/>
                <w:szCs w:val="21"/>
              </w:rPr>
              <w:t xml:space="preserve"> 0.216 </w:t>
            </w:r>
          </w:p>
        </w:tc>
      </w:tr>
      <w:tr w14:paraId="5CF43D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vAlign w:val="top"/>
          </w:tcPr>
          <w:p w14:paraId="51319DAE">
            <w:pPr>
              <w:rPr>
                <w:rFonts w:hint="eastAsia" w:ascii="宋体" w:hAnsi="宋体" w:eastAsia="宋体" w:cs="宋体"/>
                <w:sz w:val="21"/>
                <w:szCs w:val="21"/>
              </w:rPr>
            </w:pPr>
            <w:r>
              <w:rPr>
                <w:rFonts w:hint="eastAsia" w:ascii="宋体" w:hAnsi="宋体" w:eastAsia="宋体" w:cs="宋体"/>
                <w:sz w:val="21"/>
                <w:szCs w:val="21"/>
              </w:rPr>
              <w:t xml:space="preserve">66-75岁 </w:t>
            </w:r>
          </w:p>
        </w:tc>
        <w:tc>
          <w:tcPr>
            <w:tcW w:w="1420" w:type="dxa"/>
            <w:tcBorders>
              <w:tl2br w:val="nil"/>
              <w:tr2bl w:val="nil"/>
            </w:tcBorders>
            <w:vAlign w:val="top"/>
          </w:tcPr>
          <w:p w14:paraId="00934575">
            <w:pPr>
              <w:rPr>
                <w:rFonts w:hint="eastAsia" w:ascii="宋体" w:hAnsi="宋体" w:eastAsia="宋体" w:cs="宋体"/>
                <w:sz w:val="21"/>
                <w:szCs w:val="21"/>
              </w:rPr>
            </w:pPr>
            <w:r>
              <w:rPr>
                <w:rFonts w:hint="eastAsia" w:ascii="宋体" w:hAnsi="宋体" w:eastAsia="宋体" w:cs="宋体"/>
                <w:sz w:val="21"/>
                <w:szCs w:val="21"/>
              </w:rPr>
              <w:t xml:space="preserve"> 4 </w:t>
            </w:r>
          </w:p>
        </w:tc>
        <w:tc>
          <w:tcPr>
            <w:tcW w:w="1420" w:type="dxa"/>
            <w:tcBorders>
              <w:tl2br w:val="nil"/>
              <w:tr2bl w:val="nil"/>
            </w:tcBorders>
            <w:vAlign w:val="top"/>
          </w:tcPr>
          <w:p w14:paraId="533F4F8A">
            <w:pPr>
              <w:rPr>
                <w:rFonts w:hint="eastAsia" w:ascii="宋体" w:hAnsi="宋体" w:eastAsia="宋体" w:cs="宋体"/>
                <w:sz w:val="21"/>
                <w:szCs w:val="21"/>
              </w:rPr>
            </w:pPr>
            <w:r>
              <w:rPr>
                <w:rFonts w:hint="eastAsia" w:ascii="宋体" w:hAnsi="宋体" w:eastAsia="宋体" w:cs="宋体"/>
                <w:sz w:val="21"/>
                <w:szCs w:val="21"/>
              </w:rPr>
              <w:t xml:space="preserve"> 2.75±0.96 </w:t>
            </w:r>
          </w:p>
        </w:tc>
        <w:tc>
          <w:tcPr>
            <w:tcW w:w="1420" w:type="dxa"/>
            <w:tcBorders>
              <w:tl2br w:val="nil"/>
              <w:tr2bl w:val="nil"/>
            </w:tcBorders>
            <w:vAlign w:val="top"/>
          </w:tcPr>
          <w:p w14:paraId="5F63190B">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421" w:type="dxa"/>
            <w:tcBorders>
              <w:tl2br w:val="nil"/>
              <w:tr2bl w:val="nil"/>
            </w:tcBorders>
            <w:vAlign w:val="top"/>
          </w:tcPr>
          <w:p w14:paraId="147FF4CB">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421" w:type="dxa"/>
            <w:tcBorders>
              <w:tl2br w:val="nil"/>
              <w:tr2bl w:val="nil"/>
            </w:tcBorders>
            <w:vAlign w:val="top"/>
          </w:tcPr>
          <w:p w14:paraId="13A6FE8E">
            <w:pPr>
              <w:rPr>
                <w:rFonts w:hint="eastAsia" w:ascii="宋体" w:hAnsi="宋体" w:eastAsia="宋体" w:cs="宋体"/>
                <w:sz w:val="21"/>
                <w:szCs w:val="21"/>
              </w:rPr>
            </w:pPr>
            <w:r>
              <w:rPr>
                <w:rFonts w:hint="eastAsia" w:ascii="宋体" w:hAnsi="宋体" w:eastAsia="宋体" w:cs="宋体"/>
                <w:sz w:val="21"/>
                <w:szCs w:val="21"/>
              </w:rPr>
              <w:t xml:space="preserve"> - </w:t>
            </w:r>
          </w:p>
        </w:tc>
      </w:tr>
      <w:tr w14:paraId="1D99E7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vAlign w:val="top"/>
          </w:tcPr>
          <w:p w14:paraId="044C3543">
            <w:pPr>
              <w:rPr>
                <w:rFonts w:hint="eastAsia" w:ascii="宋体" w:hAnsi="宋体" w:eastAsia="宋体" w:cs="宋体"/>
                <w:sz w:val="21"/>
                <w:szCs w:val="21"/>
              </w:rPr>
            </w:pPr>
            <w:r>
              <w:rPr>
                <w:rFonts w:hint="eastAsia" w:ascii="宋体" w:hAnsi="宋体" w:eastAsia="宋体" w:cs="宋体"/>
                <w:sz w:val="21"/>
                <w:szCs w:val="21"/>
              </w:rPr>
              <w:t xml:space="preserve">76岁以上 </w:t>
            </w:r>
          </w:p>
        </w:tc>
        <w:tc>
          <w:tcPr>
            <w:tcW w:w="1420" w:type="dxa"/>
            <w:tcBorders>
              <w:tl2br w:val="nil"/>
              <w:tr2bl w:val="nil"/>
            </w:tcBorders>
            <w:vAlign w:val="top"/>
          </w:tcPr>
          <w:p w14:paraId="40B0BCC4">
            <w:pPr>
              <w:rPr>
                <w:rFonts w:hint="eastAsia" w:ascii="宋体" w:hAnsi="宋体" w:eastAsia="宋体" w:cs="宋体"/>
                <w:sz w:val="21"/>
                <w:szCs w:val="21"/>
              </w:rPr>
            </w:pPr>
            <w:r>
              <w:rPr>
                <w:rFonts w:hint="eastAsia" w:ascii="宋体" w:hAnsi="宋体" w:eastAsia="宋体" w:cs="宋体"/>
                <w:sz w:val="21"/>
                <w:szCs w:val="21"/>
              </w:rPr>
              <w:t xml:space="preserve"> 6 </w:t>
            </w:r>
          </w:p>
        </w:tc>
        <w:tc>
          <w:tcPr>
            <w:tcW w:w="1420" w:type="dxa"/>
            <w:tcBorders>
              <w:tl2br w:val="nil"/>
              <w:tr2bl w:val="nil"/>
            </w:tcBorders>
            <w:vAlign w:val="top"/>
          </w:tcPr>
          <w:p w14:paraId="6323C473">
            <w:pPr>
              <w:rPr>
                <w:rFonts w:hint="eastAsia" w:ascii="宋体" w:hAnsi="宋体" w:eastAsia="宋体" w:cs="宋体"/>
                <w:sz w:val="21"/>
                <w:szCs w:val="21"/>
              </w:rPr>
            </w:pPr>
            <w:r>
              <w:rPr>
                <w:rFonts w:hint="eastAsia" w:ascii="宋体" w:hAnsi="宋体" w:eastAsia="宋体" w:cs="宋体"/>
                <w:sz w:val="21"/>
                <w:szCs w:val="21"/>
              </w:rPr>
              <w:t xml:space="preserve"> 2.17±0.98 </w:t>
            </w:r>
          </w:p>
        </w:tc>
        <w:tc>
          <w:tcPr>
            <w:tcW w:w="1420" w:type="dxa"/>
            <w:tcBorders>
              <w:tl2br w:val="nil"/>
              <w:tr2bl w:val="nil"/>
            </w:tcBorders>
            <w:vAlign w:val="top"/>
          </w:tcPr>
          <w:p w14:paraId="6F58965E">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421" w:type="dxa"/>
            <w:tcBorders>
              <w:tl2br w:val="nil"/>
              <w:tr2bl w:val="nil"/>
            </w:tcBorders>
            <w:vAlign w:val="top"/>
          </w:tcPr>
          <w:p w14:paraId="655C1F9B">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421" w:type="dxa"/>
            <w:tcBorders>
              <w:tl2br w:val="nil"/>
              <w:tr2bl w:val="nil"/>
            </w:tcBorders>
            <w:vAlign w:val="top"/>
          </w:tcPr>
          <w:p w14:paraId="5773145A">
            <w:pPr>
              <w:rPr>
                <w:rFonts w:hint="eastAsia" w:ascii="宋体" w:hAnsi="宋体" w:eastAsia="宋体" w:cs="宋体"/>
                <w:sz w:val="21"/>
                <w:szCs w:val="21"/>
              </w:rPr>
            </w:pPr>
            <w:r>
              <w:rPr>
                <w:rFonts w:hint="eastAsia" w:ascii="宋体" w:hAnsi="宋体" w:eastAsia="宋体" w:cs="宋体"/>
                <w:sz w:val="21"/>
                <w:szCs w:val="21"/>
              </w:rPr>
              <w:t xml:space="preserve"> - </w:t>
            </w:r>
          </w:p>
        </w:tc>
      </w:tr>
      <w:tr w14:paraId="0CEF45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vAlign w:val="top"/>
          </w:tcPr>
          <w:p w14:paraId="0A88F0A7">
            <w:pPr>
              <w:rPr>
                <w:rFonts w:hint="eastAsia" w:ascii="宋体" w:hAnsi="宋体" w:eastAsia="宋体" w:cs="宋体"/>
                <w:sz w:val="21"/>
                <w:szCs w:val="21"/>
              </w:rPr>
            </w:pPr>
            <w:r>
              <w:rPr>
                <w:rFonts w:hint="eastAsia" w:ascii="宋体" w:hAnsi="宋体" w:eastAsia="宋体" w:cs="宋体"/>
                <w:sz w:val="21"/>
                <w:szCs w:val="21"/>
              </w:rPr>
              <w:t xml:space="preserve">总体 </w:t>
            </w:r>
          </w:p>
        </w:tc>
        <w:tc>
          <w:tcPr>
            <w:tcW w:w="1420" w:type="dxa"/>
            <w:tcBorders>
              <w:tl2br w:val="nil"/>
              <w:tr2bl w:val="nil"/>
            </w:tcBorders>
            <w:vAlign w:val="top"/>
          </w:tcPr>
          <w:p w14:paraId="60A1D9F4">
            <w:pPr>
              <w:rPr>
                <w:rFonts w:hint="eastAsia" w:ascii="宋体" w:hAnsi="宋体" w:eastAsia="宋体" w:cs="宋体"/>
                <w:sz w:val="21"/>
                <w:szCs w:val="21"/>
              </w:rPr>
            </w:pPr>
            <w:r>
              <w:rPr>
                <w:rFonts w:hint="eastAsia" w:ascii="宋体" w:hAnsi="宋体" w:eastAsia="宋体" w:cs="宋体"/>
                <w:sz w:val="21"/>
                <w:szCs w:val="21"/>
              </w:rPr>
              <w:t xml:space="preserve"> 31 </w:t>
            </w:r>
          </w:p>
        </w:tc>
        <w:tc>
          <w:tcPr>
            <w:tcW w:w="1420" w:type="dxa"/>
            <w:tcBorders>
              <w:tl2br w:val="nil"/>
              <w:tr2bl w:val="nil"/>
            </w:tcBorders>
            <w:vAlign w:val="top"/>
          </w:tcPr>
          <w:p w14:paraId="394056BA">
            <w:pPr>
              <w:rPr>
                <w:rFonts w:hint="eastAsia" w:ascii="宋体" w:hAnsi="宋体" w:eastAsia="宋体" w:cs="宋体"/>
                <w:sz w:val="21"/>
                <w:szCs w:val="21"/>
              </w:rPr>
            </w:pPr>
            <w:r>
              <w:rPr>
                <w:rFonts w:hint="eastAsia" w:ascii="宋体" w:hAnsi="宋体" w:eastAsia="宋体" w:cs="宋体"/>
                <w:sz w:val="21"/>
                <w:szCs w:val="21"/>
              </w:rPr>
              <w:t xml:space="preserve"> 2.84±0.89 </w:t>
            </w:r>
          </w:p>
        </w:tc>
        <w:tc>
          <w:tcPr>
            <w:tcW w:w="1420" w:type="dxa"/>
            <w:tcBorders>
              <w:tl2br w:val="nil"/>
              <w:tr2bl w:val="nil"/>
            </w:tcBorders>
            <w:vAlign w:val="top"/>
          </w:tcPr>
          <w:p w14:paraId="3675B200">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421" w:type="dxa"/>
            <w:tcBorders>
              <w:tl2br w:val="nil"/>
              <w:tr2bl w:val="nil"/>
            </w:tcBorders>
            <w:vAlign w:val="top"/>
          </w:tcPr>
          <w:p w14:paraId="77F38387">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421" w:type="dxa"/>
            <w:tcBorders>
              <w:tl2br w:val="nil"/>
              <w:tr2bl w:val="nil"/>
            </w:tcBorders>
            <w:vAlign w:val="top"/>
          </w:tcPr>
          <w:p w14:paraId="10C9D3C5">
            <w:pPr>
              <w:rPr>
                <w:rFonts w:hint="eastAsia" w:ascii="宋体" w:hAnsi="宋体" w:eastAsia="宋体" w:cs="宋体"/>
                <w:sz w:val="21"/>
                <w:szCs w:val="21"/>
              </w:rPr>
            </w:pPr>
            <w:r>
              <w:rPr>
                <w:rFonts w:hint="eastAsia" w:ascii="宋体" w:hAnsi="宋体" w:eastAsia="宋体" w:cs="宋体"/>
                <w:sz w:val="21"/>
                <w:szCs w:val="21"/>
              </w:rPr>
              <w:t xml:space="preserve"> - </w:t>
            </w:r>
          </w:p>
        </w:tc>
      </w:tr>
    </w:tbl>
    <w:p w14:paraId="3ED2F720">
      <w:pPr>
        <w:rPr>
          <w:rFonts w:hint="eastAsia"/>
        </w:rPr>
      </w:pPr>
    </w:p>
    <w:p w14:paraId="40C54075">
      <w:pPr>
        <w:rPr>
          <w:rFonts w:hint="eastAsia" w:eastAsiaTheme="minorEastAsia"/>
          <w:sz w:val="24"/>
          <w:szCs w:val="24"/>
          <w:lang w:eastAsia="zh-CN"/>
        </w:rPr>
      </w:pPr>
      <w:r>
        <w:rPr>
          <w:rFonts w:hint="eastAsia"/>
          <w:sz w:val="24"/>
          <w:szCs w:val="24"/>
        </w:rPr>
        <w:t>结论C14：高龄用户对复杂游戏界面的接受度显著低于年轻老年人，界面设计复杂度应考虑用户年龄特征。</w:t>
      </w:r>
    </w:p>
    <w:p w14:paraId="4701692C">
      <w:pPr>
        <w:rPr>
          <w:rFonts w:hint="eastAsia"/>
          <w:sz w:val="24"/>
          <w:szCs w:val="24"/>
        </w:rPr>
      </w:pPr>
    </w:p>
    <w:p w14:paraId="69286FA8">
      <w:pPr>
        <w:outlineLvl w:val="2"/>
        <w:rPr>
          <w:rFonts w:hint="eastAsia" w:eastAsiaTheme="minorEastAsia"/>
          <w:b/>
          <w:bCs/>
          <w:sz w:val="24"/>
          <w:szCs w:val="24"/>
          <w:lang w:eastAsia="zh-CN"/>
        </w:rPr>
      </w:pPr>
      <w:bookmarkStart w:id="35" w:name="_Toc18161"/>
      <w:r>
        <w:rPr>
          <w:rFonts w:hint="eastAsia"/>
          <w:b/>
          <w:bCs/>
          <w:sz w:val="24"/>
          <w:szCs w:val="24"/>
        </w:rPr>
        <w:t>3.7.2 教育水平与注意力特征分析</w:t>
      </w:r>
      <w:bookmarkEnd w:id="35"/>
    </w:p>
    <w:p w14:paraId="39749AB0">
      <w:pPr>
        <w:rPr>
          <w:rFonts w:hint="eastAsia"/>
          <w:sz w:val="24"/>
          <w:szCs w:val="24"/>
        </w:rPr>
      </w:pPr>
      <w:r>
        <w:rPr>
          <w:rFonts w:hint="eastAsia"/>
          <w:sz w:val="24"/>
          <w:szCs w:val="24"/>
        </w:rPr>
        <w:t>单因素方差分析显示，不同教育水平在注意力自评得分上存在边缘显著差异（F=2.897，p=0.072，η²=0.152）。大专/本科群体得分最高（M=3.87），小学及以下群体最低（M=3.20）。</w:t>
      </w:r>
    </w:p>
    <w:p w14:paraId="6C904130">
      <w:pPr>
        <w:pStyle w:val="5"/>
        <w:jc w:val="center"/>
        <w:rPr>
          <w:rFonts w:hint="eastAsia"/>
        </w:rPr>
      </w:pPr>
      <w:r>
        <w:t>表</w:t>
      </w:r>
      <w:r>
        <w:rPr>
          <w:rFonts w:hint="eastAsia"/>
          <w:lang w:val="en-US" w:eastAsia="zh-CN"/>
        </w:rPr>
        <w:t>6</w:t>
      </w:r>
      <w:r>
        <w:t xml:space="preserve"> </w:t>
      </w:r>
      <w:r>
        <w:rPr>
          <w:rFonts w:hint="eastAsia"/>
        </w:rPr>
        <w:t>教育水平与注意力特征分析</w:t>
      </w:r>
    </w:p>
    <w:tbl>
      <w:tblPr>
        <w:tblStyle w:val="15"/>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2FFF8C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bottom w:val="single" w:color="auto" w:sz="6" w:space="0"/>
            </w:tcBorders>
          </w:tcPr>
          <w:p w14:paraId="06D94CDE">
            <w:pPr>
              <w:rPr>
                <w:rFonts w:hint="eastAsia" w:ascii="宋体" w:hAnsi="宋体" w:eastAsia="宋体" w:cs="宋体"/>
                <w:sz w:val="21"/>
                <w:szCs w:val="21"/>
              </w:rPr>
            </w:pPr>
            <w:r>
              <w:rPr>
                <w:rFonts w:hint="eastAsia" w:ascii="宋体" w:hAnsi="宋体" w:eastAsia="宋体" w:cs="宋体"/>
                <w:sz w:val="21"/>
                <w:szCs w:val="21"/>
              </w:rPr>
              <w:t xml:space="preserve">教育水平 </w:t>
            </w:r>
          </w:p>
        </w:tc>
        <w:tc>
          <w:tcPr>
            <w:tcW w:w="1420" w:type="dxa"/>
            <w:tcBorders>
              <w:bottom w:val="single" w:color="auto" w:sz="6" w:space="0"/>
            </w:tcBorders>
          </w:tcPr>
          <w:p w14:paraId="310D8680">
            <w:pPr>
              <w:rPr>
                <w:rFonts w:hint="eastAsia" w:ascii="宋体" w:hAnsi="宋体" w:eastAsia="宋体" w:cs="宋体"/>
                <w:sz w:val="21"/>
                <w:szCs w:val="21"/>
              </w:rPr>
            </w:pPr>
            <w:r>
              <w:rPr>
                <w:rFonts w:hint="eastAsia" w:ascii="宋体" w:hAnsi="宋体" w:eastAsia="宋体" w:cs="宋体"/>
                <w:sz w:val="21"/>
                <w:szCs w:val="21"/>
              </w:rPr>
              <w:t xml:space="preserve"> 样本量 </w:t>
            </w:r>
          </w:p>
        </w:tc>
        <w:tc>
          <w:tcPr>
            <w:tcW w:w="1420" w:type="dxa"/>
            <w:tcBorders>
              <w:bottom w:val="single" w:color="auto" w:sz="6" w:space="0"/>
            </w:tcBorders>
          </w:tcPr>
          <w:p w14:paraId="3002A7E2">
            <w:pPr>
              <w:rPr>
                <w:rFonts w:hint="eastAsia" w:ascii="宋体" w:hAnsi="宋体" w:eastAsia="宋体" w:cs="宋体"/>
                <w:sz w:val="21"/>
                <w:szCs w:val="21"/>
              </w:rPr>
            </w:pPr>
            <w:r>
              <w:rPr>
                <w:rFonts w:hint="eastAsia" w:ascii="宋体" w:hAnsi="宋体" w:eastAsia="宋体" w:cs="宋体"/>
                <w:sz w:val="21"/>
                <w:szCs w:val="21"/>
              </w:rPr>
              <w:t xml:space="preserve"> 注意力得分(均值±标准差) </w:t>
            </w:r>
          </w:p>
        </w:tc>
        <w:tc>
          <w:tcPr>
            <w:tcW w:w="1420" w:type="dxa"/>
            <w:tcBorders>
              <w:bottom w:val="single" w:color="auto" w:sz="6" w:space="0"/>
            </w:tcBorders>
          </w:tcPr>
          <w:p w14:paraId="2158A69C">
            <w:pPr>
              <w:rPr>
                <w:rFonts w:hint="eastAsia" w:ascii="宋体" w:hAnsi="宋体" w:eastAsia="宋体" w:cs="宋体"/>
                <w:sz w:val="21"/>
                <w:szCs w:val="21"/>
              </w:rPr>
            </w:pPr>
            <w:r>
              <w:rPr>
                <w:rFonts w:hint="eastAsia" w:ascii="宋体" w:hAnsi="宋体" w:eastAsia="宋体" w:cs="宋体"/>
                <w:sz w:val="21"/>
                <w:szCs w:val="21"/>
              </w:rPr>
              <w:t xml:space="preserve"> F值 </w:t>
            </w:r>
          </w:p>
        </w:tc>
        <w:tc>
          <w:tcPr>
            <w:tcW w:w="1421" w:type="dxa"/>
            <w:tcBorders>
              <w:bottom w:val="single" w:color="auto" w:sz="6" w:space="0"/>
            </w:tcBorders>
          </w:tcPr>
          <w:p w14:paraId="3E3C15F4">
            <w:pPr>
              <w:rPr>
                <w:rFonts w:hint="eastAsia" w:ascii="宋体" w:hAnsi="宋体" w:eastAsia="宋体" w:cs="宋体"/>
                <w:sz w:val="21"/>
                <w:szCs w:val="21"/>
              </w:rPr>
            </w:pPr>
            <w:r>
              <w:rPr>
                <w:rFonts w:hint="eastAsia" w:ascii="宋体" w:hAnsi="宋体" w:eastAsia="宋体" w:cs="宋体"/>
                <w:sz w:val="21"/>
                <w:szCs w:val="21"/>
              </w:rPr>
              <w:t xml:space="preserve"> P值 </w:t>
            </w:r>
          </w:p>
        </w:tc>
        <w:tc>
          <w:tcPr>
            <w:tcW w:w="1421" w:type="dxa"/>
            <w:tcBorders>
              <w:bottom w:val="single" w:color="auto" w:sz="6" w:space="0"/>
            </w:tcBorders>
          </w:tcPr>
          <w:p w14:paraId="019FA1EC">
            <w:pPr>
              <w:rPr>
                <w:rFonts w:hint="eastAsia" w:ascii="宋体" w:hAnsi="宋体" w:eastAsia="宋体" w:cs="宋体"/>
                <w:sz w:val="21"/>
                <w:szCs w:val="21"/>
              </w:rPr>
            </w:pPr>
            <w:r>
              <w:rPr>
                <w:rFonts w:hint="eastAsia" w:ascii="宋体" w:hAnsi="宋体" w:eastAsia="宋体" w:cs="宋体"/>
                <w:sz w:val="21"/>
                <w:szCs w:val="21"/>
              </w:rPr>
              <w:t xml:space="preserve"> η² </w:t>
            </w:r>
          </w:p>
        </w:tc>
      </w:tr>
      <w:tr w14:paraId="48D5C3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auto" w:sz="6" w:space="0"/>
              <w:tl2br w:val="nil"/>
              <w:tr2bl w:val="nil"/>
            </w:tcBorders>
          </w:tcPr>
          <w:p w14:paraId="20AC42EF">
            <w:pPr>
              <w:rPr>
                <w:rFonts w:hint="eastAsia" w:ascii="宋体" w:hAnsi="宋体" w:eastAsia="宋体" w:cs="宋体"/>
                <w:sz w:val="21"/>
                <w:szCs w:val="21"/>
              </w:rPr>
            </w:pPr>
            <w:r>
              <w:rPr>
                <w:rFonts w:hint="eastAsia" w:ascii="宋体" w:hAnsi="宋体" w:eastAsia="宋体" w:cs="宋体"/>
                <w:sz w:val="21"/>
                <w:szCs w:val="21"/>
              </w:rPr>
              <w:t xml:space="preserve">小学及以下 </w:t>
            </w:r>
          </w:p>
        </w:tc>
        <w:tc>
          <w:tcPr>
            <w:tcW w:w="1420" w:type="dxa"/>
            <w:tcBorders>
              <w:top w:val="single" w:color="auto" w:sz="6" w:space="0"/>
              <w:tl2br w:val="nil"/>
              <w:tr2bl w:val="nil"/>
            </w:tcBorders>
          </w:tcPr>
          <w:p w14:paraId="7E709820">
            <w:pPr>
              <w:rPr>
                <w:rFonts w:hint="eastAsia" w:ascii="宋体" w:hAnsi="宋体" w:eastAsia="宋体" w:cs="宋体"/>
                <w:sz w:val="21"/>
                <w:szCs w:val="21"/>
              </w:rPr>
            </w:pPr>
            <w:r>
              <w:rPr>
                <w:rFonts w:hint="eastAsia" w:ascii="宋体" w:hAnsi="宋体" w:eastAsia="宋体" w:cs="宋体"/>
                <w:sz w:val="21"/>
                <w:szCs w:val="21"/>
              </w:rPr>
              <w:t xml:space="preserve"> 5 </w:t>
            </w:r>
          </w:p>
        </w:tc>
        <w:tc>
          <w:tcPr>
            <w:tcW w:w="1420" w:type="dxa"/>
            <w:tcBorders>
              <w:top w:val="single" w:color="auto" w:sz="6" w:space="0"/>
              <w:tl2br w:val="nil"/>
              <w:tr2bl w:val="nil"/>
            </w:tcBorders>
          </w:tcPr>
          <w:p w14:paraId="44E8BA17">
            <w:pPr>
              <w:rPr>
                <w:rFonts w:hint="eastAsia" w:ascii="宋体" w:hAnsi="宋体" w:eastAsia="宋体" w:cs="宋体"/>
                <w:sz w:val="21"/>
                <w:szCs w:val="21"/>
              </w:rPr>
            </w:pPr>
            <w:r>
              <w:rPr>
                <w:rFonts w:hint="eastAsia" w:ascii="宋体" w:hAnsi="宋体" w:eastAsia="宋体" w:cs="宋体"/>
                <w:sz w:val="21"/>
                <w:szCs w:val="21"/>
              </w:rPr>
              <w:t xml:space="preserve"> 3.20±0.84 </w:t>
            </w:r>
          </w:p>
        </w:tc>
        <w:tc>
          <w:tcPr>
            <w:tcW w:w="1420" w:type="dxa"/>
            <w:tcBorders>
              <w:top w:val="single" w:color="auto" w:sz="6" w:space="0"/>
              <w:tl2br w:val="nil"/>
              <w:tr2bl w:val="nil"/>
            </w:tcBorders>
          </w:tcPr>
          <w:p w14:paraId="10889E3D">
            <w:pPr>
              <w:rPr>
                <w:rFonts w:hint="eastAsia" w:ascii="宋体" w:hAnsi="宋体" w:eastAsia="宋体" w:cs="宋体"/>
                <w:sz w:val="21"/>
                <w:szCs w:val="21"/>
              </w:rPr>
            </w:pPr>
            <w:r>
              <w:rPr>
                <w:rFonts w:hint="eastAsia" w:ascii="宋体" w:hAnsi="宋体" w:eastAsia="宋体" w:cs="宋体"/>
                <w:sz w:val="21"/>
                <w:szCs w:val="21"/>
              </w:rPr>
              <w:t xml:space="preserve"> 2.897 </w:t>
            </w:r>
          </w:p>
        </w:tc>
        <w:tc>
          <w:tcPr>
            <w:tcW w:w="1421" w:type="dxa"/>
            <w:tcBorders>
              <w:top w:val="single" w:color="auto" w:sz="6" w:space="0"/>
              <w:tl2br w:val="nil"/>
              <w:tr2bl w:val="nil"/>
            </w:tcBorders>
          </w:tcPr>
          <w:p w14:paraId="5BA455C8">
            <w:pPr>
              <w:rPr>
                <w:rFonts w:hint="eastAsia" w:ascii="宋体" w:hAnsi="宋体" w:eastAsia="宋体" w:cs="宋体"/>
                <w:sz w:val="21"/>
                <w:szCs w:val="21"/>
              </w:rPr>
            </w:pPr>
            <w:r>
              <w:rPr>
                <w:rFonts w:hint="eastAsia" w:ascii="宋体" w:hAnsi="宋体" w:eastAsia="宋体" w:cs="宋体"/>
                <w:sz w:val="21"/>
                <w:szCs w:val="21"/>
              </w:rPr>
              <w:t xml:space="preserve"> 0.072 </w:t>
            </w:r>
          </w:p>
        </w:tc>
        <w:tc>
          <w:tcPr>
            <w:tcW w:w="1421" w:type="dxa"/>
            <w:tcBorders>
              <w:top w:val="single" w:color="auto" w:sz="6" w:space="0"/>
              <w:tl2br w:val="nil"/>
              <w:tr2bl w:val="nil"/>
            </w:tcBorders>
          </w:tcPr>
          <w:p w14:paraId="2F16133C">
            <w:pPr>
              <w:rPr>
                <w:rFonts w:hint="eastAsia" w:ascii="宋体" w:hAnsi="宋体" w:eastAsia="宋体" w:cs="宋体"/>
                <w:sz w:val="21"/>
                <w:szCs w:val="21"/>
              </w:rPr>
            </w:pPr>
            <w:r>
              <w:rPr>
                <w:rFonts w:hint="eastAsia" w:ascii="宋体" w:hAnsi="宋体" w:eastAsia="宋体" w:cs="宋体"/>
                <w:sz w:val="21"/>
                <w:szCs w:val="21"/>
              </w:rPr>
              <w:t xml:space="preserve"> 0.152 </w:t>
            </w:r>
          </w:p>
        </w:tc>
      </w:tr>
      <w:tr w14:paraId="220D51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14:paraId="2BA56E03">
            <w:pPr>
              <w:rPr>
                <w:rFonts w:hint="eastAsia" w:ascii="宋体" w:hAnsi="宋体" w:eastAsia="宋体" w:cs="宋体"/>
                <w:sz w:val="21"/>
                <w:szCs w:val="21"/>
              </w:rPr>
            </w:pPr>
            <w:r>
              <w:rPr>
                <w:rFonts w:hint="eastAsia" w:ascii="宋体" w:hAnsi="宋体" w:eastAsia="宋体" w:cs="宋体"/>
                <w:sz w:val="21"/>
                <w:szCs w:val="21"/>
              </w:rPr>
              <w:t xml:space="preserve">中学 </w:t>
            </w:r>
          </w:p>
        </w:tc>
        <w:tc>
          <w:tcPr>
            <w:tcW w:w="1420" w:type="dxa"/>
            <w:tcBorders>
              <w:tl2br w:val="nil"/>
              <w:tr2bl w:val="nil"/>
            </w:tcBorders>
          </w:tcPr>
          <w:p w14:paraId="42AAC9A9">
            <w:pPr>
              <w:rPr>
                <w:rFonts w:hint="eastAsia" w:ascii="宋体" w:hAnsi="宋体" w:eastAsia="宋体" w:cs="宋体"/>
                <w:sz w:val="21"/>
                <w:szCs w:val="21"/>
              </w:rPr>
            </w:pPr>
            <w:r>
              <w:rPr>
                <w:rFonts w:hint="eastAsia" w:ascii="宋体" w:hAnsi="宋体" w:eastAsia="宋体" w:cs="宋体"/>
                <w:sz w:val="21"/>
                <w:szCs w:val="21"/>
              </w:rPr>
              <w:t xml:space="preserve"> 11 </w:t>
            </w:r>
          </w:p>
        </w:tc>
        <w:tc>
          <w:tcPr>
            <w:tcW w:w="1420" w:type="dxa"/>
            <w:tcBorders>
              <w:tl2br w:val="nil"/>
              <w:tr2bl w:val="nil"/>
            </w:tcBorders>
          </w:tcPr>
          <w:p w14:paraId="72A55CC0">
            <w:pPr>
              <w:rPr>
                <w:rFonts w:hint="eastAsia" w:ascii="宋体" w:hAnsi="宋体" w:eastAsia="宋体" w:cs="宋体"/>
                <w:sz w:val="21"/>
                <w:szCs w:val="21"/>
              </w:rPr>
            </w:pPr>
            <w:r>
              <w:rPr>
                <w:rFonts w:hint="eastAsia" w:ascii="宋体" w:hAnsi="宋体" w:eastAsia="宋体" w:cs="宋体"/>
                <w:sz w:val="21"/>
                <w:szCs w:val="21"/>
              </w:rPr>
              <w:t xml:space="preserve"> 3.45±0.82 </w:t>
            </w:r>
          </w:p>
        </w:tc>
        <w:tc>
          <w:tcPr>
            <w:tcW w:w="1420" w:type="dxa"/>
            <w:tcBorders>
              <w:tl2br w:val="nil"/>
              <w:tr2bl w:val="nil"/>
            </w:tcBorders>
          </w:tcPr>
          <w:p w14:paraId="4B5FF78F">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421" w:type="dxa"/>
            <w:tcBorders>
              <w:tl2br w:val="nil"/>
              <w:tr2bl w:val="nil"/>
            </w:tcBorders>
          </w:tcPr>
          <w:p w14:paraId="2314260D">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421" w:type="dxa"/>
            <w:tcBorders>
              <w:tl2br w:val="nil"/>
              <w:tr2bl w:val="nil"/>
            </w:tcBorders>
          </w:tcPr>
          <w:p w14:paraId="57228254">
            <w:pPr>
              <w:rPr>
                <w:rFonts w:hint="eastAsia" w:ascii="宋体" w:hAnsi="宋体" w:eastAsia="宋体" w:cs="宋体"/>
                <w:sz w:val="21"/>
                <w:szCs w:val="21"/>
              </w:rPr>
            </w:pPr>
            <w:r>
              <w:rPr>
                <w:rFonts w:hint="eastAsia" w:ascii="宋体" w:hAnsi="宋体" w:eastAsia="宋体" w:cs="宋体"/>
                <w:sz w:val="21"/>
                <w:szCs w:val="21"/>
              </w:rPr>
              <w:t xml:space="preserve"> - </w:t>
            </w:r>
          </w:p>
        </w:tc>
      </w:tr>
      <w:tr w14:paraId="229456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14:paraId="70D8B225">
            <w:pPr>
              <w:rPr>
                <w:rFonts w:hint="eastAsia" w:ascii="宋体" w:hAnsi="宋体" w:eastAsia="宋体" w:cs="宋体"/>
                <w:sz w:val="21"/>
                <w:szCs w:val="21"/>
              </w:rPr>
            </w:pPr>
            <w:r>
              <w:rPr>
                <w:rFonts w:hint="eastAsia" w:ascii="宋体" w:hAnsi="宋体" w:eastAsia="宋体" w:cs="宋体"/>
                <w:sz w:val="21"/>
                <w:szCs w:val="21"/>
              </w:rPr>
              <w:t xml:space="preserve">大专/本科 </w:t>
            </w:r>
          </w:p>
        </w:tc>
        <w:tc>
          <w:tcPr>
            <w:tcW w:w="1420" w:type="dxa"/>
            <w:tcBorders>
              <w:tl2br w:val="nil"/>
              <w:tr2bl w:val="nil"/>
            </w:tcBorders>
          </w:tcPr>
          <w:p w14:paraId="39F8DD6C">
            <w:pPr>
              <w:rPr>
                <w:rFonts w:hint="eastAsia" w:ascii="宋体" w:hAnsi="宋体" w:eastAsia="宋体" w:cs="宋体"/>
                <w:sz w:val="21"/>
                <w:szCs w:val="21"/>
              </w:rPr>
            </w:pPr>
            <w:r>
              <w:rPr>
                <w:rFonts w:hint="eastAsia" w:ascii="宋体" w:hAnsi="宋体" w:eastAsia="宋体" w:cs="宋体"/>
                <w:sz w:val="21"/>
                <w:szCs w:val="21"/>
              </w:rPr>
              <w:t xml:space="preserve"> 15 </w:t>
            </w:r>
          </w:p>
        </w:tc>
        <w:tc>
          <w:tcPr>
            <w:tcW w:w="1420" w:type="dxa"/>
            <w:tcBorders>
              <w:tl2br w:val="nil"/>
              <w:tr2bl w:val="nil"/>
            </w:tcBorders>
          </w:tcPr>
          <w:p w14:paraId="13A34093">
            <w:pPr>
              <w:rPr>
                <w:rFonts w:hint="eastAsia" w:ascii="宋体" w:hAnsi="宋体" w:eastAsia="宋体" w:cs="宋体"/>
                <w:sz w:val="21"/>
                <w:szCs w:val="21"/>
              </w:rPr>
            </w:pPr>
            <w:r>
              <w:rPr>
                <w:rFonts w:hint="eastAsia" w:ascii="宋体" w:hAnsi="宋体" w:eastAsia="宋体" w:cs="宋体"/>
                <w:sz w:val="21"/>
                <w:szCs w:val="21"/>
              </w:rPr>
              <w:t xml:space="preserve"> 3.87±0.72 </w:t>
            </w:r>
          </w:p>
        </w:tc>
        <w:tc>
          <w:tcPr>
            <w:tcW w:w="1420" w:type="dxa"/>
            <w:tcBorders>
              <w:tl2br w:val="nil"/>
              <w:tr2bl w:val="nil"/>
            </w:tcBorders>
          </w:tcPr>
          <w:p w14:paraId="1ED961C1">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421" w:type="dxa"/>
            <w:tcBorders>
              <w:tl2br w:val="nil"/>
              <w:tr2bl w:val="nil"/>
            </w:tcBorders>
          </w:tcPr>
          <w:p w14:paraId="5DB43149">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421" w:type="dxa"/>
            <w:tcBorders>
              <w:tl2br w:val="nil"/>
              <w:tr2bl w:val="nil"/>
            </w:tcBorders>
          </w:tcPr>
          <w:p w14:paraId="77A895F9">
            <w:pPr>
              <w:rPr>
                <w:rFonts w:hint="eastAsia" w:ascii="宋体" w:hAnsi="宋体" w:eastAsia="宋体" w:cs="宋体"/>
                <w:sz w:val="21"/>
                <w:szCs w:val="21"/>
              </w:rPr>
            </w:pPr>
            <w:r>
              <w:rPr>
                <w:rFonts w:hint="eastAsia" w:ascii="宋体" w:hAnsi="宋体" w:eastAsia="宋体" w:cs="宋体"/>
                <w:sz w:val="21"/>
                <w:szCs w:val="21"/>
              </w:rPr>
              <w:t xml:space="preserve"> - </w:t>
            </w:r>
          </w:p>
        </w:tc>
      </w:tr>
      <w:tr w14:paraId="6BFEFE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l2br w:val="nil"/>
              <w:tr2bl w:val="nil"/>
            </w:tcBorders>
          </w:tcPr>
          <w:p w14:paraId="7B69298B">
            <w:pPr>
              <w:rPr>
                <w:rFonts w:hint="eastAsia" w:ascii="宋体" w:hAnsi="宋体" w:eastAsia="宋体" w:cs="宋体"/>
                <w:sz w:val="21"/>
                <w:szCs w:val="21"/>
              </w:rPr>
            </w:pPr>
            <w:r>
              <w:rPr>
                <w:rFonts w:hint="eastAsia" w:ascii="宋体" w:hAnsi="宋体" w:eastAsia="宋体" w:cs="宋体"/>
                <w:sz w:val="21"/>
                <w:szCs w:val="21"/>
              </w:rPr>
              <w:t xml:space="preserve">总体 </w:t>
            </w:r>
          </w:p>
        </w:tc>
        <w:tc>
          <w:tcPr>
            <w:tcW w:w="1420" w:type="dxa"/>
            <w:tcBorders>
              <w:tl2br w:val="nil"/>
              <w:tr2bl w:val="nil"/>
            </w:tcBorders>
          </w:tcPr>
          <w:p w14:paraId="40847EC6">
            <w:pPr>
              <w:rPr>
                <w:rFonts w:hint="eastAsia" w:ascii="宋体" w:hAnsi="宋体" w:eastAsia="宋体" w:cs="宋体"/>
                <w:sz w:val="21"/>
                <w:szCs w:val="21"/>
              </w:rPr>
            </w:pPr>
            <w:r>
              <w:rPr>
                <w:rFonts w:hint="eastAsia" w:ascii="宋体" w:hAnsi="宋体" w:eastAsia="宋体" w:cs="宋体"/>
                <w:sz w:val="21"/>
                <w:szCs w:val="21"/>
              </w:rPr>
              <w:t xml:space="preserve"> 31 </w:t>
            </w:r>
          </w:p>
        </w:tc>
        <w:tc>
          <w:tcPr>
            <w:tcW w:w="1420" w:type="dxa"/>
            <w:tcBorders>
              <w:tl2br w:val="nil"/>
              <w:tr2bl w:val="nil"/>
            </w:tcBorders>
          </w:tcPr>
          <w:p w14:paraId="5802211C">
            <w:pPr>
              <w:rPr>
                <w:rFonts w:hint="eastAsia" w:ascii="宋体" w:hAnsi="宋体" w:eastAsia="宋体" w:cs="宋体"/>
                <w:sz w:val="21"/>
                <w:szCs w:val="21"/>
              </w:rPr>
            </w:pPr>
            <w:r>
              <w:rPr>
                <w:rFonts w:hint="eastAsia" w:ascii="宋体" w:hAnsi="宋体" w:eastAsia="宋体" w:cs="宋体"/>
                <w:sz w:val="21"/>
                <w:szCs w:val="21"/>
              </w:rPr>
              <w:t xml:space="preserve"> 3.55±0.83 </w:t>
            </w:r>
          </w:p>
        </w:tc>
        <w:tc>
          <w:tcPr>
            <w:tcW w:w="1420" w:type="dxa"/>
            <w:tcBorders>
              <w:tl2br w:val="nil"/>
              <w:tr2bl w:val="nil"/>
            </w:tcBorders>
          </w:tcPr>
          <w:p w14:paraId="566BFBFB">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421" w:type="dxa"/>
            <w:tcBorders>
              <w:tl2br w:val="nil"/>
              <w:tr2bl w:val="nil"/>
            </w:tcBorders>
          </w:tcPr>
          <w:p w14:paraId="10AFED83">
            <w:pPr>
              <w:rPr>
                <w:rFonts w:hint="eastAsia" w:ascii="宋体" w:hAnsi="宋体" w:eastAsia="宋体" w:cs="宋体"/>
                <w:sz w:val="21"/>
                <w:szCs w:val="21"/>
              </w:rPr>
            </w:pPr>
            <w:r>
              <w:rPr>
                <w:rFonts w:hint="eastAsia" w:ascii="宋体" w:hAnsi="宋体" w:eastAsia="宋体" w:cs="宋体"/>
                <w:sz w:val="21"/>
                <w:szCs w:val="21"/>
              </w:rPr>
              <w:t xml:space="preserve"> - </w:t>
            </w:r>
          </w:p>
        </w:tc>
        <w:tc>
          <w:tcPr>
            <w:tcW w:w="1421" w:type="dxa"/>
            <w:tcBorders>
              <w:tl2br w:val="nil"/>
              <w:tr2bl w:val="nil"/>
            </w:tcBorders>
          </w:tcPr>
          <w:p w14:paraId="3BB56E71">
            <w:pPr>
              <w:rPr>
                <w:rFonts w:hint="eastAsia" w:ascii="宋体" w:hAnsi="宋体" w:eastAsia="宋体" w:cs="宋体"/>
                <w:sz w:val="21"/>
                <w:szCs w:val="21"/>
              </w:rPr>
            </w:pPr>
            <w:r>
              <w:rPr>
                <w:rFonts w:hint="eastAsia" w:ascii="宋体" w:hAnsi="宋体" w:eastAsia="宋体" w:cs="宋体"/>
                <w:sz w:val="21"/>
                <w:szCs w:val="21"/>
              </w:rPr>
              <w:t xml:space="preserve"> - </w:t>
            </w:r>
          </w:p>
        </w:tc>
      </w:tr>
    </w:tbl>
    <w:p w14:paraId="0F95C085">
      <w:pPr>
        <w:rPr>
          <w:rFonts w:hint="eastAsia"/>
          <w:sz w:val="24"/>
          <w:szCs w:val="24"/>
        </w:rPr>
      </w:pPr>
    </w:p>
    <w:p w14:paraId="60A9EE64">
      <w:pPr>
        <w:rPr>
          <w:rFonts w:hint="eastAsia"/>
          <w:sz w:val="24"/>
          <w:szCs w:val="24"/>
        </w:rPr>
      </w:pPr>
    </w:p>
    <w:p w14:paraId="7545E871">
      <w:pPr>
        <w:rPr>
          <w:rFonts w:hint="eastAsia" w:eastAsiaTheme="minorEastAsia"/>
          <w:sz w:val="24"/>
          <w:szCs w:val="24"/>
          <w:lang w:eastAsia="zh-CN"/>
        </w:rPr>
      </w:pPr>
      <w:r>
        <w:rPr>
          <w:rFonts w:hint="eastAsia"/>
          <w:sz w:val="24"/>
          <w:szCs w:val="24"/>
        </w:rPr>
        <w:t>结论C15：教育水平与注意力维持能力相关，高教育水平群体可能更适合需要持续专注的游戏类型。</w:t>
      </w:r>
    </w:p>
    <w:p w14:paraId="25870AC6">
      <w:pPr>
        <w:outlineLvl w:val="1"/>
        <w:rPr>
          <w:rFonts w:hint="eastAsia"/>
          <w:b/>
          <w:bCs/>
          <w:sz w:val="28"/>
          <w:szCs w:val="28"/>
        </w:rPr>
      </w:pPr>
      <w:bookmarkStart w:id="36" w:name="_Toc21037"/>
      <w:r>
        <w:rPr>
          <w:rFonts w:hint="eastAsia"/>
          <w:b/>
          <w:bCs/>
          <w:sz w:val="28"/>
          <w:szCs w:val="28"/>
        </w:rPr>
        <w:t>3.8 相关分析</w:t>
      </w:r>
      <w:bookmarkEnd w:id="36"/>
    </w:p>
    <w:p w14:paraId="449E1A9F">
      <w:pPr>
        <w:outlineLvl w:val="2"/>
        <w:rPr>
          <w:rFonts w:hint="eastAsia" w:eastAsiaTheme="minorEastAsia"/>
          <w:b/>
          <w:bCs/>
          <w:sz w:val="24"/>
          <w:szCs w:val="24"/>
          <w:lang w:eastAsia="zh-CN"/>
        </w:rPr>
      </w:pPr>
      <w:bookmarkStart w:id="37" w:name="_Toc5702"/>
      <w:r>
        <w:rPr>
          <w:rFonts w:hint="eastAsia"/>
          <w:b/>
          <w:bCs/>
          <w:sz w:val="24"/>
          <w:szCs w:val="24"/>
        </w:rPr>
        <w:t>3.8.1 数字能力与游戏接受度相关性</w:t>
      </w:r>
      <w:bookmarkEnd w:id="37"/>
    </w:p>
    <w:p w14:paraId="45620DC5">
      <w:pPr>
        <w:rPr>
          <w:rFonts w:hint="eastAsia"/>
          <w:sz w:val="24"/>
          <w:szCs w:val="24"/>
        </w:rPr>
      </w:pPr>
      <w:r>
        <w:rPr>
          <w:rFonts w:hint="eastAsia"/>
          <w:sz w:val="24"/>
          <w:szCs w:val="24"/>
        </w:rPr>
        <w:t>Pearson相关分析显示，智能手机使用熟练度与五款游戏尝试意愿平均分呈显著正相关（r=0.412，p=0.021）。数字能力越强的用户，对新游戏的接受意愿越高。</w:t>
      </w:r>
    </w:p>
    <w:p w14:paraId="3C54511A">
      <w:pPr>
        <w:rPr>
          <w:rFonts w:hint="eastAsia"/>
          <w:sz w:val="24"/>
          <w:szCs w:val="24"/>
        </w:rPr>
      </w:pPr>
    </w:p>
    <w:p w14:paraId="0C14B395">
      <w:pPr>
        <w:rPr>
          <w:rFonts w:hint="eastAsia" w:eastAsiaTheme="minorEastAsia"/>
          <w:sz w:val="24"/>
          <w:szCs w:val="24"/>
          <w:lang w:eastAsia="zh-CN"/>
        </w:rPr>
      </w:pPr>
      <w:r>
        <w:rPr>
          <w:rFonts w:hint="eastAsia"/>
          <w:sz w:val="24"/>
          <w:szCs w:val="24"/>
        </w:rPr>
        <w:t>结论C16：数字能力是影响游戏接受度的关键因素，提升老年用户数字素养有助于增强其对新游戏的尝试意愿。</w:t>
      </w:r>
    </w:p>
    <w:p w14:paraId="7E98F397">
      <w:pPr>
        <w:rPr>
          <w:rFonts w:hint="eastAsia"/>
          <w:sz w:val="24"/>
          <w:szCs w:val="24"/>
        </w:rPr>
      </w:pPr>
    </w:p>
    <w:p w14:paraId="4AD589C1">
      <w:pPr>
        <w:outlineLvl w:val="2"/>
        <w:rPr>
          <w:rFonts w:hint="eastAsia" w:eastAsiaTheme="minorEastAsia"/>
          <w:b/>
          <w:bCs/>
          <w:sz w:val="24"/>
          <w:szCs w:val="24"/>
          <w:lang w:eastAsia="zh-CN"/>
        </w:rPr>
      </w:pPr>
      <w:bookmarkStart w:id="38" w:name="_Toc30655"/>
      <w:r>
        <w:rPr>
          <w:rFonts w:hint="eastAsia"/>
          <w:b/>
          <w:bCs/>
          <w:sz w:val="24"/>
          <w:szCs w:val="24"/>
        </w:rPr>
        <w:t>3.8.2 注意力与游戏难度评价相关性</w:t>
      </w:r>
      <w:bookmarkEnd w:id="38"/>
    </w:p>
    <w:p w14:paraId="4EA33F36">
      <w:pPr>
        <w:rPr>
          <w:rFonts w:hint="eastAsia"/>
          <w:sz w:val="24"/>
          <w:szCs w:val="24"/>
        </w:rPr>
      </w:pPr>
      <w:r>
        <w:rPr>
          <w:rFonts w:hint="eastAsia"/>
          <w:sz w:val="24"/>
          <w:szCs w:val="24"/>
        </w:rPr>
        <w:t>在总样本中，注意力自评与游戏难度评价呈负相关趋势但不显著（r=-0.287，p=0.118）。但在76岁以上群体中，两者呈显著负相关（r=-0.532，p=0.043）。</w:t>
      </w:r>
    </w:p>
    <w:p w14:paraId="04A51E2B">
      <w:pPr>
        <w:rPr>
          <w:rFonts w:hint="eastAsia"/>
          <w:sz w:val="24"/>
          <w:szCs w:val="24"/>
        </w:rPr>
      </w:pPr>
    </w:p>
    <w:p w14:paraId="408F3F9D">
      <w:pPr>
        <w:rPr>
          <w:rFonts w:hint="eastAsia" w:eastAsiaTheme="minorEastAsia"/>
          <w:sz w:val="24"/>
          <w:szCs w:val="24"/>
          <w:lang w:eastAsia="zh-CN"/>
        </w:rPr>
      </w:pPr>
      <w:r>
        <w:rPr>
          <w:rFonts w:hint="eastAsia"/>
          <w:sz w:val="24"/>
          <w:szCs w:val="24"/>
        </w:rPr>
        <w:t>结论C17：对于高龄用户，注意力限制是影响游戏难度感知的重要因素，设计应考虑降低认知负荷。</w:t>
      </w:r>
    </w:p>
    <w:p w14:paraId="6790AA5A">
      <w:pPr>
        <w:outlineLvl w:val="1"/>
        <w:rPr>
          <w:rFonts w:hint="eastAsia"/>
          <w:b/>
          <w:bCs/>
          <w:sz w:val="28"/>
          <w:szCs w:val="28"/>
        </w:rPr>
      </w:pPr>
      <w:bookmarkStart w:id="39" w:name="_Toc27763"/>
      <w:r>
        <w:rPr>
          <w:rFonts w:hint="eastAsia"/>
          <w:b/>
          <w:bCs/>
          <w:sz w:val="28"/>
          <w:szCs w:val="28"/>
        </w:rPr>
        <w:t>3.9 多元统计分析</w:t>
      </w:r>
      <w:bookmarkEnd w:id="39"/>
    </w:p>
    <w:p w14:paraId="6FAC7231">
      <w:pPr>
        <w:outlineLvl w:val="2"/>
        <w:rPr>
          <w:rFonts w:hint="eastAsia" w:eastAsiaTheme="minorEastAsia"/>
          <w:b/>
          <w:bCs/>
          <w:sz w:val="24"/>
          <w:szCs w:val="24"/>
          <w:lang w:eastAsia="zh-CN"/>
        </w:rPr>
      </w:pPr>
      <w:bookmarkStart w:id="40" w:name="_Toc7085"/>
      <w:r>
        <w:rPr>
          <w:rFonts w:hint="eastAsia"/>
          <w:b/>
          <w:bCs/>
          <w:sz w:val="24"/>
          <w:szCs w:val="24"/>
        </w:rPr>
        <w:t>3.9.1 游戏偏好影响因素回归分析</w:t>
      </w:r>
      <w:bookmarkEnd w:id="40"/>
    </w:p>
    <w:p w14:paraId="3B04DB8F">
      <w:pPr>
        <w:rPr>
          <w:rFonts w:hint="eastAsia"/>
          <w:sz w:val="24"/>
          <w:szCs w:val="24"/>
        </w:rPr>
      </w:pPr>
      <w:r>
        <w:rPr>
          <w:rFonts w:hint="eastAsia"/>
          <w:sz w:val="24"/>
          <w:szCs w:val="24"/>
        </w:rPr>
        <w:t>以游戏尝试意愿为因变量，年龄、性别、教育水平、数字能力为自变量进行多元回归分析。结果显示数字能力（β=0.386，p=0.008）和年龄（β=-0.297，p=0.042）是显著预测因子，模型调整R²=0.324。</w:t>
      </w:r>
    </w:p>
    <w:p w14:paraId="702A2B7E">
      <w:pPr>
        <w:rPr>
          <w:rFonts w:hint="eastAsia"/>
          <w:sz w:val="24"/>
          <w:szCs w:val="24"/>
        </w:rPr>
      </w:pPr>
    </w:p>
    <w:p w14:paraId="5950EE15">
      <w:pPr>
        <w:rPr>
          <w:rFonts w:hint="eastAsia" w:eastAsiaTheme="minorEastAsia"/>
          <w:sz w:val="24"/>
          <w:szCs w:val="24"/>
          <w:lang w:eastAsia="zh-CN"/>
        </w:rPr>
      </w:pPr>
      <w:r>
        <w:rPr>
          <w:rFonts w:hint="eastAsia"/>
          <w:sz w:val="24"/>
          <w:szCs w:val="24"/>
        </w:rPr>
        <w:t>结论C18：数字能力和年龄是预测游戏接受度的关键因素，设计应优先考虑这两个变量的影响。</w:t>
      </w:r>
    </w:p>
    <w:p w14:paraId="38EB0C28">
      <w:pPr>
        <w:rPr>
          <w:rFonts w:hint="eastAsia"/>
          <w:sz w:val="24"/>
          <w:szCs w:val="24"/>
        </w:rPr>
      </w:pPr>
    </w:p>
    <w:p w14:paraId="3F3CFBDE">
      <w:pPr>
        <w:outlineLvl w:val="2"/>
        <w:rPr>
          <w:rFonts w:hint="eastAsia" w:eastAsiaTheme="minorEastAsia"/>
          <w:b/>
          <w:bCs/>
          <w:sz w:val="24"/>
          <w:szCs w:val="24"/>
          <w:lang w:eastAsia="zh-CN"/>
        </w:rPr>
      </w:pPr>
      <w:bookmarkStart w:id="41" w:name="_Toc7152"/>
      <w:r>
        <w:rPr>
          <w:rFonts w:hint="eastAsia"/>
          <w:b/>
          <w:bCs/>
          <w:sz w:val="24"/>
          <w:szCs w:val="24"/>
        </w:rPr>
        <w:t>3.9.2 用户群体聚类分析</w:t>
      </w:r>
      <w:bookmarkEnd w:id="41"/>
    </w:p>
    <w:p w14:paraId="0DE90AE0">
      <w:pPr>
        <w:rPr>
          <w:rFonts w:hint="eastAsia"/>
          <w:sz w:val="24"/>
          <w:szCs w:val="24"/>
        </w:rPr>
      </w:pPr>
      <w:r>
        <w:rPr>
          <w:rFonts w:hint="eastAsia"/>
          <w:sz w:val="24"/>
          <w:szCs w:val="24"/>
        </w:rPr>
        <w:t>通过K-means聚类分析识别出三个典型用户群体：数字原生型（29%）、传统适应型（42%）、技术回避型（29%）。三类群体在年龄、教育水平、数字能力和游戏偏好上均存在显著差异。</w:t>
      </w:r>
    </w:p>
    <w:p w14:paraId="068B19C9">
      <w:pPr>
        <w:rPr>
          <w:rFonts w:hint="eastAsia"/>
          <w:sz w:val="24"/>
          <w:szCs w:val="24"/>
        </w:rPr>
      </w:pPr>
    </w:p>
    <w:p w14:paraId="199F9831">
      <w:pPr>
        <w:rPr>
          <w:rFonts w:hint="eastAsia" w:eastAsiaTheme="minorEastAsia"/>
          <w:sz w:val="24"/>
          <w:szCs w:val="24"/>
          <w:lang w:eastAsia="zh-CN"/>
        </w:rPr>
      </w:pPr>
      <w:r>
        <w:rPr>
          <w:rFonts w:hint="eastAsia"/>
          <w:sz w:val="24"/>
          <w:szCs w:val="24"/>
        </w:rPr>
        <w:t>结论C19：老年用户可划分为三个具有显著特征差异的群体，需要针对不同群体制定差异化的设计策略。</w:t>
      </w:r>
    </w:p>
    <w:p w14:paraId="066A2ACA">
      <w:pPr>
        <w:outlineLvl w:val="1"/>
        <w:rPr>
          <w:rFonts w:hint="eastAsia"/>
          <w:b/>
          <w:bCs/>
          <w:sz w:val="28"/>
          <w:szCs w:val="28"/>
        </w:rPr>
      </w:pPr>
      <w:bookmarkStart w:id="42" w:name="_Toc3970"/>
      <w:r>
        <w:rPr>
          <w:rFonts w:hint="eastAsia"/>
          <w:b/>
          <w:bCs/>
          <w:sz w:val="28"/>
          <w:szCs w:val="28"/>
        </w:rPr>
        <w:t>3.10 综合分析结论</w:t>
      </w:r>
      <w:bookmarkEnd w:id="42"/>
    </w:p>
    <w:p w14:paraId="3711A908">
      <w:pPr>
        <w:rPr>
          <w:rFonts w:hint="eastAsia"/>
          <w:sz w:val="24"/>
          <w:szCs w:val="24"/>
        </w:rPr>
      </w:pPr>
      <w:r>
        <w:rPr>
          <w:rFonts w:hint="eastAsia"/>
          <w:sz w:val="24"/>
          <w:szCs w:val="24"/>
        </w:rPr>
        <w:t>基于上述分析，得出以下核心结论：</w:t>
      </w:r>
    </w:p>
    <w:p w14:paraId="2BC7B343">
      <w:pPr>
        <w:rPr>
          <w:rFonts w:hint="eastAsia"/>
          <w:sz w:val="24"/>
          <w:szCs w:val="24"/>
        </w:rPr>
      </w:pPr>
    </w:p>
    <w:p w14:paraId="74D5C9A9">
      <w:pPr>
        <w:rPr>
          <w:rFonts w:hint="eastAsia" w:eastAsiaTheme="minorEastAsia"/>
          <w:sz w:val="24"/>
          <w:szCs w:val="24"/>
          <w:lang w:eastAsia="zh-CN"/>
        </w:rPr>
      </w:pPr>
      <w:r>
        <w:rPr>
          <w:rFonts w:hint="eastAsia"/>
          <w:sz w:val="24"/>
          <w:szCs w:val="24"/>
        </w:rPr>
        <w:t>结论C20：老年用户在游戏偏好、数字能力和设计评价上存在显著的群体异质性，单一设计策略难以满足所有用户需求。</w:t>
      </w:r>
    </w:p>
    <w:p w14:paraId="5DDFEE17">
      <w:pPr>
        <w:rPr>
          <w:rFonts w:hint="eastAsia" w:eastAsiaTheme="minorEastAsia"/>
          <w:sz w:val="24"/>
          <w:szCs w:val="24"/>
          <w:lang w:eastAsia="zh-CN"/>
        </w:rPr>
      </w:pPr>
      <w:r>
        <w:rPr>
          <w:rFonts w:hint="eastAsia"/>
          <w:sz w:val="24"/>
          <w:szCs w:val="24"/>
        </w:rPr>
        <w:t>结论C21：界面设计复杂度存在明确的阈值效应，简洁明了的设计普遍更受欢迎，复杂界面接受度显著降低。</w:t>
      </w:r>
    </w:p>
    <w:p w14:paraId="770D4E39">
      <w:pPr>
        <w:rPr>
          <w:rFonts w:hint="eastAsia" w:eastAsiaTheme="minorEastAsia"/>
          <w:sz w:val="24"/>
          <w:szCs w:val="24"/>
          <w:lang w:eastAsia="zh-CN"/>
        </w:rPr>
      </w:pPr>
      <w:r>
        <w:rPr>
          <w:rFonts w:hint="eastAsia"/>
          <w:sz w:val="24"/>
          <w:szCs w:val="24"/>
        </w:rPr>
        <w:t>结论C22：数字能力是影响游戏接受度的关键调节变量，低数字能力用户需要特别简化的交互设计。</w:t>
      </w:r>
    </w:p>
    <w:p w14:paraId="1E7574F4">
      <w:pPr>
        <w:rPr>
          <w:rFonts w:hint="eastAsia" w:eastAsiaTheme="minorEastAsia"/>
          <w:sz w:val="24"/>
          <w:szCs w:val="24"/>
          <w:lang w:eastAsia="zh-CN"/>
        </w:rPr>
      </w:pPr>
      <w:r>
        <w:rPr>
          <w:rFonts w:hint="eastAsia"/>
          <w:sz w:val="24"/>
          <w:szCs w:val="24"/>
        </w:rPr>
        <w:t>结论C23：社交功能设计需要考虑性别和个体差异，提供从单人体验到轻度社交的梯度选择。</w:t>
      </w:r>
    </w:p>
    <w:p w14:paraId="3CCAB1EE">
      <w:pPr>
        <w:rPr>
          <w:rFonts w:hint="eastAsia" w:eastAsiaTheme="minorEastAsia"/>
          <w:sz w:val="24"/>
          <w:szCs w:val="24"/>
          <w:lang w:eastAsia="zh-CN"/>
        </w:rPr>
      </w:pPr>
      <w:r>
        <w:rPr>
          <w:rFonts w:hint="eastAsia"/>
          <w:sz w:val="24"/>
          <w:szCs w:val="24"/>
        </w:rPr>
        <w:t>结论C24：本研究建立的适老化游戏设计评价体系具有较好的信效度，可为后续相关研究提供方法学参考。</w:t>
      </w:r>
    </w:p>
    <w:p w14:paraId="6F2426B3">
      <w:pPr>
        <w:rPr>
          <w:rFonts w:hint="eastAsia" w:eastAsiaTheme="minorEastAsia"/>
          <w:sz w:val="24"/>
          <w:szCs w:val="24"/>
          <w:lang w:eastAsia="zh-CN"/>
        </w:rPr>
      </w:pPr>
      <w:r>
        <w:rPr>
          <w:rFonts w:hint="eastAsia"/>
          <w:sz w:val="24"/>
          <w:szCs w:val="24"/>
        </w:rPr>
        <w:t>结论C25：基于用户特征的设计策略能够有效提升老年用户的游戏接受度和使用体验，具有重要的实践应用价值。</w:t>
      </w:r>
    </w:p>
    <w:p w14:paraId="1E8B450A">
      <w:pPr>
        <w:rPr>
          <w:rFonts w:hint="eastAsia"/>
          <w:sz w:val="24"/>
          <w:szCs w:val="24"/>
          <w:lang w:eastAsia="zh-CN"/>
        </w:rPr>
      </w:pPr>
      <w:r>
        <w:rPr>
          <w:rFonts w:hint="eastAsia"/>
          <w:sz w:val="24"/>
          <w:szCs w:val="24"/>
        </w:rPr>
        <w:t>结论C26：基于多元统计分析和用户群体细分，本研究构建了以“认知减负、操作包容、情感适配、社交弹性”为核心的适老化游戏设计框架。该框架强调：通过极简化信息架构降低认知负荷，通过容错性交互设计保障操作安全，通过怀旧元素与温和美学建立情感连接，通过梯度化社交选项满足差异化需求。实践证明，遵循此框架的设计能显著提升老年用户的接受度与使用满意度，为适老化数字产品开发提供了系统的理论指导与实践路径。</w:t>
      </w:r>
    </w:p>
    <w:p w14:paraId="2FE1E506">
      <w:pPr>
        <w:pStyle w:val="2"/>
        <w:bidi w:val="0"/>
        <w:rPr>
          <w:rFonts w:hint="eastAsia"/>
          <w:lang w:eastAsia="zh-CN"/>
        </w:rPr>
      </w:pPr>
      <w:bookmarkStart w:id="43" w:name="_Toc15659"/>
      <w:r>
        <w:rPr>
          <w:rFonts w:hint="eastAsia"/>
          <w:lang w:eastAsia="zh-CN"/>
        </w:rPr>
        <w:t>设计策略框架构建</w:t>
      </w:r>
      <w:bookmarkEnd w:id="43"/>
    </w:p>
    <w:p w14:paraId="77A18479">
      <w:pPr>
        <w:rPr>
          <w:rFonts w:hint="eastAsia"/>
          <w:sz w:val="24"/>
          <w:szCs w:val="24"/>
          <w:lang w:eastAsia="zh-CN"/>
        </w:rPr>
      </w:pPr>
      <w:r>
        <w:rPr>
          <w:rFonts w:hint="eastAsia"/>
          <w:sz w:val="24"/>
          <w:szCs w:val="24"/>
          <w:lang w:eastAsia="zh-CN"/>
        </w:rPr>
        <w:t>本研究通过问卷调研与数据分析，揭示了老年用户在认知、操作、情感与社交四个层面的核心需求与痛点。据此，我们推导并构建了一个由四大原则支撑的适老化游戏设计框架。</w:t>
      </w:r>
    </w:p>
    <w:p w14:paraId="2746B7AA">
      <w:pPr>
        <w:rPr>
          <w:rFonts w:hint="eastAsia"/>
          <w:sz w:val="24"/>
          <w:szCs w:val="24"/>
          <w:lang w:eastAsia="zh-CN"/>
        </w:rPr>
      </w:pPr>
    </w:p>
    <w:p w14:paraId="5EB0237E">
      <w:pPr>
        <w:outlineLvl w:val="1"/>
        <w:rPr>
          <w:rFonts w:hint="eastAsia"/>
          <w:sz w:val="24"/>
          <w:szCs w:val="24"/>
          <w:lang w:eastAsia="zh-CN"/>
        </w:rPr>
      </w:pPr>
      <w:bookmarkStart w:id="44" w:name="_Toc10944"/>
      <w:r>
        <w:rPr>
          <w:rFonts w:hint="eastAsia"/>
          <w:sz w:val="24"/>
          <w:szCs w:val="24"/>
          <w:lang w:eastAsia="zh-CN"/>
        </w:rPr>
        <w:t>1.认知减负原则：</w:t>
      </w:r>
      <w:bookmarkEnd w:id="44"/>
    </w:p>
    <w:p w14:paraId="5BEE4D52">
      <w:pPr>
        <w:rPr>
          <w:rFonts w:hint="eastAsia"/>
          <w:sz w:val="24"/>
          <w:szCs w:val="24"/>
          <w:lang w:eastAsia="zh-CN"/>
        </w:rPr>
      </w:pPr>
      <w:r>
        <w:rPr>
          <w:rFonts w:hint="eastAsia"/>
          <w:sz w:val="24"/>
          <w:szCs w:val="24"/>
          <w:lang w:eastAsia="zh-CN"/>
        </w:rPr>
        <w:t xml:space="preserve">       推导依据： 结论C8、C9、C17、C20、C21均指出，界面复杂度和信息过载是影响老年用户体验的关键负面因素。老年用户普遍存在认知功能随年龄下降的趋势（见1.3.1），表现为处理速度、执行能力和记忆力衰退。</w:t>
      </w:r>
    </w:p>
    <w:p w14:paraId="7A657750">
      <w:pPr>
        <w:outlineLvl w:val="1"/>
        <w:rPr>
          <w:rFonts w:hint="eastAsia"/>
          <w:sz w:val="24"/>
          <w:szCs w:val="24"/>
          <w:lang w:eastAsia="zh-CN"/>
        </w:rPr>
      </w:pPr>
      <w:bookmarkStart w:id="45" w:name="_Toc3908"/>
      <w:r>
        <w:rPr>
          <w:rFonts w:hint="eastAsia"/>
          <w:sz w:val="24"/>
          <w:szCs w:val="24"/>
          <w:lang w:eastAsia="zh-CN"/>
        </w:rPr>
        <w:t>2.操作包容原则：</w:t>
      </w:r>
      <w:bookmarkEnd w:id="45"/>
    </w:p>
    <w:p w14:paraId="1D6B225D">
      <w:pPr>
        <w:rPr>
          <w:rFonts w:hint="eastAsia"/>
          <w:sz w:val="24"/>
          <w:szCs w:val="24"/>
          <w:lang w:eastAsia="zh-CN"/>
        </w:rPr>
      </w:pPr>
      <w:r>
        <w:rPr>
          <w:rFonts w:hint="eastAsia"/>
          <w:sz w:val="24"/>
          <w:szCs w:val="24"/>
          <w:lang w:eastAsia="zh-CN"/>
        </w:rPr>
        <w:t xml:space="preserve">       推导依据： 结论C4、C10、C12、C22强调了数字能力和年龄对操作熟练度的显著影响，以及低数字能力用户对简化交互的迫切需求。同时，1.3.1中提及的手部灵活性下降要求交互设计必须容错。</w:t>
      </w:r>
    </w:p>
    <w:p w14:paraId="652C67A9">
      <w:pPr>
        <w:outlineLvl w:val="1"/>
        <w:rPr>
          <w:rFonts w:hint="eastAsia"/>
          <w:sz w:val="24"/>
          <w:szCs w:val="24"/>
          <w:lang w:eastAsia="zh-CN"/>
        </w:rPr>
      </w:pPr>
      <w:bookmarkStart w:id="46" w:name="_Toc26402"/>
      <w:r>
        <w:rPr>
          <w:rFonts w:hint="eastAsia"/>
          <w:sz w:val="24"/>
          <w:szCs w:val="24"/>
          <w:lang w:eastAsia="zh-CN"/>
        </w:rPr>
        <w:t>3.情感适配原则：</w:t>
      </w:r>
      <w:bookmarkEnd w:id="46"/>
    </w:p>
    <w:p w14:paraId="587BCA81">
      <w:pPr>
        <w:rPr>
          <w:rFonts w:hint="eastAsia"/>
          <w:sz w:val="24"/>
          <w:szCs w:val="24"/>
          <w:lang w:eastAsia="zh-CN"/>
        </w:rPr>
      </w:pPr>
      <w:r>
        <w:rPr>
          <w:rFonts w:hint="eastAsia"/>
          <w:sz w:val="24"/>
          <w:szCs w:val="24"/>
          <w:lang w:eastAsia="zh-CN"/>
        </w:rPr>
        <w:t xml:space="preserve">       推导依据： 结论C5、C13以及1.3.1中老年人对“意义与健康”的追求、对文化娱乐的需求，揭示了情感连接的重要性。美观度（结论C8）和视觉清晰度是引发积极情感反应的关键。</w:t>
      </w:r>
    </w:p>
    <w:p w14:paraId="5B28AF62">
      <w:pPr>
        <w:pStyle w:val="2"/>
        <w:bidi w:val="0"/>
        <w:rPr>
          <w:rFonts w:hint="eastAsia"/>
          <w:lang w:eastAsia="zh-CN"/>
        </w:rPr>
      </w:pPr>
      <w:bookmarkStart w:id="47" w:name="_Toc26549"/>
      <w:r>
        <w:rPr>
          <w:rFonts w:hint="eastAsia"/>
          <w:lang w:eastAsia="zh-CN"/>
        </w:rPr>
        <w:t>设计创新应用与原型构想</w:t>
      </w:r>
      <w:bookmarkEnd w:id="47"/>
    </w:p>
    <w:p w14:paraId="6CFA35C0">
      <w:pPr>
        <w:outlineLvl w:val="1"/>
        <w:rPr>
          <w:rFonts w:hint="eastAsia"/>
          <w:b/>
          <w:bCs/>
          <w:sz w:val="28"/>
          <w:szCs w:val="28"/>
          <w:lang w:eastAsia="zh-CN"/>
        </w:rPr>
      </w:pPr>
      <w:bookmarkStart w:id="48" w:name="_Toc17444"/>
      <w:r>
        <w:rPr>
          <w:rFonts w:hint="eastAsia"/>
          <w:b/>
          <w:bCs/>
          <w:sz w:val="28"/>
          <w:szCs w:val="28"/>
          <w:lang w:eastAsia="zh-CN"/>
        </w:rPr>
        <w:t>5.1 适老化游戏设计的创新方向</w:t>
      </w:r>
      <w:bookmarkEnd w:id="48"/>
    </w:p>
    <w:p w14:paraId="6E157FF4">
      <w:pPr>
        <w:rPr>
          <w:rFonts w:hint="eastAsia"/>
          <w:sz w:val="24"/>
          <w:szCs w:val="24"/>
          <w:lang w:eastAsia="zh-CN"/>
        </w:rPr>
      </w:pPr>
      <w:r>
        <w:rPr>
          <w:rFonts w:hint="eastAsia"/>
          <w:sz w:val="24"/>
          <w:szCs w:val="24"/>
          <w:lang w:eastAsia="zh-CN"/>
        </w:rPr>
        <w:t>基于前期研究，我们识别出以下几个关键的创新应用方向：</w:t>
      </w:r>
    </w:p>
    <w:p w14:paraId="6B722553">
      <w:pPr>
        <w:outlineLvl w:val="2"/>
        <w:rPr>
          <w:rFonts w:hint="eastAsia"/>
          <w:sz w:val="24"/>
          <w:szCs w:val="24"/>
          <w:lang w:eastAsia="zh-CN"/>
        </w:rPr>
      </w:pPr>
      <w:bookmarkStart w:id="49" w:name="_Toc28757"/>
      <w:r>
        <w:rPr>
          <w:rFonts w:hint="eastAsia"/>
          <w:sz w:val="24"/>
          <w:szCs w:val="24"/>
          <w:lang w:eastAsia="zh-CN"/>
        </w:rPr>
        <w:t>1.  动态难度调节系统：</w:t>
      </w:r>
      <w:bookmarkEnd w:id="49"/>
    </w:p>
    <w:p w14:paraId="6987CC79">
      <w:pPr>
        <w:rPr>
          <w:rFonts w:hint="eastAsia"/>
          <w:sz w:val="24"/>
          <w:szCs w:val="24"/>
          <w:lang w:eastAsia="zh-CN"/>
        </w:rPr>
      </w:pPr>
      <w:r>
        <w:rPr>
          <w:rFonts w:hint="eastAsia"/>
          <w:sz w:val="24"/>
          <w:szCs w:val="24"/>
          <w:lang w:eastAsia="zh-CN"/>
        </w:rPr>
        <w:t xml:space="preserve">       创新点： 游戏内置AI算法，根据用户的实际操作表现（如通关时间、错误次数、求助频率）动态微调后续关卡的难度。这解决了结论C17中高龄用户注意力与难度感知的矛盾，为每位用户提供“心流”体验。</w:t>
      </w:r>
    </w:p>
    <w:p w14:paraId="0384BAD5">
      <w:pPr>
        <w:rPr>
          <w:rFonts w:hint="eastAsia"/>
          <w:sz w:val="24"/>
          <w:szCs w:val="24"/>
          <w:lang w:eastAsia="zh-CN"/>
        </w:rPr>
      </w:pPr>
      <w:r>
        <w:rPr>
          <w:rFonts w:hint="eastAsia"/>
          <w:sz w:val="24"/>
          <w:szCs w:val="24"/>
          <w:lang w:eastAsia="zh-CN"/>
        </w:rPr>
        <w:t xml:space="preserve">       应用价值： 避免因固定难度曲线导致的“过难而挫败”或“过易而无聊”，实现个性化挑战，提升长期游玩的粘性。</w:t>
      </w:r>
    </w:p>
    <w:p w14:paraId="3D763AF2">
      <w:pPr>
        <w:outlineLvl w:val="2"/>
        <w:rPr>
          <w:rFonts w:hint="eastAsia"/>
          <w:sz w:val="24"/>
          <w:szCs w:val="24"/>
          <w:lang w:eastAsia="zh-CN"/>
        </w:rPr>
      </w:pPr>
      <w:bookmarkStart w:id="50" w:name="_Toc21370"/>
      <w:r>
        <w:rPr>
          <w:rFonts w:hint="eastAsia"/>
          <w:sz w:val="24"/>
          <w:szCs w:val="24"/>
          <w:lang w:eastAsia="zh-CN"/>
        </w:rPr>
        <w:t>2.  多模态交互融合：</w:t>
      </w:r>
      <w:bookmarkEnd w:id="50"/>
    </w:p>
    <w:p w14:paraId="615FF786">
      <w:pPr>
        <w:rPr>
          <w:rFonts w:hint="eastAsia"/>
          <w:sz w:val="24"/>
          <w:szCs w:val="24"/>
          <w:lang w:eastAsia="zh-CN"/>
        </w:rPr>
      </w:pPr>
      <w:r>
        <w:rPr>
          <w:rFonts w:hint="eastAsia"/>
          <w:sz w:val="24"/>
          <w:szCs w:val="24"/>
          <w:lang w:eastAsia="zh-CN"/>
        </w:rPr>
        <w:t xml:space="preserve">       创新点： 在触屏主导的基础上，融入清晰的语音提示和反馈（弥补视力不足，见1.3.1），并考虑对手机陀螺仪等传感器的简单应用（如通过缓慢倾斜手机来控制平衡类游戏）。</w:t>
      </w:r>
    </w:p>
    <w:p w14:paraId="0FA5B92C">
      <w:pPr>
        <w:rPr>
          <w:rFonts w:hint="eastAsia"/>
          <w:sz w:val="24"/>
          <w:szCs w:val="24"/>
          <w:lang w:eastAsia="zh-CN"/>
        </w:rPr>
      </w:pPr>
      <w:r>
        <w:rPr>
          <w:rFonts w:hint="eastAsia"/>
          <w:sz w:val="24"/>
          <w:szCs w:val="24"/>
          <w:lang w:eastAsia="zh-CN"/>
        </w:rPr>
        <w:t xml:space="preserve">       应用价值： 提供冗余的交互通道，降低对单一感官或操作方式的依赖，增强操作的包容性与趣味性。</w:t>
      </w:r>
    </w:p>
    <w:p w14:paraId="24997F59">
      <w:pPr>
        <w:outlineLvl w:val="1"/>
        <w:rPr>
          <w:rFonts w:hint="eastAsia"/>
          <w:b/>
          <w:bCs/>
          <w:sz w:val="28"/>
          <w:szCs w:val="28"/>
          <w:lang w:eastAsia="zh-CN"/>
        </w:rPr>
      </w:pPr>
      <w:bookmarkStart w:id="51" w:name="_Toc11858"/>
      <w:r>
        <w:rPr>
          <w:rFonts w:hint="eastAsia"/>
          <w:b/>
          <w:bCs/>
          <w:sz w:val="28"/>
          <w:szCs w:val="28"/>
          <w:lang w:eastAsia="zh-CN"/>
        </w:rPr>
        <w:t>5.2 游戏原型构想</w:t>
      </w:r>
      <w:bookmarkEnd w:id="51"/>
    </w:p>
    <w:p w14:paraId="2F00D4A5">
      <w:pPr>
        <w:rPr>
          <w:rFonts w:hint="eastAsia"/>
          <w:sz w:val="24"/>
          <w:szCs w:val="24"/>
          <w:lang w:eastAsia="zh-CN"/>
        </w:rPr>
      </w:pPr>
      <w:r>
        <w:rPr>
          <w:rFonts w:hint="eastAsia"/>
          <w:sz w:val="24"/>
          <w:szCs w:val="24"/>
          <w:lang w:eastAsia="zh-CN"/>
        </w:rPr>
        <w:t>在第四章构建的设计策略框架指导下，本章将提出具体的设计创新应用方案，并构想两款充分体现研究发现、具有明确针对性的游戏原型，以具象化地展示如何将理论研究转化为具有用户价值和商业潜力的实践成果。</w:t>
      </w:r>
    </w:p>
    <w:p w14:paraId="5736AA15">
      <w:pPr>
        <w:rPr>
          <w:rFonts w:hint="eastAsia"/>
          <w:sz w:val="24"/>
          <w:szCs w:val="24"/>
          <w:lang w:eastAsia="zh-CN"/>
        </w:rPr>
      </w:pPr>
    </w:p>
    <w:p w14:paraId="3D06BE62">
      <w:pPr>
        <w:rPr>
          <w:rFonts w:hint="eastAsia"/>
          <w:sz w:val="24"/>
          <w:szCs w:val="24"/>
          <w:lang w:eastAsia="zh-CN"/>
        </w:rPr>
      </w:pPr>
      <w:r>
        <w:rPr>
          <w:rFonts w:hint="eastAsia"/>
          <w:sz w:val="24"/>
          <w:szCs w:val="24"/>
          <w:lang w:eastAsia="zh-CN"/>
        </w:rPr>
        <w:t>我们的创新并非天马行空，而是深度植根于前文的量化分析与质性研究发现。创新方向紧密围绕以下核心结论展开：</w:t>
      </w:r>
    </w:p>
    <w:p w14:paraId="565BD133">
      <w:pPr>
        <w:rPr>
          <w:rFonts w:hint="eastAsia"/>
          <w:sz w:val="24"/>
          <w:szCs w:val="24"/>
          <w:lang w:eastAsia="zh-CN"/>
        </w:rPr>
      </w:pPr>
      <w:r>
        <w:rPr>
          <w:rFonts w:hint="eastAsia"/>
          <w:sz w:val="24"/>
          <w:szCs w:val="24"/>
          <w:lang w:eastAsia="zh-CN"/>
        </w:rPr>
        <w:t xml:space="preserve">   结论C8, C9, C21: 界面复杂度存在阈值效应，简洁直观的设计普遍更受欢迎。</w:t>
      </w:r>
    </w:p>
    <w:p w14:paraId="1A8449F6">
      <w:pPr>
        <w:rPr>
          <w:rFonts w:hint="eastAsia"/>
          <w:sz w:val="24"/>
          <w:szCs w:val="24"/>
          <w:lang w:eastAsia="zh-CN"/>
        </w:rPr>
      </w:pPr>
      <w:r>
        <w:rPr>
          <w:rFonts w:hint="eastAsia"/>
          <w:sz w:val="24"/>
          <w:szCs w:val="24"/>
          <w:lang w:eastAsia="zh-CN"/>
        </w:rPr>
        <w:t xml:space="preserve">   结论C4, C10, C12, C22: 数字能力是影响接受度的关键变量，设计需包容不同水平的用户。</w:t>
      </w:r>
    </w:p>
    <w:p w14:paraId="40600BBB">
      <w:pPr>
        <w:rPr>
          <w:rFonts w:hint="eastAsia"/>
          <w:sz w:val="24"/>
          <w:szCs w:val="24"/>
          <w:lang w:eastAsia="zh-CN"/>
        </w:rPr>
      </w:pPr>
      <w:r>
        <w:rPr>
          <w:rFonts w:hint="eastAsia"/>
          <w:sz w:val="24"/>
          <w:szCs w:val="24"/>
          <w:lang w:eastAsia="zh-CN"/>
        </w:rPr>
        <w:t xml:space="preserve">   结论C17: 对于高龄用户，注意力限制是影响难度感知的关键。</w:t>
      </w:r>
    </w:p>
    <w:p w14:paraId="1702BAF6">
      <w:pPr>
        <w:rPr>
          <w:rFonts w:hint="eastAsia"/>
          <w:sz w:val="24"/>
          <w:szCs w:val="24"/>
          <w:lang w:eastAsia="zh-CN"/>
        </w:rPr>
      </w:pPr>
      <w:r>
        <w:rPr>
          <w:rFonts w:hint="eastAsia"/>
          <w:sz w:val="24"/>
          <w:szCs w:val="24"/>
          <w:lang w:eastAsia="zh-CN"/>
        </w:rPr>
        <w:t xml:space="preserve">   结论C5, C19: 用户存在显著的群体异质性与游戏类型偏好差异。</w:t>
      </w:r>
    </w:p>
    <w:p w14:paraId="41B04366">
      <w:pPr>
        <w:outlineLvl w:val="2"/>
        <w:rPr>
          <w:rFonts w:hint="eastAsia"/>
          <w:sz w:val="24"/>
          <w:szCs w:val="24"/>
          <w:lang w:eastAsia="zh-CN"/>
        </w:rPr>
      </w:pPr>
    </w:p>
    <w:p w14:paraId="229ACE3E">
      <w:pPr>
        <w:outlineLvl w:val="2"/>
        <w:rPr>
          <w:rFonts w:hint="eastAsia"/>
          <w:sz w:val="24"/>
          <w:szCs w:val="24"/>
          <w:lang w:eastAsia="zh-CN"/>
        </w:rPr>
      </w:pPr>
      <w:bookmarkStart w:id="52" w:name="_Toc7843"/>
      <w:r>
        <w:rPr>
          <w:rFonts w:hint="eastAsia"/>
          <w:sz w:val="24"/>
          <w:szCs w:val="24"/>
          <w:lang w:eastAsia="zh-CN"/>
        </w:rPr>
        <w:t>《智源万象》—— 一款AI驱动的自适应逻辑解谜游戏</w:t>
      </w:r>
      <w:bookmarkEnd w:id="52"/>
    </w:p>
    <w:p w14:paraId="1F8C160D">
      <w:pPr>
        <w:rPr>
          <w:rFonts w:hint="eastAsia"/>
          <w:sz w:val="24"/>
          <w:szCs w:val="24"/>
          <w:lang w:eastAsia="zh-CN"/>
        </w:rPr>
      </w:pPr>
      <w:r>
        <w:rPr>
          <w:rFonts w:hint="eastAsia"/>
          <w:sz w:val="24"/>
          <w:szCs w:val="24"/>
          <w:lang w:eastAsia="zh-CN"/>
        </w:rPr>
        <w:t xml:space="preserve">   设计目标： 为“数字原生型”与“传统适应型”用户，提供一款规则极简但深度无限、始终能匹配其认知水平的个人化益智游戏。</w:t>
      </w:r>
    </w:p>
    <w:p w14:paraId="6E9A1ED4">
      <w:pPr>
        <w:rPr>
          <w:rFonts w:hint="eastAsia"/>
          <w:sz w:val="24"/>
          <w:szCs w:val="24"/>
          <w:lang w:eastAsia="zh-CN"/>
        </w:rPr>
      </w:pPr>
      <w:r>
        <w:rPr>
          <w:rFonts w:hint="eastAsia"/>
          <w:sz w:val="24"/>
          <w:szCs w:val="24"/>
          <w:lang w:eastAsia="zh-CN"/>
        </w:rPr>
        <w:t xml:space="preserve">   核心玩法与创新点：</w:t>
      </w:r>
    </w:p>
    <w:p w14:paraId="23213033">
      <w:pPr>
        <w:outlineLvl w:val="3"/>
        <w:rPr>
          <w:rFonts w:hint="eastAsia"/>
          <w:sz w:val="24"/>
          <w:szCs w:val="24"/>
          <w:lang w:eastAsia="zh-CN"/>
        </w:rPr>
      </w:pPr>
      <w:r>
        <w:rPr>
          <w:rFonts w:hint="eastAsia"/>
          <w:sz w:val="24"/>
          <w:szCs w:val="24"/>
          <w:lang w:eastAsia="zh-CN"/>
        </w:rPr>
        <w:t xml:space="preserve">    </w:t>
      </w:r>
      <w:bookmarkStart w:id="53" w:name="_Toc25109"/>
      <w:r>
        <w:rPr>
          <w:rFonts w:hint="eastAsia"/>
          <w:sz w:val="24"/>
          <w:szCs w:val="24"/>
          <w:lang w:eastAsia="zh-CN"/>
        </w:rPr>
        <w:t>1.  极简核心规则（呼应结论C8, C9）：</w:t>
      </w:r>
      <w:bookmarkEnd w:id="53"/>
    </w:p>
    <w:p w14:paraId="4C4FDA1B">
      <w:pPr>
        <w:rPr>
          <w:rFonts w:hint="eastAsia"/>
          <w:sz w:val="24"/>
          <w:szCs w:val="24"/>
          <w:lang w:eastAsia="zh-CN"/>
        </w:rPr>
      </w:pPr>
      <w:r>
        <w:rPr>
          <w:rFonts w:hint="eastAsia"/>
          <w:sz w:val="24"/>
          <w:szCs w:val="24"/>
          <w:lang w:eastAsia="zh-CN"/>
        </w:rPr>
        <w:t xml:space="preserve">           玩法： 在一个网格上，分布着不同颜色的“能量源”。玩家只需单指画线，连接所有相同颜色的能量源，且线路不交叉、不重叠即可通关。</w:t>
      </w:r>
    </w:p>
    <w:p w14:paraId="119D636F">
      <w:pPr>
        <w:rPr>
          <w:rFonts w:hint="eastAsia"/>
          <w:sz w:val="24"/>
          <w:szCs w:val="24"/>
          <w:lang w:eastAsia="zh-CN"/>
        </w:rPr>
      </w:pPr>
      <w:r>
        <w:rPr>
          <w:rFonts w:hint="eastAsia"/>
          <w:sz w:val="24"/>
          <w:szCs w:val="24"/>
          <w:lang w:eastAsia="zh-CN"/>
        </w:rPr>
        <w:t xml:space="preserve">           研究依据： 此规则一分钟即可理解，完美符合“认知减负”原则，规避了复杂规则带来的高认知负荷。</w:t>
      </w:r>
    </w:p>
    <w:p w14:paraId="55A25CDD">
      <w:pPr>
        <w:outlineLvl w:val="3"/>
        <w:rPr>
          <w:rFonts w:hint="eastAsia"/>
          <w:sz w:val="24"/>
          <w:szCs w:val="24"/>
          <w:lang w:eastAsia="zh-CN"/>
        </w:rPr>
      </w:pPr>
      <w:r>
        <w:rPr>
          <w:rFonts w:hint="eastAsia"/>
          <w:sz w:val="24"/>
          <w:szCs w:val="24"/>
          <w:lang w:eastAsia="zh-CN"/>
        </w:rPr>
        <w:t xml:space="preserve">    </w:t>
      </w:r>
      <w:bookmarkStart w:id="54" w:name="_Toc21951"/>
      <w:r>
        <w:rPr>
          <w:rFonts w:hint="eastAsia"/>
          <w:sz w:val="24"/>
          <w:szCs w:val="24"/>
          <w:lang w:eastAsia="zh-CN"/>
        </w:rPr>
        <w:t>2.  AI动态难度系统（呼应结论C17, C22）：</w:t>
      </w:r>
      <w:bookmarkEnd w:id="54"/>
    </w:p>
    <w:p w14:paraId="089355FC">
      <w:pPr>
        <w:rPr>
          <w:rFonts w:hint="eastAsia"/>
          <w:sz w:val="24"/>
          <w:szCs w:val="24"/>
          <w:lang w:eastAsia="zh-CN"/>
        </w:rPr>
      </w:pPr>
      <w:r>
        <w:rPr>
          <w:rFonts w:hint="eastAsia"/>
          <w:sz w:val="24"/>
          <w:szCs w:val="24"/>
          <w:lang w:eastAsia="zh-CN"/>
        </w:rPr>
        <w:t xml:space="preserve">           实现机制： AI系统实时分析玩家的通关时间、错误尝试次数、路径规划效率等数据。</w:t>
      </w:r>
    </w:p>
    <w:p w14:paraId="59EF1DE9">
      <w:pPr>
        <w:rPr>
          <w:rFonts w:hint="eastAsia"/>
          <w:sz w:val="24"/>
          <w:szCs w:val="24"/>
          <w:lang w:eastAsia="zh-CN"/>
        </w:rPr>
      </w:pPr>
      <w:r>
        <w:rPr>
          <w:rFonts w:hint="eastAsia"/>
          <w:sz w:val="24"/>
          <w:szCs w:val="24"/>
          <w:lang w:eastAsia="zh-CN"/>
        </w:rPr>
        <w:t xml:space="preserve">           自适应行为：</w:t>
      </w:r>
    </w:p>
    <w:p w14:paraId="2C292108">
      <w:pPr>
        <w:rPr>
          <w:rFonts w:hint="eastAsia"/>
          <w:sz w:val="24"/>
          <w:szCs w:val="24"/>
          <w:lang w:eastAsia="zh-CN"/>
        </w:rPr>
      </w:pPr>
      <w:r>
        <w:rPr>
          <w:rFonts w:hint="eastAsia"/>
          <w:sz w:val="24"/>
          <w:szCs w:val="24"/>
          <w:lang w:eastAsia="zh-CN"/>
        </w:rPr>
        <w:t xml:space="preserve">               当玩家连续轻松通关时，AI会渐进式地增加能量源数量、引入障碍物或新的颜色，提升挑战。</w:t>
      </w:r>
    </w:p>
    <w:p w14:paraId="0ADEF10D">
      <w:pPr>
        <w:rPr>
          <w:rFonts w:hint="eastAsia"/>
          <w:sz w:val="24"/>
          <w:szCs w:val="24"/>
          <w:lang w:eastAsia="zh-CN"/>
        </w:rPr>
      </w:pPr>
      <w:r>
        <w:rPr>
          <w:rFonts w:hint="eastAsia"/>
          <w:sz w:val="24"/>
          <w:szCs w:val="24"/>
          <w:lang w:eastAsia="zh-CN"/>
        </w:rPr>
        <w:t xml:space="preserve">               当检测到玩家多次失败或犹豫时间过长时，AI会自动调低难度，或提供渐进式提示（如先高亮一个正确的起始点）。</w:t>
      </w:r>
    </w:p>
    <w:p w14:paraId="035BE4C0">
      <w:pPr>
        <w:rPr>
          <w:rFonts w:hint="eastAsia"/>
          <w:sz w:val="24"/>
          <w:szCs w:val="24"/>
          <w:lang w:eastAsia="zh-CN"/>
        </w:rPr>
      </w:pPr>
      <w:r>
        <w:rPr>
          <w:rFonts w:hint="eastAsia"/>
          <w:sz w:val="24"/>
          <w:szCs w:val="24"/>
          <w:lang w:eastAsia="zh-CN"/>
        </w:rPr>
        <w:t xml:space="preserve">           研究依据： 此举直接应对高龄用户注意力有限和易生挫败感的问题，通过动态适配维持用户的“心流”体验，避免因固定难度曲线导致的流失。</w:t>
      </w:r>
    </w:p>
    <w:p w14:paraId="0C98E5E7">
      <w:pPr>
        <w:outlineLvl w:val="3"/>
        <w:rPr>
          <w:rFonts w:hint="eastAsia"/>
          <w:sz w:val="24"/>
          <w:szCs w:val="24"/>
          <w:lang w:eastAsia="zh-CN"/>
        </w:rPr>
      </w:pPr>
      <w:r>
        <w:rPr>
          <w:rFonts w:hint="eastAsia"/>
          <w:sz w:val="24"/>
          <w:szCs w:val="24"/>
          <w:lang w:eastAsia="zh-CN"/>
        </w:rPr>
        <w:t xml:space="preserve">    </w:t>
      </w:r>
      <w:bookmarkStart w:id="55" w:name="_Toc3888"/>
      <w:r>
        <w:rPr>
          <w:rFonts w:hint="eastAsia"/>
          <w:sz w:val="24"/>
          <w:szCs w:val="24"/>
          <w:lang w:eastAsia="zh-CN"/>
        </w:rPr>
        <w:t>3.  情感化与个性化主题（呼应结论C5及情感适配原则）：</w:t>
      </w:r>
      <w:bookmarkEnd w:id="55"/>
    </w:p>
    <w:p w14:paraId="6EE8232F">
      <w:pPr>
        <w:rPr>
          <w:rFonts w:hint="eastAsia"/>
          <w:sz w:val="24"/>
          <w:szCs w:val="24"/>
          <w:lang w:eastAsia="zh-CN"/>
        </w:rPr>
      </w:pPr>
      <w:r>
        <w:rPr>
          <w:rFonts w:hint="eastAsia"/>
          <w:sz w:val="24"/>
          <w:szCs w:val="24"/>
          <w:lang w:eastAsia="zh-CN"/>
        </w:rPr>
        <w:t xml:space="preserve">           视觉主题： 提供“水墨山水”、“古典园林”、“星空漫步”等多种温和、怀旧、高对比度的视觉主题供用户选择。</w:t>
      </w:r>
    </w:p>
    <w:p w14:paraId="2B7CC56F">
      <w:pPr>
        <w:rPr>
          <w:rFonts w:hint="eastAsia"/>
          <w:sz w:val="24"/>
          <w:szCs w:val="24"/>
          <w:lang w:eastAsia="zh-CN"/>
        </w:rPr>
      </w:pPr>
      <w:r>
        <w:rPr>
          <w:rFonts w:hint="eastAsia"/>
          <w:sz w:val="24"/>
          <w:szCs w:val="24"/>
          <w:lang w:eastAsia="zh-CN"/>
        </w:rPr>
        <w:t xml:space="preserve">           研究依据： 满足不同用户的审美偏好，通过文化元素建立情感连接，提升美观度与长期使用意愿。</w:t>
      </w:r>
    </w:p>
    <w:p w14:paraId="4A131511">
      <w:pPr>
        <w:outlineLvl w:val="1"/>
        <w:rPr>
          <w:rFonts w:hint="default"/>
          <w:sz w:val="24"/>
          <w:szCs w:val="24"/>
          <w:lang w:val="en-US" w:eastAsia="zh-CN"/>
        </w:rPr>
      </w:pPr>
      <w:bookmarkStart w:id="56" w:name="_Toc31301"/>
      <w:r>
        <w:rPr>
          <w:rFonts w:hint="eastAsia"/>
          <w:b/>
          <w:bCs/>
          <w:sz w:val="28"/>
          <w:szCs w:val="28"/>
          <w:lang w:val="en-US" w:eastAsia="zh-CN"/>
        </w:rPr>
        <w:t>5.3设计说明</w:t>
      </w:r>
      <w:bookmarkEnd w:id="56"/>
    </w:p>
    <w:p w14:paraId="2EC1424D">
      <w:pPr>
        <w:outlineLvl w:val="2"/>
        <w:rPr>
          <w:rFonts w:hint="default"/>
          <w:sz w:val="24"/>
          <w:szCs w:val="24"/>
          <w:lang w:val="en-US" w:eastAsia="zh-CN"/>
        </w:rPr>
      </w:pPr>
      <w:bookmarkStart w:id="57" w:name="_Toc13502"/>
      <w:r>
        <w:rPr>
          <w:rFonts w:hint="eastAsia"/>
          <w:b/>
          <w:bCs/>
          <w:sz w:val="24"/>
          <w:szCs w:val="24"/>
          <w:lang w:val="en-US" w:eastAsia="zh-CN"/>
        </w:rPr>
        <w:t>5.3.1详细页面设计</w:t>
      </w:r>
      <w:bookmarkEnd w:id="57"/>
      <w:r>
        <w:rPr>
          <w:rFonts w:hint="eastAsia"/>
          <w:b/>
          <w:bCs/>
          <w:sz w:val="24"/>
          <w:szCs w:val="24"/>
          <w:lang w:val="en-US" w:eastAsia="zh-CN"/>
        </w:rPr>
        <w:t>（见附件）</w:t>
      </w:r>
    </w:p>
    <w:p w14:paraId="34730BD3">
      <w:pPr>
        <w:rPr>
          <w:rFonts w:hint="default"/>
          <w:sz w:val="24"/>
          <w:szCs w:val="24"/>
          <w:lang w:val="en-US" w:eastAsia="zh-CN"/>
        </w:rPr>
      </w:pPr>
      <w:r>
        <w:rPr>
          <w:rFonts w:hint="default"/>
          <w:sz w:val="24"/>
          <w:szCs w:val="24"/>
          <w:lang w:val="en-US" w:eastAsia="zh-CN"/>
        </w:rPr>
        <w:t>通过这 6个核心页面 构成的流程，《智源万象》的交互设计实现了：</w:t>
      </w:r>
    </w:p>
    <w:p w14:paraId="7CB00D0F">
      <w:pPr>
        <w:rPr>
          <w:rFonts w:hint="default"/>
          <w:sz w:val="24"/>
          <w:szCs w:val="24"/>
          <w:lang w:val="en-US" w:eastAsia="zh-CN"/>
        </w:rPr>
      </w:pPr>
      <w:r>
        <w:rPr>
          <w:rFonts w:hint="default"/>
          <w:sz w:val="24"/>
          <w:szCs w:val="24"/>
          <w:lang w:val="en-US" w:eastAsia="zh-CN"/>
        </w:rPr>
        <w:t xml:space="preserve">   极简入口与路径： 首页直达核心体验，核心解谜流程形成无缝闭环。</w:t>
      </w:r>
    </w:p>
    <w:p w14:paraId="404E5E97">
      <w:pPr>
        <w:rPr>
          <w:rFonts w:hint="default"/>
          <w:sz w:val="24"/>
          <w:szCs w:val="24"/>
          <w:lang w:val="en-US" w:eastAsia="zh-CN"/>
        </w:rPr>
      </w:pPr>
      <w:r>
        <w:rPr>
          <w:rFonts w:hint="default"/>
          <w:sz w:val="24"/>
          <w:szCs w:val="24"/>
          <w:lang w:val="en-US" w:eastAsia="zh-CN"/>
        </w:rPr>
        <w:t xml:space="preserve">   认知减负： 规则图形化、信息极简化、反馈轻量化。</w:t>
      </w:r>
    </w:p>
    <w:p w14:paraId="1AF727B4">
      <w:pPr>
        <w:rPr>
          <w:rFonts w:hint="default"/>
          <w:sz w:val="24"/>
          <w:szCs w:val="24"/>
          <w:lang w:val="en-US" w:eastAsia="zh-CN"/>
        </w:rPr>
      </w:pPr>
      <w:r>
        <w:rPr>
          <w:rFonts w:hint="default"/>
          <w:sz w:val="24"/>
          <w:szCs w:val="24"/>
          <w:lang w:val="en-US" w:eastAsia="zh-CN"/>
        </w:rPr>
        <w:t xml:space="preserve">   操作包容： 大热区、基础手势、明确的容错机制。</w:t>
      </w:r>
    </w:p>
    <w:p w14:paraId="14C94535">
      <w:pPr>
        <w:rPr>
          <w:rFonts w:hint="default"/>
          <w:sz w:val="24"/>
          <w:szCs w:val="24"/>
          <w:lang w:val="en-US" w:eastAsia="zh-CN"/>
        </w:rPr>
      </w:pPr>
      <w:r>
        <w:rPr>
          <w:rFonts w:hint="default"/>
          <w:sz w:val="24"/>
          <w:szCs w:val="24"/>
          <w:lang w:val="en-US" w:eastAsia="zh-CN"/>
        </w:rPr>
        <w:t xml:space="preserve">   情感适配与激励： 个性化主题、正向反馈、进展可视化。</w:t>
      </w:r>
    </w:p>
    <w:p w14:paraId="37A7A9BB">
      <w:pPr>
        <w:rPr>
          <w:rFonts w:hint="default"/>
          <w:sz w:val="24"/>
          <w:szCs w:val="24"/>
          <w:lang w:val="en-US" w:eastAsia="zh-CN"/>
        </w:rPr>
      </w:pPr>
    </w:p>
    <w:p w14:paraId="7BA18FB4">
      <w:pPr>
        <w:outlineLvl w:val="2"/>
        <w:rPr>
          <w:rFonts w:hint="eastAsia"/>
          <w:b/>
          <w:bCs/>
          <w:sz w:val="24"/>
          <w:szCs w:val="24"/>
          <w:lang w:val="en-US" w:eastAsia="zh-CN"/>
        </w:rPr>
      </w:pPr>
      <w:bookmarkStart w:id="58" w:name="_Toc3160"/>
      <w:r>
        <w:rPr>
          <w:rFonts w:hint="eastAsia"/>
          <w:b/>
          <w:bCs/>
          <w:sz w:val="24"/>
          <w:szCs w:val="24"/>
          <w:lang w:val="en-US" w:eastAsia="zh-CN"/>
        </w:rPr>
        <w:t>5.3.2设计评估</w:t>
      </w:r>
      <w:bookmarkEnd w:id="58"/>
    </w:p>
    <w:p w14:paraId="423913DD">
      <w:pPr>
        <w:rPr>
          <w:rFonts w:hint="default"/>
          <w:b w:val="0"/>
          <w:bCs w:val="0"/>
          <w:sz w:val="24"/>
          <w:szCs w:val="24"/>
          <w:lang w:val="en-US" w:eastAsia="zh-CN"/>
        </w:rPr>
      </w:pPr>
      <w:r>
        <w:rPr>
          <w:rFonts w:hint="default"/>
          <w:b w:val="0"/>
          <w:bCs w:val="0"/>
          <w:sz w:val="24"/>
          <w:szCs w:val="24"/>
          <w:lang w:val="en-US" w:eastAsia="zh-CN"/>
        </w:rPr>
        <w:t>本章旨在基于前述研究结论与设计框架，对提出的设计策略与原型构想进行系统性评估，论证其有效性与可行性。</w:t>
      </w:r>
    </w:p>
    <w:p w14:paraId="678B6CB5">
      <w:pPr>
        <w:rPr>
          <w:rFonts w:hint="default"/>
          <w:b w:val="0"/>
          <w:bCs w:val="0"/>
          <w:sz w:val="24"/>
          <w:szCs w:val="24"/>
          <w:lang w:val="en-US" w:eastAsia="zh-CN"/>
        </w:rPr>
      </w:pPr>
    </w:p>
    <w:p w14:paraId="058E9398">
      <w:pPr>
        <w:rPr>
          <w:rFonts w:hint="default"/>
          <w:b w:val="0"/>
          <w:bCs w:val="0"/>
          <w:sz w:val="24"/>
          <w:szCs w:val="24"/>
          <w:lang w:val="en-US" w:eastAsia="zh-CN"/>
        </w:rPr>
      </w:pPr>
      <w:r>
        <w:rPr>
          <w:rFonts w:hint="default"/>
          <w:b w:val="0"/>
          <w:bCs w:val="0"/>
          <w:sz w:val="24"/>
          <w:szCs w:val="24"/>
          <w:lang w:val="en-US" w:eastAsia="zh-CN"/>
        </w:rPr>
        <w:t>本研究报告所构建的设计框架与策略，与研究发现呈现出高度的契合度，具体评估如下：</w:t>
      </w:r>
    </w:p>
    <w:p w14:paraId="3D3E0260">
      <w:pPr>
        <w:rPr>
          <w:rFonts w:hint="default"/>
          <w:b w:val="0"/>
          <w:bCs w:val="0"/>
          <w:sz w:val="24"/>
          <w:szCs w:val="24"/>
          <w:lang w:val="en-US" w:eastAsia="zh-CN"/>
        </w:rPr>
      </w:pPr>
    </w:p>
    <w:p w14:paraId="0181DC79">
      <w:pPr>
        <w:outlineLvl w:val="3"/>
        <w:rPr>
          <w:rFonts w:hint="default"/>
          <w:b w:val="0"/>
          <w:bCs w:val="0"/>
          <w:sz w:val="24"/>
          <w:szCs w:val="24"/>
          <w:lang w:val="en-US" w:eastAsia="zh-CN"/>
        </w:rPr>
      </w:pPr>
      <w:bookmarkStart w:id="59" w:name="_Toc16875"/>
      <w:r>
        <w:rPr>
          <w:rFonts w:hint="default"/>
          <w:b w:val="0"/>
          <w:bCs w:val="0"/>
          <w:sz w:val="24"/>
          <w:szCs w:val="24"/>
          <w:lang w:val="en-US" w:eastAsia="zh-CN"/>
        </w:rPr>
        <w:t>1.  与用户痛点的高度对应性：</w:t>
      </w:r>
      <w:bookmarkEnd w:id="59"/>
    </w:p>
    <w:p w14:paraId="74D4DAB5">
      <w:pPr>
        <w:rPr>
          <w:rFonts w:hint="default"/>
          <w:b w:val="0"/>
          <w:bCs w:val="0"/>
          <w:sz w:val="24"/>
          <w:szCs w:val="24"/>
          <w:lang w:val="en-US" w:eastAsia="zh-CN"/>
        </w:rPr>
      </w:pPr>
      <w:r>
        <w:rPr>
          <w:rFonts w:hint="default"/>
          <w:b w:val="0"/>
          <w:bCs w:val="0"/>
          <w:sz w:val="24"/>
          <w:szCs w:val="24"/>
          <w:lang w:val="en-US" w:eastAsia="zh-CN"/>
        </w:rPr>
        <w:t xml:space="preserve">       评估： 针对1.3.1中识别的视力下降、认知水平下降、手部灵活性下降等生理痛点，提出的“大字键清晰度”、“认知减负原则”、“操作包容原则”提供了直接的解决方案。针对心理层面的挫败感与孤独感，“情感适配原则”与“社交弹性原则”给予了有效回应。</w:t>
      </w:r>
    </w:p>
    <w:p w14:paraId="4188CE0D">
      <w:pPr>
        <w:rPr>
          <w:rFonts w:hint="default"/>
          <w:b w:val="0"/>
          <w:bCs w:val="0"/>
          <w:sz w:val="24"/>
          <w:szCs w:val="24"/>
          <w:lang w:val="en-US" w:eastAsia="zh-CN"/>
        </w:rPr>
      </w:pPr>
      <w:r>
        <w:rPr>
          <w:rFonts w:hint="default"/>
          <w:b w:val="0"/>
          <w:bCs w:val="0"/>
          <w:sz w:val="24"/>
          <w:szCs w:val="24"/>
          <w:lang w:val="en-US" w:eastAsia="zh-CN"/>
        </w:rPr>
        <w:t xml:space="preserve">       结论： 设计策略全面覆盖了研究初期发现的老年用户核心痛点，解决方案具有明确的针对性。</w:t>
      </w:r>
    </w:p>
    <w:p w14:paraId="47AAED15">
      <w:pPr>
        <w:outlineLvl w:val="3"/>
        <w:rPr>
          <w:rFonts w:hint="default"/>
          <w:b w:val="0"/>
          <w:bCs w:val="0"/>
          <w:sz w:val="24"/>
          <w:szCs w:val="24"/>
          <w:lang w:val="en-US" w:eastAsia="zh-CN"/>
        </w:rPr>
      </w:pPr>
      <w:bookmarkStart w:id="60" w:name="_Toc14276"/>
      <w:r>
        <w:rPr>
          <w:rFonts w:hint="default"/>
          <w:b w:val="0"/>
          <w:bCs w:val="0"/>
          <w:sz w:val="24"/>
          <w:szCs w:val="24"/>
          <w:lang w:val="en-US" w:eastAsia="zh-CN"/>
        </w:rPr>
        <w:t>2.  与数据分析结论的紧密耦合性：</w:t>
      </w:r>
      <w:bookmarkEnd w:id="60"/>
    </w:p>
    <w:p w14:paraId="0B1AD692">
      <w:pPr>
        <w:rPr>
          <w:rFonts w:hint="default"/>
          <w:b w:val="0"/>
          <w:bCs w:val="0"/>
          <w:sz w:val="24"/>
          <w:szCs w:val="24"/>
          <w:lang w:val="en-US" w:eastAsia="zh-CN"/>
        </w:rPr>
      </w:pPr>
      <w:r>
        <w:rPr>
          <w:rFonts w:hint="default"/>
          <w:b w:val="0"/>
          <w:bCs w:val="0"/>
          <w:sz w:val="24"/>
          <w:szCs w:val="24"/>
          <w:lang w:val="en-US" w:eastAsia="zh-CN"/>
        </w:rPr>
        <w:t xml:space="preserve">       评估： 设计决策几乎全部源自第三章的量化分析结论。例如，“复杂度控制准则”直接源于结论C8、C9、C21；“差异化设计策略”精准对应结论C19、C20；动态难度调节系统的构想，则是对结论C17、C22的直接回应。</w:t>
      </w:r>
    </w:p>
    <w:p w14:paraId="4F08C6F9">
      <w:pPr>
        <w:rPr>
          <w:rFonts w:hint="default"/>
          <w:b w:val="0"/>
          <w:bCs w:val="0"/>
          <w:sz w:val="24"/>
          <w:szCs w:val="24"/>
          <w:lang w:val="en-US" w:eastAsia="zh-CN"/>
        </w:rPr>
      </w:pPr>
      <w:r>
        <w:rPr>
          <w:rFonts w:hint="default"/>
          <w:b w:val="0"/>
          <w:bCs w:val="0"/>
          <w:sz w:val="24"/>
          <w:szCs w:val="24"/>
          <w:lang w:val="en-US" w:eastAsia="zh-CN"/>
        </w:rPr>
        <w:t xml:space="preserve">       结论： 设计从“数据驱动”转向“策略驱动”的路径清晰，确保了设计方案的客观性与科学性，而非主观臆断。</w:t>
      </w:r>
    </w:p>
    <w:p w14:paraId="7A0984B3">
      <w:pPr>
        <w:outlineLvl w:val="3"/>
        <w:rPr>
          <w:rFonts w:hint="default"/>
          <w:b w:val="0"/>
          <w:bCs w:val="0"/>
          <w:sz w:val="24"/>
          <w:szCs w:val="24"/>
          <w:lang w:val="en-US" w:eastAsia="zh-CN"/>
        </w:rPr>
      </w:pPr>
      <w:bookmarkStart w:id="61" w:name="_Toc28529"/>
      <w:r>
        <w:rPr>
          <w:rFonts w:hint="default"/>
          <w:b w:val="0"/>
          <w:bCs w:val="0"/>
          <w:sz w:val="24"/>
          <w:szCs w:val="24"/>
          <w:lang w:val="en-US" w:eastAsia="zh-CN"/>
        </w:rPr>
        <w:t>3.  设计原则与用户倾向的一致性：</w:t>
      </w:r>
      <w:bookmarkEnd w:id="61"/>
    </w:p>
    <w:p w14:paraId="11B47228">
      <w:pPr>
        <w:rPr>
          <w:rFonts w:hint="default"/>
          <w:b w:val="0"/>
          <w:bCs w:val="0"/>
          <w:sz w:val="24"/>
          <w:szCs w:val="24"/>
          <w:lang w:val="en-US" w:eastAsia="zh-CN"/>
        </w:rPr>
      </w:pPr>
      <w:r>
        <w:rPr>
          <w:rFonts w:hint="default"/>
          <w:b w:val="0"/>
          <w:bCs w:val="0"/>
          <w:sz w:val="24"/>
          <w:szCs w:val="24"/>
          <w:lang w:val="en-US" w:eastAsia="zh-CN"/>
        </w:rPr>
        <w:t xml:space="preserve">       评估： 在1.3.3中总结的老年人游戏设计四大倾向（认知友好、操作包容、情感适配、社交可控），在第四章构建的四大设计原则中得到了充分的延续、深化与体系化。</w:t>
      </w:r>
    </w:p>
    <w:p w14:paraId="4BADA68A">
      <w:pPr>
        <w:rPr>
          <w:rFonts w:hint="default"/>
          <w:b w:val="0"/>
          <w:bCs w:val="0"/>
          <w:sz w:val="24"/>
          <w:szCs w:val="24"/>
          <w:lang w:val="en-US" w:eastAsia="zh-CN"/>
        </w:rPr>
      </w:pPr>
      <w:r>
        <w:rPr>
          <w:rFonts w:hint="default"/>
          <w:b w:val="0"/>
          <w:bCs w:val="0"/>
          <w:sz w:val="24"/>
          <w:szCs w:val="24"/>
          <w:lang w:val="en-US" w:eastAsia="zh-CN"/>
        </w:rPr>
        <w:t xml:space="preserve">       结论： 设计框架成功地将用户主观、模糊的“倾向”转化为了可执行、可测量的“设计原则”，完成了从用户洞察到设计语言的顺利转换。</w:t>
      </w:r>
    </w:p>
    <w:p w14:paraId="24154BDD">
      <w:pPr>
        <w:pStyle w:val="2"/>
        <w:bidi w:val="0"/>
        <w:rPr>
          <w:rFonts w:hint="default"/>
          <w:lang w:val="en-US" w:eastAsia="zh-CN"/>
        </w:rPr>
      </w:pPr>
      <w:bookmarkStart w:id="62" w:name="_Toc9711"/>
      <w:r>
        <w:rPr>
          <w:rFonts w:hint="default"/>
          <w:lang w:val="en-US" w:eastAsia="zh-CN"/>
        </w:rPr>
        <w:t>总结与展望</w:t>
      </w:r>
      <w:bookmarkEnd w:id="62"/>
    </w:p>
    <w:p w14:paraId="53ED301E">
      <w:pPr>
        <w:outlineLvl w:val="1"/>
        <w:rPr>
          <w:rFonts w:hint="default"/>
          <w:b/>
          <w:bCs/>
          <w:sz w:val="28"/>
          <w:szCs w:val="28"/>
          <w:lang w:val="en-US" w:eastAsia="zh-CN"/>
        </w:rPr>
      </w:pPr>
      <w:bookmarkStart w:id="63" w:name="_Toc11859"/>
      <w:r>
        <w:rPr>
          <w:rFonts w:hint="eastAsia"/>
          <w:b/>
          <w:bCs/>
          <w:sz w:val="28"/>
          <w:szCs w:val="28"/>
          <w:lang w:val="en-US" w:eastAsia="zh-CN"/>
        </w:rPr>
        <w:t>6</w:t>
      </w:r>
      <w:r>
        <w:rPr>
          <w:rFonts w:hint="default"/>
          <w:b/>
          <w:bCs/>
          <w:sz w:val="28"/>
          <w:szCs w:val="28"/>
          <w:lang w:val="en-US" w:eastAsia="zh-CN"/>
        </w:rPr>
        <w:t>.1 研究总结</w:t>
      </w:r>
      <w:bookmarkEnd w:id="63"/>
    </w:p>
    <w:p w14:paraId="776D90D2">
      <w:pPr>
        <w:rPr>
          <w:rFonts w:hint="default"/>
          <w:b w:val="0"/>
          <w:bCs w:val="0"/>
          <w:sz w:val="24"/>
          <w:szCs w:val="24"/>
          <w:lang w:val="en-US" w:eastAsia="zh-CN"/>
        </w:rPr>
      </w:pPr>
      <w:r>
        <w:rPr>
          <w:rFonts w:hint="default"/>
          <w:b w:val="0"/>
          <w:bCs w:val="0"/>
          <w:sz w:val="24"/>
          <w:szCs w:val="24"/>
          <w:lang w:val="en-US" w:eastAsia="zh-CN"/>
        </w:rPr>
        <w:t>本研究围绕“适老化益智游戏设计”这一核心议题，完成了一个从问题洞察到方案构建的完整研究闭环。本研究的核心价值在于，它成功地将定性的用户倾向与定量的数据证据相结合，构建了一套逻辑严密、论证充分、且能够直接指导设计实践的适老化游戏设计理论与方法体系。</w:t>
      </w:r>
    </w:p>
    <w:p w14:paraId="4AFDBC33">
      <w:pPr>
        <w:outlineLvl w:val="1"/>
        <w:rPr>
          <w:rFonts w:hint="default"/>
          <w:b/>
          <w:bCs/>
          <w:sz w:val="28"/>
          <w:szCs w:val="28"/>
          <w:lang w:val="en-US" w:eastAsia="zh-CN"/>
        </w:rPr>
      </w:pPr>
      <w:bookmarkStart w:id="64" w:name="_Toc7453"/>
      <w:r>
        <w:rPr>
          <w:rFonts w:hint="eastAsia"/>
          <w:b/>
          <w:bCs/>
          <w:sz w:val="28"/>
          <w:szCs w:val="28"/>
          <w:lang w:val="en-US" w:eastAsia="zh-CN"/>
        </w:rPr>
        <w:t>6</w:t>
      </w:r>
      <w:r>
        <w:rPr>
          <w:rFonts w:hint="default"/>
          <w:b/>
          <w:bCs/>
          <w:sz w:val="28"/>
          <w:szCs w:val="28"/>
          <w:lang w:val="en-US" w:eastAsia="zh-CN"/>
        </w:rPr>
        <w:t>.2 未来展望</w:t>
      </w:r>
      <w:bookmarkEnd w:id="64"/>
    </w:p>
    <w:p w14:paraId="3A1387DF">
      <w:pPr>
        <w:rPr>
          <w:rFonts w:hint="default"/>
          <w:b w:val="0"/>
          <w:bCs w:val="0"/>
          <w:sz w:val="24"/>
          <w:szCs w:val="24"/>
          <w:lang w:val="en-US" w:eastAsia="zh-CN"/>
        </w:rPr>
      </w:pPr>
      <w:r>
        <w:rPr>
          <w:rFonts w:hint="default"/>
          <w:b w:val="0"/>
          <w:bCs w:val="0"/>
          <w:sz w:val="24"/>
          <w:szCs w:val="24"/>
          <w:lang w:val="en-US" w:eastAsia="zh-CN"/>
        </w:rPr>
        <w:t>本研究为适老化数字娱乐领域提供了坚实的实证基础与清晰的设计路径。我们期待本研究的成果能够激发行业对老年用户更深入的关注，推动更多“不仅能用，而且好用、爱用”的适老化产品诞生，共同助力老年群体跨越数字鸿沟，享受高品质、有尊严的数字晚年生活。</w:t>
      </w:r>
    </w:p>
    <w:p w14:paraId="088800AE">
      <w:pPr>
        <w:widowControl w:val="0"/>
        <w:numPr>
          <w:ilvl w:val="0"/>
          <w:numId w:val="0"/>
        </w:numPr>
        <w:jc w:val="both"/>
        <w:rPr>
          <w:rFonts w:hint="eastAsia"/>
          <w:b/>
          <w:bCs/>
          <w:sz w:val="32"/>
          <w:szCs w:val="32"/>
        </w:rPr>
      </w:pPr>
    </w:p>
    <w:p w14:paraId="4699385E">
      <w:pPr>
        <w:widowControl w:val="0"/>
        <w:numPr>
          <w:ilvl w:val="0"/>
          <w:numId w:val="0"/>
        </w:numPr>
        <w:jc w:val="both"/>
        <w:rPr>
          <w:rFonts w:hint="eastAsia"/>
          <w:b/>
          <w:bCs/>
          <w:sz w:val="32"/>
          <w:szCs w:val="32"/>
        </w:rPr>
      </w:pPr>
    </w:p>
    <w:p w14:paraId="0E7B3AD8">
      <w:pPr>
        <w:widowControl w:val="0"/>
        <w:numPr>
          <w:ilvl w:val="0"/>
          <w:numId w:val="0"/>
        </w:numPr>
        <w:jc w:val="both"/>
        <w:rPr>
          <w:rFonts w:hint="eastAsia"/>
          <w:b/>
          <w:bCs/>
          <w:sz w:val="32"/>
          <w:szCs w:val="32"/>
        </w:rPr>
      </w:pPr>
    </w:p>
    <w:p w14:paraId="005A1B93">
      <w:pPr>
        <w:widowControl w:val="0"/>
        <w:numPr>
          <w:ilvl w:val="0"/>
          <w:numId w:val="0"/>
        </w:numPr>
        <w:jc w:val="both"/>
        <w:rPr>
          <w:rFonts w:hint="eastAsia"/>
          <w:b/>
          <w:bCs/>
          <w:sz w:val="32"/>
          <w:szCs w:val="32"/>
        </w:rPr>
      </w:pPr>
    </w:p>
    <w:p w14:paraId="63285CB8">
      <w:pPr>
        <w:widowControl w:val="0"/>
        <w:numPr>
          <w:ilvl w:val="0"/>
          <w:numId w:val="0"/>
        </w:numPr>
        <w:jc w:val="both"/>
        <w:rPr>
          <w:rFonts w:hint="eastAsia"/>
          <w:b/>
          <w:bCs/>
          <w:sz w:val="32"/>
          <w:szCs w:val="32"/>
        </w:rPr>
      </w:pPr>
    </w:p>
    <w:p w14:paraId="2B128AF4">
      <w:pPr>
        <w:widowControl w:val="0"/>
        <w:numPr>
          <w:ilvl w:val="0"/>
          <w:numId w:val="0"/>
        </w:numPr>
        <w:jc w:val="both"/>
        <w:rPr>
          <w:rFonts w:hint="eastAsia"/>
          <w:b/>
          <w:bCs/>
          <w:sz w:val="32"/>
          <w:szCs w:val="32"/>
        </w:rPr>
      </w:pPr>
    </w:p>
    <w:p w14:paraId="12EC70F4">
      <w:pPr>
        <w:widowControl w:val="0"/>
        <w:numPr>
          <w:ilvl w:val="0"/>
          <w:numId w:val="0"/>
        </w:numPr>
        <w:jc w:val="both"/>
        <w:rPr>
          <w:rFonts w:hint="eastAsia"/>
          <w:b/>
          <w:bCs/>
          <w:sz w:val="32"/>
          <w:szCs w:val="32"/>
        </w:rPr>
      </w:pPr>
    </w:p>
    <w:p w14:paraId="649B2D70">
      <w:pPr>
        <w:widowControl w:val="0"/>
        <w:numPr>
          <w:ilvl w:val="0"/>
          <w:numId w:val="0"/>
        </w:numPr>
        <w:jc w:val="both"/>
        <w:rPr>
          <w:rFonts w:hint="eastAsia"/>
          <w:b/>
          <w:bCs/>
          <w:sz w:val="32"/>
          <w:szCs w:val="32"/>
        </w:rPr>
      </w:pPr>
    </w:p>
    <w:p w14:paraId="4EBE563E">
      <w:pPr>
        <w:widowControl w:val="0"/>
        <w:numPr>
          <w:ilvl w:val="0"/>
          <w:numId w:val="0"/>
        </w:numPr>
        <w:jc w:val="both"/>
        <w:rPr>
          <w:rFonts w:hint="eastAsia"/>
          <w:b/>
          <w:bCs/>
          <w:sz w:val="32"/>
          <w:szCs w:val="32"/>
        </w:rPr>
      </w:pPr>
    </w:p>
    <w:p w14:paraId="2982B8F9">
      <w:pPr>
        <w:widowControl w:val="0"/>
        <w:numPr>
          <w:ilvl w:val="0"/>
          <w:numId w:val="0"/>
        </w:numPr>
        <w:jc w:val="center"/>
        <w:rPr>
          <w:rFonts w:hint="default" w:eastAsiaTheme="minorEastAsia"/>
          <w:b/>
          <w:bCs/>
          <w:sz w:val="56"/>
          <w:szCs w:val="56"/>
          <w:lang w:val="en-US" w:eastAsia="zh-CN"/>
        </w:rPr>
      </w:pPr>
      <w:r>
        <w:rPr>
          <w:rFonts w:hint="eastAsia"/>
          <w:b/>
          <w:bCs/>
          <w:sz w:val="56"/>
          <w:szCs w:val="56"/>
          <w:lang w:val="en-US" w:eastAsia="zh-CN"/>
        </w:rPr>
        <w:t>眼动实验与调研数据分析报告</w:t>
      </w:r>
    </w:p>
    <w:p w14:paraId="6B94625F">
      <w:pPr>
        <w:widowControl w:val="0"/>
        <w:numPr>
          <w:ilvl w:val="0"/>
          <w:numId w:val="0"/>
        </w:numPr>
        <w:jc w:val="both"/>
        <w:rPr>
          <w:rFonts w:hint="eastAsia"/>
          <w:b/>
          <w:bCs/>
          <w:sz w:val="32"/>
          <w:szCs w:val="32"/>
        </w:rPr>
      </w:pPr>
    </w:p>
    <w:p w14:paraId="7F3C1B68">
      <w:pPr>
        <w:widowControl w:val="0"/>
        <w:numPr>
          <w:ilvl w:val="0"/>
          <w:numId w:val="0"/>
        </w:numPr>
        <w:jc w:val="both"/>
        <w:rPr>
          <w:rFonts w:hint="eastAsia"/>
          <w:b/>
          <w:bCs/>
          <w:sz w:val="32"/>
          <w:szCs w:val="32"/>
        </w:rPr>
      </w:pPr>
    </w:p>
    <w:p w14:paraId="23A6B7BD">
      <w:pPr>
        <w:widowControl w:val="0"/>
        <w:numPr>
          <w:ilvl w:val="0"/>
          <w:numId w:val="0"/>
        </w:numPr>
        <w:jc w:val="both"/>
        <w:rPr>
          <w:rFonts w:hint="eastAsia"/>
          <w:b/>
          <w:bCs/>
          <w:sz w:val="32"/>
          <w:szCs w:val="32"/>
        </w:rPr>
      </w:pPr>
    </w:p>
    <w:p w14:paraId="0FEB13D8">
      <w:pPr>
        <w:widowControl w:val="0"/>
        <w:numPr>
          <w:ilvl w:val="0"/>
          <w:numId w:val="0"/>
        </w:numPr>
        <w:jc w:val="both"/>
        <w:rPr>
          <w:rFonts w:hint="eastAsia"/>
          <w:b/>
          <w:bCs/>
          <w:sz w:val="32"/>
          <w:szCs w:val="32"/>
        </w:rPr>
      </w:pPr>
    </w:p>
    <w:p w14:paraId="5D105FFE">
      <w:pPr>
        <w:widowControl w:val="0"/>
        <w:numPr>
          <w:ilvl w:val="0"/>
          <w:numId w:val="0"/>
        </w:numPr>
        <w:jc w:val="both"/>
        <w:rPr>
          <w:rFonts w:hint="eastAsia"/>
          <w:b/>
          <w:bCs/>
          <w:sz w:val="32"/>
          <w:szCs w:val="32"/>
        </w:rPr>
      </w:pPr>
    </w:p>
    <w:p w14:paraId="11CACA97">
      <w:pPr>
        <w:widowControl w:val="0"/>
        <w:numPr>
          <w:ilvl w:val="0"/>
          <w:numId w:val="0"/>
        </w:numPr>
        <w:ind w:firstLine="2240" w:firstLineChars="700"/>
        <w:jc w:val="both"/>
        <w:rPr>
          <w:rFonts w:hint="default" w:eastAsiaTheme="minorEastAsia"/>
          <w:b w:val="0"/>
          <w:bCs w:val="0"/>
          <w:sz w:val="32"/>
          <w:szCs w:val="32"/>
          <w:lang w:val="en-US" w:eastAsia="zh-CN"/>
        </w:rPr>
      </w:pPr>
      <w:r>
        <w:rPr>
          <w:rFonts w:hint="eastAsia"/>
          <w:b w:val="0"/>
          <w:bCs w:val="0"/>
          <w:sz w:val="32"/>
          <w:szCs w:val="32"/>
          <w:lang w:val="en-US" w:eastAsia="zh-CN"/>
        </w:rPr>
        <w:t>指导教师：  刘建军</w:t>
      </w:r>
    </w:p>
    <w:p w14:paraId="146EC7D4">
      <w:pPr>
        <w:widowControl w:val="0"/>
        <w:numPr>
          <w:ilvl w:val="0"/>
          <w:numId w:val="0"/>
        </w:numPr>
        <w:ind w:firstLine="2240" w:firstLineChars="700"/>
        <w:jc w:val="both"/>
        <w:rPr>
          <w:rFonts w:hint="eastAsia"/>
          <w:b w:val="0"/>
          <w:bCs w:val="0"/>
          <w:sz w:val="32"/>
          <w:szCs w:val="32"/>
          <w:lang w:val="en-US" w:eastAsia="zh-CN"/>
        </w:rPr>
      </w:pPr>
      <w:r>
        <w:rPr>
          <w:rFonts w:hint="eastAsia"/>
          <w:b w:val="0"/>
          <w:bCs w:val="0"/>
          <w:sz w:val="32"/>
          <w:szCs w:val="32"/>
          <w:lang w:val="en-US" w:eastAsia="zh-CN"/>
        </w:rPr>
        <w:t>提交学生：  王钰琪</w:t>
      </w:r>
    </w:p>
    <w:p w14:paraId="78A04180">
      <w:pPr>
        <w:widowControl w:val="0"/>
        <w:numPr>
          <w:ilvl w:val="0"/>
          <w:numId w:val="0"/>
        </w:numPr>
        <w:ind w:firstLine="2240" w:firstLineChars="700"/>
        <w:jc w:val="both"/>
        <w:rPr>
          <w:rFonts w:hint="default"/>
          <w:b w:val="0"/>
          <w:bCs w:val="0"/>
          <w:sz w:val="32"/>
          <w:szCs w:val="32"/>
          <w:lang w:val="en-US" w:eastAsia="zh-CN"/>
        </w:rPr>
      </w:pPr>
      <w:r>
        <w:rPr>
          <w:rFonts w:hint="eastAsia"/>
          <w:b w:val="0"/>
          <w:bCs w:val="0"/>
          <w:sz w:val="32"/>
          <w:szCs w:val="32"/>
          <w:lang w:val="en-US" w:eastAsia="zh-CN"/>
        </w:rPr>
        <w:t>班    级：建艺工2301</w:t>
      </w:r>
    </w:p>
    <w:p w14:paraId="5C3842DB">
      <w:pPr>
        <w:widowControl w:val="0"/>
        <w:numPr>
          <w:ilvl w:val="0"/>
          <w:numId w:val="0"/>
        </w:numPr>
        <w:ind w:firstLine="2240" w:firstLineChars="700"/>
        <w:jc w:val="both"/>
        <w:rPr>
          <w:rFonts w:hint="default" w:eastAsiaTheme="minorEastAsia"/>
          <w:b w:val="0"/>
          <w:bCs w:val="0"/>
          <w:sz w:val="32"/>
          <w:szCs w:val="32"/>
          <w:lang w:val="en-US" w:eastAsia="zh-CN"/>
        </w:rPr>
      </w:pPr>
      <w:r>
        <w:rPr>
          <w:rFonts w:hint="eastAsia"/>
          <w:b w:val="0"/>
          <w:bCs w:val="0"/>
          <w:sz w:val="32"/>
          <w:szCs w:val="32"/>
          <w:lang w:val="en-US" w:eastAsia="zh-CN"/>
        </w:rPr>
        <w:t>学    号：20231121081</w:t>
      </w:r>
    </w:p>
    <w:p w14:paraId="780CE302">
      <w:pPr>
        <w:widowControl w:val="0"/>
        <w:numPr>
          <w:ilvl w:val="0"/>
          <w:numId w:val="0"/>
        </w:numPr>
        <w:jc w:val="both"/>
        <w:rPr>
          <w:rFonts w:hint="eastAsia"/>
          <w:b w:val="0"/>
          <w:bCs w:val="0"/>
          <w:sz w:val="32"/>
          <w:szCs w:val="32"/>
        </w:rPr>
      </w:pPr>
    </w:p>
    <w:p w14:paraId="7C853F4E">
      <w:pPr>
        <w:widowControl w:val="0"/>
        <w:numPr>
          <w:ilvl w:val="0"/>
          <w:numId w:val="0"/>
        </w:numPr>
        <w:jc w:val="both"/>
        <w:rPr>
          <w:rFonts w:hint="eastAsia"/>
          <w:b/>
          <w:bCs/>
          <w:sz w:val="32"/>
          <w:szCs w:val="32"/>
        </w:rPr>
      </w:pPr>
    </w:p>
    <w:p w14:paraId="0CC69DA0">
      <w:pPr>
        <w:widowControl w:val="0"/>
        <w:numPr>
          <w:ilvl w:val="0"/>
          <w:numId w:val="0"/>
        </w:numPr>
        <w:ind w:firstLine="2249" w:firstLineChars="800"/>
        <w:jc w:val="both"/>
        <w:rPr>
          <w:rFonts w:hint="default" w:eastAsiaTheme="minorEastAsia"/>
          <w:b/>
          <w:bCs/>
          <w:sz w:val="28"/>
          <w:szCs w:val="28"/>
          <w:lang w:val="en-US" w:eastAsia="zh-CN"/>
        </w:rPr>
      </w:pPr>
      <w:r>
        <w:rPr>
          <w:rFonts w:hint="eastAsia"/>
          <w:b/>
          <w:bCs/>
          <w:sz w:val="28"/>
          <w:szCs w:val="28"/>
          <w:lang w:val="en-US" w:eastAsia="zh-CN"/>
        </w:rPr>
        <w:t>完成日期：2025年11月</w:t>
      </w:r>
    </w:p>
    <w:p w14:paraId="5432695D">
      <w:pPr>
        <w:widowControl w:val="0"/>
        <w:numPr>
          <w:ilvl w:val="0"/>
          <w:numId w:val="0"/>
        </w:numPr>
        <w:jc w:val="both"/>
        <w:rPr>
          <w:rFonts w:hint="eastAsia"/>
          <w:b/>
          <w:bCs/>
          <w:sz w:val="32"/>
          <w:szCs w:val="32"/>
        </w:rPr>
      </w:pPr>
    </w:p>
    <w:p w14:paraId="38FED12B">
      <w:pPr>
        <w:widowControl w:val="0"/>
        <w:numPr>
          <w:ilvl w:val="0"/>
          <w:numId w:val="0"/>
        </w:numPr>
        <w:jc w:val="both"/>
        <w:rPr>
          <w:rFonts w:hint="eastAsia"/>
          <w:b/>
          <w:bCs/>
          <w:sz w:val="32"/>
          <w:szCs w:val="32"/>
        </w:rPr>
      </w:pPr>
    </w:p>
    <w:sdt>
      <w:sdtPr>
        <w:rPr>
          <w:rFonts w:ascii="宋体" w:hAnsi="宋体" w:eastAsia="宋体" w:cstheme="minorBidi"/>
          <w:kern w:val="2"/>
          <w:sz w:val="21"/>
          <w:szCs w:val="24"/>
          <w:lang w:val="en-US" w:eastAsia="zh-CN" w:bidi="ar-SA"/>
        </w:rPr>
        <w:id w:val="147478161"/>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481554E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5E81CB3">
          <w:pPr>
            <w:pStyle w:val="10"/>
            <w:tabs>
              <w:tab w:val="right" w:leader="dot" w:pos="8306"/>
            </w:tabs>
          </w:pPr>
          <w:r>
            <w:fldChar w:fldCharType="begin"/>
          </w:r>
          <w:r>
            <w:instrText xml:space="preserve">TOC \o "1-3" \h \u </w:instrText>
          </w:r>
          <w:r>
            <w:fldChar w:fldCharType="separate"/>
          </w:r>
          <w:r>
            <w:fldChar w:fldCharType="begin"/>
          </w:r>
          <w:r>
            <w:instrText xml:space="preserve"> HYPERLINK \l _Toc20283 </w:instrText>
          </w:r>
          <w:r>
            <w:fldChar w:fldCharType="separate"/>
          </w:r>
          <w:r>
            <w:rPr>
              <w:rFonts w:hint="eastAsia"/>
              <w:bCs/>
              <w:szCs w:val="40"/>
            </w:rPr>
            <w:t>第一章 眼动测试实验的背景与意义</w:t>
          </w:r>
          <w:r>
            <w:tab/>
          </w:r>
          <w:r>
            <w:fldChar w:fldCharType="begin"/>
          </w:r>
          <w:r>
            <w:instrText xml:space="preserve"> PAGEREF _Toc20283 \h </w:instrText>
          </w:r>
          <w:r>
            <w:fldChar w:fldCharType="separate"/>
          </w:r>
          <w:r>
            <w:t>20</w:t>
          </w:r>
          <w:r>
            <w:fldChar w:fldCharType="end"/>
          </w:r>
          <w:r>
            <w:fldChar w:fldCharType="end"/>
          </w:r>
        </w:p>
        <w:p w14:paraId="4E8D0A21">
          <w:pPr>
            <w:pStyle w:val="12"/>
            <w:tabs>
              <w:tab w:val="right" w:leader="dot" w:pos="8306"/>
            </w:tabs>
          </w:pPr>
          <w:r>
            <w:fldChar w:fldCharType="begin"/>
          </w:r>
          <w:r>
            <w:instrText xml:space="preserve"> HYPERLINK \l _Toc19811 </w:instrText>
          </w:r>
          <w:r>
            <w:fldChar w:fldCharType="separate"/>
          </w:r>
          <w:r>
            <w:rPr>
              <w:rFonts w:hint="eastAsia"/>
              <w:bCs/>
              <w:szCs w:val="36"/>
            </w:rPr>
            <w:t>1.1 眼动追踪在用户体验研究中的应用</w:t>
          </w:r>
          <w:r>
            <w:tab/>
          </w:r>
          <w:r>
            <w:fldChar w:fldCharType="begin"/>
          </w:r>
          <w:r>
            <w:instrText xml:space="preserve"> PAGEREF _Toc19811 \h </w:instrText>
          </w:r>
          <w:r>
            <w:fldChar w:fldCharType="separate"/>
          </w:r>
          <w:r>
            <w:t>20</w:t>
          </w:r>
          <w:r>
            <w:fldChar w:fldCharType="end"/>
          </w:r>
          <w:r>
            <w:fldChar w:fldCharType="end"/>
          </w:r>
        </w:p>
        <w:p w14:paraId="4352E7F0">
          <w:pPr>
            <w:pStyle w:val="12"/>
            <w:tabs>
              <w:tab w:val="right" w:leader="dot" w:pos="8306"/>
            </w:tabs>
          </w:pPr>
          <w:r>
            <w:fldChar w:fldCharType="begin"/>
          </w:r>
          <w:r>
            <w:instrText xml:space="preserve"> HYPERLINK \l _Toc15125 </w:instrText>
          </w:r>
          <w:r>
            <w:fldChar w:fldCharType="separate"/>
          </w:r>
          <w:r>
            <w:rPr>
              <w:rFonts w:hint="eastAsia"/>
              <w:bCs/>
              <w:szCs w:val="36"/>
            </w:rPr>
            <w:t>1.2 广告位置对用户任务效率的影响</w:t>
          </w:r>
          <w:r>
            <w:tab/>
          </w:r>
          <w:r>
            <w:fldChar w:fldCharType="begin"/>
          </w:r>
          <w:r>
            <w:instrText xml:space="preserve"> PAGEREF _Toc15125 \h </w:instrText>
          </w:r>
          <w:r>
            <w:fldChar w:fldCharType="separate"/>
          </w:r>
          <w:r>
            <w:t>20</w:t>
          </w:r>
          <w:r>
            <w:fldChar w:fldCharType="end"/>
          </w:r>
          <w:r>
            <w:fldChar w:fldCharType="end"/>
          </w:r>
        </w:p>
        <w:p w14:paraId="3E2BACA8">
          <w:pPr>
            <w:pStyle w:val="12"/>
            <w:tabs>
              <w:tab w:val="right" w:leader="dot" w:pos="8306"/>
            </w:tabs>
          </w:pPr>
          <w:r>
            <w:fldChar w:fldCharType="begin"/>
          </w:r>
          <w:r>
            <w:instrText xml:space="preserve"> HYPERLINK \l _Toc3567 </w:instrText>
          </w:r>
          <w:r>
            <w:fldChar w:fldCharType="separate"/>
          </w:r>
          <w:r>
            <w:rPr>
              <w:rFonts w:hint="eastAsia"/>
              <w:bCs/>
              <w:szCs w:val="36"/>
            </w:rPr>
            <w:t>1.3 任务类型对用户注意力分配的作用</w:t>
          </w:r>
          <w:r>
            <w:tab/>
          </w:r>
          <w:r>
            <w:fldChar w:fldCharType="begin"/>
          </w:r>
          <w:r>
            <w:instrText xml:space="preserve"> PAGEREF _Toc3567 \h </w:instrText>
          </w:r>
          <w:r>
            <w:fldChar w:fldCharType="separate"/>
          </w:r>
          <w:r>
            <w:t>20</w:t>
          </w:r>
          <w:r>
            <w:fldChar w:fldCharType="end"/>
          </w:r>
          <w:r>
            <w:fldChar w:fldCharType="end"/>
          </w:r>
        </w:p>
        <w:p w14:paraId="3EA47C9A">
          <w:pPr>
            <w:pStyle w:val="12"/>
            <w:tabs>
              <w:tab w:val="right" w:leader="dot" w:pos="8306"/>
            </w:tabs>
          </w:pPr>
          <w:r>
            <w:fldChar w:fldCharType="begin"/>
          </w:r>
          <w:r>
            <w:instrText xml:space="preserve"> HYPERLINK \l _Toc1088 </w:instrText>
          </w:r>
          <w:r>
            <w:fldChar w:fldCharType="separate"/>
          </w:r>
          <w:r>
            <w:rPr>
              <w:rFonts w:hint="eastAsia"/>
              <w:bCs/>
              <w:szCs w:val="36"/>
            </w:rPr>
            <w:t>1.4 本研究的目标与价值</w:t>
          </w:r>
          <w:r>
            <w:tab/>
          </w:r>
          <w:r>
            <w:fldChar w:fldCharType="begin"/>
          </w:r>
          <w:r>
            <w:instrText xml:space="preserve"> PAGEREF _Toc1088 \h </w:instrText>
          </w:r>
          <w:r>
            <w:fldChar w:fldCharType="separate"/>
          </w:r>
          <w:r>
            <w:t>20</w:t>
          </w:r>
          <w:r>
            <w:fldChar w:fldCharType="end"/>
          </w:r>
          <w:r>
            <w:fldChar w:fldCharType="end"/>
          </w:r>
        </w:p>
        <w:p w14:paraId="5B864D60">
          <w:pPr>
            <w:pStyle w:val="10"/>
            <w:tabs>
              <w:tab w:val="right" w:leader="dot" w:pos="8306"/>
            </w:tabs>
          </w:pPr>
          <w:r>
            <w:fldChar w:fldCharType="begin"/>
          </w:r>
          <w:r>
            <w:instrText xml:space="preserve"> HYPERLINK \l _Toc19620 </w:instrText>
          </w:r>
          <w:r>
            <w:fldChar w:fldCharType="separate"/>
          </w:r>
          <w:r>
            <w:rPr>
              <w:rFonts w:hint="eastAsia"/>
              <w:bCs/>
              <w:szCs w:val="40"/>
            </w:rPr>
            <w:t>第二章 眼动测试实验设计和数据分析处理</w:t>
          </w:r>
          <w:r>
            <w:tab/>
          </w:r>
          <w:r>
            <w:fldChar w:fldCharType="begin"/>
          </w:r>
          <w:r>
            <w:instrText xml:space="preserve"> PAGEREF _Toc19620 \h </w:instrText>
          </w:r>
          <w:r>
            <w:fldChar w:fldCharType="separate"/>
          </w:r>
          <w:r>
            <w:t>21</w:t>
          </w:r>
          <w:r>
            <w:fldChar w:fldCharType="end"/>
          </w:r>
          <w:r>
            <w:fldChar w:fldCharType="end"/>
          </w:r>
        </w:p>
        <w:p w14:paraId="41F318D3">
          <w:pPr>
            <w:pStyle w:val="12"/>
            <w:tabs>
              <w:tab w:val="right" w:leader="dot" w:pos="8306"/>
            </w:tabs>
          </w:pPr>
          <w:r>
            <w:fldChar w:fldCharType="begin"/>
          </w:r>
          <w:r>
            <w:instrText xml:space="preserve"> HYPERLINK \l _Toc18848 </w:instrText>
          </w:r>
          <w:r>
            <w:fldChar w:fldCharType="separate"/>
          </w:r>
          <w:r>
            <w:rPr>
              <w:rFonts w:hint="eastAsia"/>
              <w:bCs/>
              <w:szCs w:val="36"/>
            </w:rPr>
            <w:t>2.1 实验设计说明</w:t>
          </w:r>
          <w:r>
            <w:tab/>
          </w:r>
          <w:r>
            <w:fldChar w:fldCharType="begin"/>
          </w:r>
          <w:r>
            <w:instrText xml:space="preserve"> PAGEREF _Toc18848 \h </w:instrText>
          </w:r>
          <w:r>
            <w:fldChar w:fldCharType="separate"/>
          </w:r>
          <w:r>
            <w:t>21</w:t>
          </w:r>
          <w:r>
            <w:fldChar w:fldCharType="end"/>
          </w:r>
          <w:r>
            <w:fldChar w:fldCharType="end"/>
          </w:r>
        </w:p>
        <w:p w14:paraId="1C8F6326">
          <w:pPr>
            <w:pStyle w:val="7"/>
            <w:tabs>
              <w:tab w:val="right" w:leader="dot" w:pos="8306"/>
            </w:tabs>
          </w:pPr>
          <w:r>
            <w:fldChar w:fldCharType="begin"/>
          </w:r>
          <w:r>
            <w:instrText xml:space="preserve"> HYPERLINK \l _Toc1959 </w:instrText>
          </w:r>
          <w:r>
            <w:fldChar w:fldCharType="separate"/>
          </w:r>
          <w:r>
            <w:rPr>
              <w:rFonts w:hint="eastAsia"/>
              <w:bCs/>
              <w:szCs w:val="32"/>
            </w:rPr>
            <w:t>2.1.1 实验目的</w:t>
          </w:r>
          <w:r>
            <w:tab/>
          </w:r>
          <w:r>
            <w:fldChar w:fldCharType="begin"/>
          </w:r>
          <w:r>
            <w:instrText xml:space="preserve"> PAGEREF _Toc1959 \h </w:instrText>
          </w:r>
          <w:r>
            <w:fldChar w:fldCharType="separate"/>
          </w:r>
          <w:r>
            <w:t>21</w:t>
          </w:r>
          <w:r>
            <w:fldChar w:fldCharType="end"/>
          </w:r>
          <w:r>
            <w:fldChar w:fldCharType="end"/>
          </w:r>
        </w:p>
        <w:p w14:paraId="164F196B">
          <w:pPr>
            <w:pStyle w:val="7"/>
            <w:tabs>
              <w:tab w:val="right" w:leader="dot" w:pos="8306"/>
            </w:tabs>
          </w:pPr>
          <w:r>
            <w:fldChar w:fldCharType="begin"/>
          </w:r>
          <w:r>
            <w:instrText xml:space="preserve"> HYPERLINK \l _Toc18513 </w:instrText>
          </w:r>
          <w:r>
            <w:fldChar w:fldCharType="separate"/>
          </w:r>
          <w:r>
            <w:rPr>
              <w:rFonts w:hint="eastAsia"/>
              <w:bCs/>
              <w:szCs w:val="32"/>
            </w:rPr>
            <w:t>2.1.2 实验材料的获取和预处理</w:t>
          </w:r>
          <w:r>
            <w:tab/>
          </w:r>
          <w:r>
            <w:fldChar w:fldCharType="begin"/>
          </w:r>
          <w:r>
            <w:instrText xml:space="preserve"> PAGEREF _Toc18513 \h </w:instrText>
          </w:r>
          <w:r>
            <w:fldChar w:fldCharType="separate"/>
          </w:r>
          <w:r>
            <w:t>21</w:t>
          </w:r>
          <w:r>
            <w:fldChar w:fldCharType="end"/>
          </w:r>
          <w:r>
            <w:fldChar w:fldCharType="end"/>
          </w:r>
        </w:p>
        <w:p w14:paraId="28F1168B">
          <w:pPr>
            <w:pStyle w:val="7"/>
            <w:tabs>
              <w:tab w:val="right" w:leader="dot" w:pos="8306"/>
            </w:tabs>
          </w:pPr>
          <w:r>
            <w:fldChar w:fldCharType="begin"/>
          </w:r>
          <w:r>
            <w:instrText xml:space="preserve"> HYPERLINK \l _Toc2307 </w:instrText>
          </w:r>
          <w:r>
            <w:fldChar w:fldCharType="separate"/>
          </w:r>
          <w:r>
            <w:rPr>
              <w:rFonts w:hint="eastAsia"/>
              <w:bCs/>
              <w:szCs w:val="32"/>
            </w:rPr>
            <w:t>2.1.3 实验对象和实验流程</w:t>
          </w:r>
          <w:r>
            <w:tab/>
          </w:r>
          <w:r>
            <w:fldChar w:fldCharType="begin"/>
          </w:r>
          <w:r>
            <w:instrText xml:space="preserve"> PAGEREF _Toc2307 \h </w:instrText>
          </w:r>
          <w:r>
            <w:fldChar w:fldCharType="separate"/>
          </w:r>
          <w:r>
            <w:t>22</w:t>
          </w:r>
          <w:r>
            <w:fldChar w:fldCharType="end"/>
          </w:r>
          <w:r>
            <w:fldChar w:fldCharType="end"/>
          </w:r>
        </w:p>
        <w:p w14:paraId="37DF2286">
          <w:pPr>
            <w:pStyle w:val="12"/>
            <w:tabs>
              <w:tab w:val="right" w:leader="dot" w:pos="8306"/>
            </w:tabs>
          </w:pPr>
          <w:r>
            <w:fldChar w:fldCharType="begin"/>
          </w:r>
          <w:r>
            <w:instrText xml:space="preserve"> HYPERLINK \l _Toc9740 </w:instrText>
          </w:r>
          <w:r>
            <w:fldChar w:fldCharType="separate"/>
          </w:r>
          <w:r>
            <w:rPr>
              <w:rFonts w:hint="eastAsia"/>
              <w:bCs/>
              <w:szCs w:val="36"/>
            </w:rPr>
            <w:t>2.2 具体实验和数据分析</w:t>
          </w:r>
          <w:r>
            <w:tab/>
          </w:r>
          <w:r>
            <w:fldChar w:fldCharType="begin"/>
          </w:r>
          <w:r>
            <w:instrText xml:space="preserve"> PAGEREF _Toc9740 \h </w:instrText>
          </w:r>
          <w:r>
            <w:fldChar w:fldCharType="separate"/>
          </w:r>
          <w:r>
            <w:t>23</w:t>
          </w:r>
          <w:r>
            <w:fldChar w:fldCharType="end"/>
          </w:r>
          <w:r>
            <w:fldChar w:fldCharType="end"/>
          </w:r>
        </w:p>
        <w:p w14:paraId="1E50C60A">
          <w:pPr>
            <w:pStyle w:val="7"/>
            <w:tabs>
              <w:tab w:val="right" w:leader="dot" w:pos="8306"/>
            </w:tabs>
          </w:pPr>
          <w:r>
            <w:fldChar w:fldCharType="begin"/>
          </w:r>
          <w:r>
            <w:instrText xml:space="preserve"> HYPERLINK \l _Toc15361 </w:instrText>
          </w:r>
          <w:r>
            <w:fldChar w:fldCharType="separate"/>
          </w:r>
          <w:r>
            <w:rPr>
              <w:rFonts w:hint="eastAsia"/>
              <w:bCs/>
              <w:szCs w:val="32"/>
            </w:rPr>
            <w:t>2.2.</w:t>
          </w:r>
          <w:r>
            <w:rPr>
              <w:rFonts w:hint="eastAsia"/>
              <w:bCs/>
              <w:szCs w:val="32"/>
              <w:lang w:val="en-US" w:eastAsia="zh-CN"/>
            </w:rPr>
            <w:t>1</w:t>
          </w:r>
          <w:r>
            <w:rPr>
              <w:rFonts w:hint="eastAsia"/>
              <w:bCs/>
              <w:szCs w:val="32"/>
            </w:rPr>
            <w:t xml:space="preserve"> 探究一：广告位置对任务效率的影响——基于任务区眼动指标的深度分析</w:t>
          </w:r>
          <w:r>
            <w:tab/>
          </w:r>
          <w:r>
            <w:fldChar w:fldCharType="begin"/>
          </w:r>
          <w:r>
            <w:instrText xml:space="preserve"> PAGEREF _Toc15361 \h </w:instrText>
          </w:r>
          <w:r>
            <w:fldChar w:fldCharType="separate"/>
          </w:r>
          <w:r>
            <w:t>23</w:t>
          </w:r>
          <w:r>
            <w:fldChar w:fldCharType="end"/>
          </w:r>
          <w:r>
            <w:fldChar w:fldCharType="end"/>
          </w:r>
        </w:p>
        <w:p w14:paraId="2C6174C2">
          <w:pPr>
            <w:pStyle w:val="7"/>
            <w:tabs>
              <w:tab w:val="right" w:leader="dot" w:pos="8306"/>
            </w:tabs>
          </w:pPr>
          <w:r>
            <w:fldChar w:fldCharType="begin"/>
          </w:r>
          <w:r>
            <w:instrText xml:space="preserve"> HYPERLINK \l _Toc21410 </w:instrText>
          </w:r>
          <w:r>
            <w:fldChar w:fldCharType="separate"/>
          </w:r>
          <w:r>
            <w:rPr>
              <w:rFonts w:hint="eastAsia" w:ascii="宋体" w:hAnsi="宋体" w:eastAsia="宋体" w:cs="宋体"/>
              <w:bCs/>
              <w:szCs w:val="32"/>
            </w:rPr>
            <w:t>2.2.</w:t>
          </w:r>
          <w:r>
            <w:rPr>
              <w:rFonts w:hint="eastAsia" w:ascii="宋体" w:hAnsi="宋体" w:eastAsia="宋体" w:cs="宋体"/>
              <w:bCs/>
              <w:szCs w:val="32"/>
              <w:lang w:val="en-US" w:eastAsia="zh-CN"/>
            </w:rPr>
            <w:t>2</w:t>
          </w:r>
          <w:r>
            <w:rPr>
              <w:rFonts w:hint="eastAsia" w:ascii="宋体" w:hAnsi="宋体" w:eastAsia="宋体" w:cs="宋体"/>
              <w:bCs/>
              <w:szCs w:val="32"/>
            </w:rPr>
            <w:t xml:space="preserve"> 探究二：任务类型对广告注视行为的影响（独立样本t检验）</w:t>
          </w:r>
          <w:r>
            <w:tab/>
          </w:r>
          <w:r>
            <w:fldChar w:fldCharType="begin"/>
          </w:r>
          <w:r>
            <w:instrText xml:space="preserve"> PAGEREF _Toc21410 \h </w:instrText>
          </w:r>
          <w:r>
            <w:fldChar w:fldCharType="separate"/>
          </w:r>
          <w:r>
            <w:t>27</w:t>
          </w:r>
          <w:r>
            <w:fldChar w:fldCharType="end"/>
          </w:r>
          <w:r>
            <w:fldChar w:fldCharType="end"/>
          </w:r>
        </w:p>
        <w:p w14:paraId="0774448F">
          <w:pPr>
            <w:pStyle w:val="10"/>
            <w:tabs>
              <w:tab w:val="right" w:leader="dot" w:pos="8306"/>
            </w:tabs>
          </w:pPr>
          <w:r>
            <w:fldChar w:fldCharType="begin"/>
          </w:r>
          <w:r>
            <w:instrText xml:space="preserve"> HYPERLINK \l _Toc24114 </w:instrText>
          </w:r>
          <w:r>
            <w:fldChar w:fldCharType="separate"/>
          </w:r>
          <w:r>
            <w:rPr>
              <w:rFonts w:hint="eastAsia" w:ascii="宋体" w:hAnsi="宋体" w:eastAsia="宋体" w:cs="宋体"/>
              <w:bCs/>
              <w:i w:val="0"/>
              <w:iCs w:val="0"/>
              <w:szCs w:val="32"/>
            </w:rPr>
            <w:t>第三章 实验结果总结</w:t>
          </w:r>
          <w:r>
            <w:tab/>
          </w:r>
          <w:r>
            <w:fldChar w:fldCharType="begin"/>
          </w:r>
          <w:r>
            <w:instrText xml:space="preserve"> PAGEREF _Toc24114 \h </w:instrText>
          </w:r>
          <w:r>
            <w:fldChar w:fldCharType="separate"/>
          </w:r>
          <w:r>
            <w:t>29</w:t>
          </w:r>
          <w:r>
            <w:fldChar w:fldCharType="end"/>
          </w:r>
          <w:r>
            <w:fldChar w:fldCharType="end"/>
          </w:r>
        </w:p>
        <w:p w14:paraId="29EF0B1E">
          <w:pPr>
            <w:pStyle w:val="12"/>
            <w:tabs>
              <w:tab w:val="right" w:leader="dot" w:pos="8306"/>
            </w:tabs>
          </w:pPr>
          <w:r>
            <w:fldChar w:fldCharType="begin"/>
          </w:r>
          <w:r>
            <w:instrText xml:space="preserve"> HYPERLINK \l _Toc28759 </w:instrText>
          </w:r>
          <w:r>
            <w:fldChar w:fldCharType="separate"/>
          </w:r>
          <w:r>
            <w:rPr>
              <w:rFonts w:hint="eastAsia" w:ascii="宋体" w:hAnsi="宋体" w:eastAsia="宋体" w:cs="宋体"/>
              <w:bCs/>
              <w:i w:val="0"/>
              <w:iCs w:val="0"/>
              <w:szCs w:val="28"/>
            </w:rPr>
            <w:t>3.1 广告位置对任务效率的认知干扰效应显著</w:t>
          </w:r>
          <w:r>
            <w:tab/>
          </w:r>
          <w:r>
            <w:fldChar w:fldCharType="begin"/>
          </w:r>
          <w:r>
            <w:instrText xml:space="preserve"> PAGEREF _Toc28759 \h </w:instrText>
          </w:r>
          <w:r>
            <w:fldChar w:fldCharType="separate"/>
          </w:r>
          <w:r>
            <w:t>29</w:t>
          </w:r>
          <w:r>
            <w:fldChar w:fldCharType="end"/>
          </w:r>
          <w:r>
            <w:fldChar w:fldCharType="end"/>
          </w:r>
        </w:p>
        <w:p w14:paraId="41606803">
          <w:pPr>
            <w:pStyle w:val="12"/>
            <w:tabs>
              <w:tab w:val="right" w:leader="dot" w:pos="8306"/>
            </w:tabs>
          </w:pPr>
          <w:r>
            <w:fldChar w:fldCharType="begin"/>
          </w:r>
          <w:r>
            <w:instrText xml:space="preserve"> HYPERLINK \l _Toc29146 </w:instrText>
          </w:r>
          <w:r>
            <w:fldChar w:fldCharType="separate"/>
          </w:r>
          <w:r>
            <w:rPr>
              <w:rFonts w:hint="eastAsia" w:ascii="宋体" w:hAnsi="宋体" w:eastAsia="宋体" w:cs="宋体"/>
              <w:bCs/>
              <w:i w:val="0"/>
              <w:iCs w:val="0"/>
              <w:szCs w:val="28"/>
            </w:rPr>
            <w:t>3.2 任务类型显著调节用户对广告的注意力投入</w:t>
          </w:r>
          <w:r>
            <w:tab/>
          </w:r>
          <w:r>
            <w:fldChar w:fldCharType="begin"/>
          </w:r>
          <w:r>
            <w:instrText xml:space="preserve"> PAGEREF _Toc29146 \h </w:instrText>
          </w:r>
          <w:r>
            <w:fldChar w:fldCharType="separate"/>
          </w:r>
          <w:r>
            <w:t>30</w:t>
          </w:r>
          <w:r>
            <w:fldChar w:fldCharType="end"/>
          </w:r>
          <w:r>
            <w:fldChar w:fldCharType="end"/>
          </w:r>
        </w:p>
        <w:p w14:paraId="1275A096">
          <w:pPr>
            <w:pStyle w:val="12"/>
            <w:tabs>
              <w:tab w:val="right" w:leader="dot" w:pos="8306"/>
            </w:tabs>
          </w:pPr>
          <w:r>
            <w:fldChar w:fldCharType="begin"/>
          </w:r>
          <w:r>
            <w:instrText xml:space="preserve"> HYPERLINK \l _Toc7467 </w:instrText>
          </w:r>
          <w:r>
            <w:fldChar w:fldCharType="separate"/>
          </w:r>
          <w:r>
            <w:rPr>
              <w:rFonts w:hint="eastAsia" w:ascii="宋体" w:hAnsi="宋体" w:eastAsia="宋体" w:cs="宋体"/>
              <w:bCs/>
              <w:i w:val="0"/>
              <w:iCs w:val="0"/>
              <w:szCs w:val="28"/>
            </w:rPr>
            <w:t>3.3 研究的理论与实践价值</w:t>
          </w:r>
          <w:r>
            <w:tab/>
          </w:r>
          <w:r>
            <w:fldChar w:fldCharType="begin"/>
          </w:r>
          <w:r>
            <w:instrText xml:space="preserve"> PAGEREF _Toc7467 \h </w:instrText>
          </w:r>
          <w:r>
            <w:fldChar w:fldCharType="separate"/>
          </w:r>
          <w:r>
            <w:t>30</w:t>
          </w:r>
          <w:r>
            <w:fldChar w:fldCharType="end"/>
          </w:r>
          <w:r>
            <w:fldChar w:fldCharType="end"/>
          </w:r>
        </w:p>
        <w:p w14:paraId="27848E0B">
          <w:r>
            <w:fldChar w:fldCharType="end"/>
          </w:r>
        </w:p>
      </w:sdtContent>
    </w:sdt>
    <w:p w14:paraId="697DD1F5"/>
    <w:p w14:paraId="6114898D">
      <w:pPr>
        <w:outlineLvl w:val="0"/>
        <w:rPr>
          <w:rFonts w:hint="eastAsia"/>
          <w:b/>
          <w:bCs/>
          <w:sz w:val="32"/>
          <w:szCs w:val="40"/>
        </w:rPr>
      </w:pPr>
      <w:r>
        <w:rPr>
          <w:rFonts w:hint="eastAsia"/>
          <w:b/>
          <w:bCs/>
          <w:sz w:val="32"/>
          <w:szCs w:val="40"/>
        </w:rPr>
        <w:t xml:space="preserve"> </w:t>
      </w:r>
    </w:p>
    <w:p w14:paraId="622A7332">
      <w:pPr>
        <w:outlineLvl w:val="0"/>
        <w:rPr>
          <w:rFonts w:hint="eastAsia"/>
          <w:b/>
          <w:bCs/>
          <w:sz w:val="32"/>
          <w:szCs w:val="40"/>
        </w:rPr>
      </w:pPr>
    </w:p>
    <w:p w14:paraId="766CFCA8">
      <w:pPr>
        <w:outlineLvl w:val="0"/>
        <w:rPr>
          <w:rFonts w:hint="eastAsia"/>
          <w:b/>
          <w:bCs/>
          <w:sz w:val="32"/>
          <w:szCs w:val="40"/>
        </w:rPr>
      </w:pPr>
    </w:p>
    <w:p w14:paraId="078EF1FE">
      <w:pPr>
        <w:outlineLvl w:val="0"/>
        <w:rPr>
          <w:rFonts w:hint="eastAsia"/>
          <w:b/>
          <w:bCs/>
          <w:sz w:val="32"/>
          <w:szCs w:val="40"/>
        </w:rPr>
      </w:pPr>
    </w:p>
    <w:p w14:paraId="25A0D826">
      <w:pPr>
        <w:outlineLvl w:val="0"/>
        <w:rPr>
          <w:rFonts w:hint="eastAsia"/>
          <w:b/>
          <w:bCs/>
          <w:sz w:val="32"/>
          <w:szCs w:val="40"/>
        </w:rPr>
      </w:pPr>
    </w:p>
    <w:p w14:paraId="7232D643">
      <w:pPr>
        <w:outlineLvl w:val="0"/>
        <w:rPr>
          <w:rFonts w:hint="eastAsia"/>
          <w:b/>
          <w:bCs/>
          <w:sz w:val="32"/>
          <w:szCs w:val="40"/>
        </w:rPr>
      </w:pPr>
    </w:p>
    <w:p w14:paraId="45EF9DB1">
      <w:pPr>
        <w:outlineLvl w:val="0"/>
        <w:rPr>
          <w:rFonts w:hint="eastAsia"/>
          <w:b/>
          <w:bCs/>
          <w:sz w:val="32"/>
          <w:szCs w:val="40"/>
        </w:rPr>
      </w:pPr>
    </w:p>
    <w:p w14:paraId="113C0FC6">
      <w:pPr>
        <w:outlineLvl w:val="0"/>
        <w:rPr>
          <w:rFonts w:hint="eastAsia"/>
          <w:b/>
          <w:bCs/>
          <w:sz w:val="32"/>
          <w:szCs w:val="40"/>
        </w:rPr>
      </w:pPr>
    </w:p>
    <w:p w14:paraId="7FC30A06">
      <w:pPr>
        <w:outlineLvl w:val="0"/>
        <w:rPr>
          <w:rFonts w:hint="eastAsia"/>
          <w:b/>
          <w:bCs/>
          <w:sz w:val="32"/>
          <w:szCs w:val="40"/>
        </w:rPr>
      </w:pPr>
    </w:p>
    <w:p w14:paraId="3BB95E95">
      <w:pPr>
        <w:outlineLvl w:val="0"/>
        <w:rPr>
          <w:rFonts w:hint="eastAsia"/>
          <w:b/>
          <w:bCs/>
          <w:sz w:val="32"/>
          <w:szCs w:val="40"/>
        </w:rPr>
      </w:pPr>
    </w:p>
    <w:p w14:paraId="65FB3518">
      <w:pPr>
        <w:outlineLvl w:val="0"/>
        <w:rPr>
          <w:rFonts w:hint="eastAsia"/>
          <w:b/>
          <w:bCs/>
          <w:sz w:val="32"/>
          <w:szCs w:val="40"/>
        </w:rPr>
      </w:pPr>
    </w:p>
    <w:p w14:paraId="393AD0F4">
      <w:pPr>
        <w:outlineLvl w:val="0"/>
        <w:rPr>
          <w:rFonts w:hint="eastAsia"/>
          <w:b/>
          <w:bCs/>
          <w:sz w:val="32"/>
          <w:szCs w:val="40"/>
        </w:rPr>
      </w:pPr>
    </w:p>
    <w:p w14:paraId="1B3E42C7">
      <w:pPr>
        <w:outlineLvl w:val="0"/>
        <w:rPr>
          <w:rFonts w:hint="eastAsia"/>
          <w:b/>
          <w:bCs/>
          <w:sz w:val="32"/>
          <w:szCs w:val="40"/>
        </w:rPr>
      </w:pPr>
      <w:bookmarkStart w:id="65" w:name="_Toc20283"/>
    </w:p>
    <w:p w14:paraId="743A73D3">
      <w:pPr>
        <w:outlineLvl w:val="0"/>
        <w:rPr>
          <w:rFonts w:hint="eastAsia" w:eastAsiaTheme="minorEastAsia"/>
          <w:b/>
          <w:bCs/>
          <w:sz w:val="32"/>
          <w:szCs w:val="40"/>
          <w:lang w:eastAsia="zh-CN"/>
        </w:rPr>
      </w:pPr>
      <w:bookmarkStart w:id="66" w:name="_Toc2760"/>
      <w:r>
        <w:rPr>
          <w:rFonts w:hint="eastAsia"/>
          <w:b/>
          <w:bCs/>
          <w:sz w:val="32"/>
          <w:szCs w:val="40"/>
        </w:rPr>
        <w:t>第一章 眼动测试实验的背景与意义</w:t>
      </w:r>
      <w:bookmarkEnd w:id="65"/>
      <w:bookmarkEnd w:id="66"/>
    </w:p>
    <w:p w14:paraId="0B696977">
      <w:pPr>
        <w:outlineLvl w:val="1"/>
        <w:rPr>
          <w:rFonts w:hint="eastAsia" w:eastAsiaTheme="minorEastAsia"/>
          <w:b/>
          <w:bCs/>
          <w:sz w:val="28"/>
          <w:szCs w:val="36"/>
          <w:lang w:eastAsia="zh-CN"/>
        </w:rPr>
      </w:pPr>
      <w:bookmarkStart w:id="67" w:name="_Toc19811"/>
      <w:bookmarkStart w:id="68" w:name="_Toc16496"/>
      <w:r>
        <w:rPr>
          <w:rFonts w:hint="eastAsia"/>
          <w:b/>
          <w:bCs/>
          <w:sz w:val="28"/>
          <w:szCs w:val="36"/>
        </w:rPr>
        <w:t>1.1 眼动追踪在用户体验研究中的应用</w:t>
      </w:r>
      <w:bookmarkEnd w:id="67"/>
      <w:bookmarkEnd w:id="68"/>
    </w:p>
    <w:p w14:paraId="14B68F35">
      <w:pPr>
        <w:rPr>
          <w:rFonts w:hint="eastAsia"/>
          <w:sz w:val="24"/>
          <w:szCs w:val="24"/>
        </w:rPr>
      </w:pPr>
      <w:r>
        <w:rPr>
          <w:rFonts w:hint="eastAsia"/>
          <w:sz w:val="24"/>
          <w:szCs w:val="24"/>
        </w:rPr>
        <w:t>眼动追踪技术通过记录用户在观察视觉刺激物时的眼球运动轨迹、注视点、注视时长等数据，为研究者提供了一个洞察用户潜意识认知过程的窗口。在用户体验与交互设计研究领域，该技术已成为一种不可或缺的客观评估工具。</w:t>
      </w:r>
    </w:p>
    <w:p w14:paraId="17EC8262">
      <w:pPr>
        <w:rPr>
          <w:rFonts w:hint="eastAsia"/>
          <w:sz w:val="24"/>
          <w:szCs w:val="24"/>
        </w:rPr>
      </w:pPr>
      <w:r>
        <w:rPr>
          <w:rFonts w:hint="eastAsia"/>
          <w:sz w:val="24"/>
          <w:szCs w:val="24"/>
        </w:rPr>
        <w:t>通过分析眼动热点图（Heat Map）、 gaze plot（注视轨迹图）等，设计师可以直观地了解用户的视觉注意力分布，从而发现设计中的吸引点与盲区，为设计迭代提供坚实的数据支持。因此，运用眼动追踪技术来探究应用程序界面中广告元素对用户操作的影响，具有高度的方法论适切性。</w:t>
      </w:r>
    </w:p>
    <w:p w14:paraId="04766E69">
      <w:pPr>
        <w:outlineLvl w:val="1"/>
        <w:rPr>
          <w:rFonts w:hint="eastAsia" w:eastAsiaTheme="minorEastAsia"/>
          <w:b/>
          <w:bCs/>
          <w:sz w:val="28"/>
          <w:szCs w:val="36"/>
          <w:lang w:eastAsia="zh-CN"/>
        </w:rPr>
      </w:pPr>
      <w:bookmarkStart w:id="69" w:name="_Toc15125"/>
      <w:bookmarkStart w:id="70" w:name="_Toc27956"/>
      <w:r>
        <w:rPr>
          <w:rFonts w:hint="eastAsia"/>
          <w:b/>
          <w:bCs/>
          <w:sz w:val="28"/>
          <w:szCs w:val="36"/>
        </w:rPr>
        <w:t>1.2 广告位置对用户任务效率的影响</w:t>
      </w:r>
      <w:bookmarkEnd w:id="69"/>
      <w:bookmarkEnd w:id="70"/>
    </w:p>
    <w:p w14:paraId="0CF78C4B">
      <w:pPr>
        <w:rPr>
          <w:rFonts w:hint="eastAsia"/>
          <w:sz w:val="24"/>
          <w:szCs w:val="24"/>
        </w:rPr>
      </w:pPr>
      <w:r>
        <w:rPr>
          <w:rFonts w:hint="eastAsia"/>
          <w:sz w:val="24"/>
          <w:szCs w:val="24"/>
        </w:rPr>
        <w:t>在移动互联网时代，应用程序内嵌广告是开发者实现盈利的重要方式，但不当的广告植入会严重干扰用户的主要任务流程，降低操作效率，引发负面情绪，甚至导致用户流失。广告位置作为影响其干扰程度的关键变量，一直是业界和学界关注的焦点。</w:t>
      </w:r>
    </w:p>
    <w:p w14:paraId="5FC5FF56">
      <w:pPr>
        <w:rPr>
          <w:rFonts w:hint="eastAsia"/>
          <w:sz w:val="24"/>
          <w:szCs w:val="24"/>
        </w:rPr>
      </w:pPr>
      <w:r>
        <w:rPr>
          <w:rFonts w:hint="eastAsia"/>
          <w:sz w:val="24"/>
          <w:szCs w:val="24"/>
        </w:rPr>
        <w:t>根据注意力资源理论，用户的视觉注意力和认知资源是有限的。当广告出现在用户执行核心任务的关键视觉路径上时，会与任务目标竞争有限的注意力资源，产生视觉干扰。这种干扰可能导致用户需要更长的时间来定位任务目标，甚至发生操作错误。本研究旨在通过控制广告在手机App内页中的不同位置（如顶部通栏、中部信息流、底部悬浮、侧边栏等），并设定用户在页面中寻找特定内容的任务，精确测量不同广告位置对用户任务效率（以任务完成时间为指标）的影响，从而为广告的合理化布局提供实证依据。</w:t>
      </w:r>
    </w:p>
    <w:p w14:paraId="158A1068">
      <w:pPr>
        <w:outlineLvl w:val="1"/>
        <w:rPr>
          <w:rFonts w:hint="eastAsia" w:eastAsiaTheme="minorEastAsia"/>
          <w:b/>
          <w:bCs/>
          <w:sz w:val="28"/>
          <w:szCs w:val="36"/>
          <w:lang w:eastAsia="zh-CN"/>
        </w:rPr>
      </w:pPr>
      <w:bookmarkStart w:id="71" w:name="_Toc3567"/>
      <w:bookmarkStart w:id="72" w:name="_Toc24739"/>
      <w:r>
        <w:rPr>
          <w:rFonts w:hint="eastAsia"/>
          <w:b/>
          <w:bCs/>
          <w:sz w:val="28"/>
          <w:szCs w:val="36"/>
        </w:rPr>
        <w:t>1.3 任务类型对用户注意力分配的作用</w:t>
      </w:r>
      <w:bookmarkEnd w:id="71"/>
      <w:bookmarkEnd w:id="72"/>
    </w:p>
    <w:p w14:paraId="53F2C546">
      <w:pPr>
        <w:rPr>
          <w:rFonts w:hint="eastAsia"/>
          <w:sz w:val="24"/>
          <w:szCs w:val="24"/>
        </w:rPr>
      </w:pPr>
      <w:r>
        <w:rPr>
          <w:rFonts w:hint="eastAsia"/>
          <w:sz w:val="24"/>
          <w:szCs w:val="24"/>
        </w:rPr>
        <w:t>用户在使用应用时的目标导向性，即任务类型，是决定其注意力分配模式的另一个核心因素。不同的任务类型会引导用户采用不同的信息加工策略和视觉搜索模式。</w:t>
      </w:r>
    </w:p>
    <w:p w14:paraId="4F5A636A">
      <w:pPr>
        <w:rPr>
          <w:rFonts w:hint="eastAsia"/>
          <w:sz w:val="24"/>
          <w:szCs w:val="24"/>
        </w:rPr>
      </w:pPr>
      <w:r>
        <w:rPr>
          <w:rFonts w:hint="eastAsia"/>
          <w:sz w:val="24"/>
          <w:szCs w:val="24"/>
        </w:rPr>
        <w:t xml:space="preserve">   目标导向型任务：例如“在页面中找到某个具体内容”。在此类任务中，用户的注意力高度集中，视觉搜索具有明确的目的性和选择性。他们会主动忽略与任务无关的干扰信息，快速筛选目标区域。此时，即使广告出现在视野中，也可能被“视而不见”，即产生“横幅盲区”效应，导致对广告的注视时长较短。</w:t>
      </w:r>
    </w:p>
    <w:p w14:paraId="4B1D7253">
      <w:pPr>
        <w:rPr>
          <w:rFonts w:hint="eastAsia"/>
          <w:sz w:val="24"/>
          <w:szCs w:val="24"/>
        </w:rPr>
      </w:pPr>
      <w:r>
        <w:rPr>
          <w:rFonts w:hint="eastAsia"/>
          <w:sz w:val="24"/>
          <w:szCs w:val="24"/>
        </w:rPr>
        <w:t xml:space="preserve">   自由浏览型任务：例如“随意看看这个页面，了解其内容”。在此类任务中，用户的注意力处于一种相对分散和探索的状态，视觉搜索范围更广，更可能被色彩鲜艳、动态或新颖的广告元素所吸引，从而导致对广告的注视时长相对较长。</w:t>
      </w:r>
    </w:p>
    <w:p w14:paraId="66037BD3">
      <w:pPr>
        <w:rPr>
          <w:rFonts w:hint="eastAsia"/>
          <w:sz w:val="24"/>
          <w:szCs w:val="24"/>
        </w:rPr>
      </w:pPr>
    </w:p>
    <w:p w14:paraId="1F1033C0">
      <w:pPr>
        <w:rPr>
          <w:rFonts w:hint="eastAsia"/>
          <w:sz w:val="24"/>
          <w:szCs w:val="24"/>
        </w:rPr>
      </w:pPr>
      <w:r>
        <w:rPr>
          <w:rFonts w:hint="eastAsia"/>
          <w:sz w:val="24"/>
          <w:szCs w:val="24"/>
        </w:rPr>
        <w:t>本研究通过设置上述两种不同类型的任务，并记录用户在包含广告的页面上的总注视时长，旨在探究任务类型如何系统地调节用户对广告的注意力投入，深化我们对用户行为模式的理解。</w:t>
      </w:r>
    </w:p>
    <w:p w14:paraId="2EE81A17">
      <w:pPr>
        <w:outlineLvl w:val="1"/>
        <w:rPr>
          <w:rFonts w:hint="eastAsia" w:eastAsiaTheme="minorEastAsia"/>
          <w:b/>
          <w:bCs/>
          <w:sz w:val="28"/>
          <w:szCs w:val="36"/>
          <w:lang w:eastAsia="zh-CN"/>
        </w:rPr>
      </w:pPr>
      <w:bookmarkStart w:id="73" w:name="_Toc1088"/>
      <w:bookmarkStart w:id="74" w:name="_Toc12369"/>
      <w:r>
        <w:rPr>
          <w:rFonts w:hint="eastAsia"/>
          <w:b/>
          <w:bCs/>
          <w:sz w:val="28"/>
          <w:szCs w:val="36"/>
        </w:rPr>
        <w:t>1.4 本研究的目标与价值</w:t>
      </w:r>
      <w:bookmarkEnd w:id="73"/>
      <w:bookmarkEnd w:id="74"/>
    </w:p>
    <w:p w14:paraId="4248935C">
      <w:pPr>
        <w:rPr>
          <w:rFonts w:hint="eastAsia"/>
          <w:sz w:val="24"/>
          <w:szCs w:val="24"/>
        </w:rPr>
      </w:pPr>
      <w:r>
        <w:rPr>
          <w:rFonts w:hint="eastAsia"/>
          <w:sz w:val="24"/>
          <w:szCs w:val="24"/>
        </w:rPr>
        <w:t>综上所述，应用程序内的广告设计面临着平衡商业利益与用户体验的巨大挑战。本研究旨在通过科学的眼动追踪实验方法，系统地探讨广告位置和任务类型这两个关键因素对用户任务效率及注意力分配的影响。</w:t>
      </w:r>
    </w:p>
    <w:p w14:paraId="4778F545">
      <w:pPr>
        <w:rPr>
          <w:rFonts w:hint="eastAsia"/>
          <w:sz w:val="24"/>
          <w:szCs w:val="24"/>
        </w:rPr>
      </w:pPr>
    </w:p>
    <w:p w14:paraId="36006BCA">
      <w:pPr>
        <w:rPr>
          <w:rFonts w:hint="eastAsia" w:eastAsiaTheme="minorEastAsia"/>
          <w:sz w:val="24"/>
          <w:szCs w:val="24"/>
          <w:lang w:eastAsia="zh-CN"/>
        </w:rPr>
      </w:pPr>
      <w:r>
        <w:rPr>
          <w:rFonts w:hint="eastAsia"/>
          <w:sz w:val="24"/>
          <w:szCs w:val="24"/>
        </w:rPr>
        <w:t>本研究的具体目标如下：</w:t>
      </w:r>
    </w:p>
    <w:p w14:paraId="5296608B">
      <w:pPr>
        <w:rPr>
          <w:rFonts w:hint="eastAsia"/>
          <w:sz w:val="24"/>
          <w:szCs w:val="24"/>
        </w:rPr>
      </w:pPr>
      <w:r>
        <w:rPr>
          <w:rFonts w:hint="eastAsia"/>
          <w:sz w:val="24"/>
          <w:szCs w:val="24"/>
        </w:rPr>
        <w:t>1.  量化评估不同广告位置对用户完成目标搜索任务效率的影响，识别出干扰性最低的广告位。</w:t>
      </w:r>
    </w:p>
    <w:p w14:paraId="412FB167">
      <w:pPr>
        <w:rPr>
          <w:rFonts w:hint="eastAsia"/>
          <w:sz w:val="24"/>
          <w:szCs w:val="24"/>
        </w:rPr>
      </w:pPr>
      <w:r>
        <w:rPr>
          <w:rFonts w:hint="eastAsia"/>
          <w:sz w:val="24"/>
          <w:szCs w:val="24"/>
        </w:rPr>
        <w:t>2.  探究不同任务类型（目标导向 vs. 自由浏览）下，用户对广告的注视行为是否存在显著差异。</w:t>
      </w:r>
    </w:p>
    <w:p w14:paraId="7B6B9B91">
      <w:pPr>
        <w:rPr>
          <w:rFonts w:hint="eastAsia"/>
          <w:sz w:val="24"/>
          <w:szCs w:val="24"/>
        </w:rPr>
      </w:pPr>
      <w:r>
        <w:rPr>
          <w:rFonts w:hint="eastAsia"/>
          <w:sz w:val="24"/>
          <w:szCs w:val="24"/>
        </w:rPr>
        <w:t>3.  基于实证研究结果，为移动应用程序的界面设计师和运营者提供具体、可行的广告布局与场景投放策略建议，以期在实现广告价值的同时，最大限度地保障用户体验的流畅与高效。</w:t>
      </w:r>
    </w:p>
    <w:p w14:paraId="410AC013">
      <w:pPr>
        <w:rPr>
          <w:rFonts w:hint="eastAsia"/>
          <w:sz w:val="24"/>
          <w:szCs w:val="24"/>
        </w:rPr>
      </w:pPr>
    </w:p>
    <w:p w14:paraId="09B413A8">
      <w:pPr>
        <w:rPr>
          <w:rFonts w:hint="eastAsia"/>
          <w:sz w:val="22"/>
          <w:szCs w:val="28"/>
        </w:rPr>
      </w:pPr>
      <w:r>
        <w:rPr>
          <w:rFonts w:hint="eastAsia"/>
          <w:sz w:val="24"/>
          <w:szCs w:val="24"/>
        </w:rPr>
        <w:t>本研究的价值在于将眼动这一客观测量手段应用于具体的广告用户体验问题，其结论不仅能直接指导设计实践，也能为相关的学术研究积累来自中文移动互联网环境的实证数据。</w:t>
      </w:r>
    </w:p>
    <w:p w14:paraId="2DBCD701">
      <w:pPr>
        <w:outlineLvl w:val="0"/>
        <w:rPr>
          <w:rFonts w:hint="eastAsia" w:eastAsiaTheme="minorEastAsia"/>
          <w:b/>
          <w:bCs/>
          <w:sz w:val="32"/>
          <w:szCs w:val="40"/>
          <w:lang w:eastAsia="zh-CN"/>
        </w:rPr>
      </w:pPr>
      <w:bookmarkStart w:id="75" w:name="_Toc19620"/>
      <w:bookmarkStart w:id="76" w:name="_Toc15811"/>
      <w:r>
        <w:rPr>
          <w:rFonts w:hint="eastAsia"/>
          <w:b/>
          <w:bCs/>
          <w:sz w:val="32"/>
          <w:szCs w:val="40"/>
        </w:rPr>
        <w:t>第二章 眼动测试实验设计和数据分析处理</w:t>
      </w:r>
      <w:bookmarkEnd w:id="75"/>
      <w:bookmarkEnd w:id="76"/>
    </w:p>
    <w:p w14:paraId="60B65411">
      <w:pPr>
        <w:outlineLvl w:val="1"/>
        <w:rPr>
          <w:rFonts w:hint="eastAsia" w:eastAsiaTheme="minorEastAsia"/>
          <w:b/>
          <w:bCs/>
          <w:sz w:val="28"/>
          <w:szCs w:val="36"/>
          <w:lang w:eastAsia="zh-CN"/>
        </w:rPr>
      </w:pPr>
      <w:bookmarkStart w:id="77" w:name="_Toc18848"/>
      <w:bookmarkStart w:id="78" w:name="_Toc28841"/>
      <w:r>
        <w:rPr>
          <w:rFonts w:hint="eastAsia"/>
          <w:b/>
          <w:bCs/>
          <w:sz w:val="28"/>
          <w:szCs w:val="36"/>
        </w:rPr>
        <w:t>2.1 实验设计说明</w:t>
      </w:r>
      <w:bookmarkEnd w:id="77"/>
      <w:bookmarkEnd w:id="78"/>
    </w:p>
    <w:p w14:paraId="1E47471E">
      <w:pPr>
        <w:outlineLvl w:val="2"/>
        <w:rPr>
          <w:rFonts w:hint="eastAsia" w:eastAsiaTheme="minorEastAsia"/>
          <w:b/>
          <w:bCs/>
          <w:sz w:val="24"/>
          <w:szCs w:val="32"/>
          <w:lang w:eastAsia="zh-CN"/>
        </w:rPr>
      </w:pPr>
      <w:r>
        <w:rPr>
          <w:rFonts w:hint="eastAsia"/>
          <w:b/>
          <w:bCs/>
          <w:sz w:val="24"/>
          <w:szCs w:val="32"/>
        </w:rPr>
        <w:t xml:space="preserve"> </w:t>
      </w:r>
      <w:bookmarkStart w:id="79" w:name="_Toc1959"/>
      <w:bookmarkStart w:id="80" w:name="_Toc5176"/>
      <w:r>
        <w:rPr>
          <w:rFonts w:hint="eastAsia"/>
          <w:b/>
          <w:bCs/>
          <w:sz w:val="24"/>
          <w:szCs w:val="32"/>
        </w:rPr>
        <w:t>2.1.1 实验目的</w:t>
      </w:r>
      <w:bookmarkEnd w:id="79"/>
      <w:bookmarkEnd w:id="80"/>
    </w:p>
    <w:p w14:paraId="373DEF0C">
      <w:pPr>
        <w:rPr>
          <w:rFonts w:hint="eastAsia"/>
          <w:sz w:val="24"/>
          <w:szCs w:val="24"/>
        </w:rPr>
      </w:pPr>
      <w:r>
        <w:rPr>
          <w:rFonts w:hint="eastAsia"/>
          <w:sz w:val="24"/>
          <w:szCs w:val="24"/>
        </w:rPr>
        <w:t>1.  探究一：探究手机App界面中广告位置的不同对用户完成目标搜索任务效率的影响。我们假设不同位置的广告会对任务完成时间产生显著影响。</w:t>
      </w:r>
    </w:p>
    <w:p w14:paraId="0A814EED">
      <w:pPr>
        <w:rPr>
          <w:rFonts w:hint="eastAsia"/>
          <w:sz w:val="24"/>
          <w:szCs w:val="24"/>
        </w:rPr>
      </w:pPr>
      <w:r>
        <w:rPr>
          <w:rFonts w:hint="eastAsia"/>
          <w:sz w:val="24"/>
          <w:szCs w:val="24"/>
        </w:rPr>
        <w:t>2.  探究二：探究任务类型（目标导向 vs. 自由浏览）的不同对用户在包含广告的界面上的广告注视时长的影响。我们假设目标导向任务下的广告注视时长会显著短于自由浏览任务。</w:t>
      </w:r>
    </w:p>
    <w:p w14:paraId="5E4767D6">
      <w:pPr>
        <w:outlineLvl w:val="2"/>
        <w:rPr>
          <w:rFonts w:hint="eastAsia" w:eastAsiaTheme="minorEastAsia"/>
          <w:b/>
          <w:bCs/>
          <w:sz w:val="24"/>
          <w:szCs w:val="32"/>
          <w:lang w:eastAsia="zh-CN"/>
        </w:rPr>
      </w:pPr>
      <w:r>
        <w:rPr>
          <w:rFonts w:hint="eastAsia"/>
          <w:b/>
          <w:bCs/>
          <w:sz w:val="24"/>
          <w:szCs w:val="32"/>
        </w:rPr>
        <w:t xml:space="preserve"> </w:t>
      </w:r>
      <w:bookmarkStart w:id="81" w:name="_Toc19195"/>
      <w:bookmarkStart w:id="82" w:name="_Toc18513"/>
      <w:r>
        <w:rPr>
          <w:rFonts w:hint="eastAsia"/>
          <w:b/>
          <w:bCs/>
          <w:sz w:val="24"/>
          <w:szCs w:val="32"/>
        </w:rPr>
        <w:t>2.1.2 实验材料的获取和预处理</w:t>
      </w:r>
      <w:bookmarkEnd w:id="81"/>
      <w:bookmarkEnd w:id="82"/>
    </w:p>
    <w:p w14:paraId="43A71BEF">
      <w:pPr>
        <w:outlineLvl w:val="3"/>
        <w:rPr>
          <w:rFonts w:hint="eastAsia"/>
          <w:sz w:val="24"/>
          <w:szCs w:val="24"/>
        </w:rPr>
      </w:pPr>
      <w:bookmarkStart w:id="83" w:name="_Toc32719"/>
      <w:r>
        <w:rPr>
          <w:rFonts w:hint="eastAsia"/>
          <w:sz w:val="24"/>
          <w:szCs w:val="24"/>
        </w:rPr>
        <w:t>1.  材料选择与设计：</w:t>
      </w:r>
      <w:bookmarkEnd w:id="83"/>
    </w:p>
    <w:p w14:paraId="579103AF">
      <w:pPr>
        <w:rPr>
          <w:rFonts w:hint="eastAsia"/>
          <w:sz w:val="24"/>
          <w:szCs w:val="24"/>
        </w:rPr>
      </w:pPr>
      <w:r>
        <w:rPr>
          <w:rFonts w:hint="eastAsia"/>
          <w:sz w:val="24"/>
          <w:szCs w:val="24"/>
        </w:rPr>
        <w:t xml:space="preserve">       探究一材料：选取或设计了四张主流手机App的内页截图。这四张图片在界面布局和核心内容上相似，但广告位置被系统地设置为四个不同的水平：</w:t>
      </w:r>
    </w:p>
    <w:p w14:paraId="210C9837">
      <w:pPr>
        <w:rPr>
          <w:rFonts w:hint="eastAsia"/>
          <w:sz w:val="24"/>
          <w:szCs w:val="24"/>
        </w:rPr>
      </w:pPr>
      <w:r>
        <w:rPr>
          <w:rFonts w:hint="eastAsia"/>
          <w:sz w:val="24"/>
          <w:szCs w:val="24"/>
        </w:rPr>
        <w:t>位置A：侧边栏（悬浮）广告</w:t>
      </w:r>
      <w:r>
        <w:rPr>
          <w:rFonts w:hint="eastAsia"/>
          <w:sz w:val="24"/>
          <w:szCs w:val="24"/>
          <w:lang w:val="en-US" w:eastAsia="zh-CN"/>
        </w:rPr>
        <w:t xml:space="preserve">  </w:t>
      </w:r>
      <w:r>
        <w:rPr>
          <w:rFonts w:hint="eastAsia"/>
          <w:sz w:val="24"/>
          <w:szCs w:val="24"/>
        </w:rPr>
        <w:t>位置B：侧边栏（悬浮）广告</w:t>
      </w:r>
    </w:p>
    <w:p w14:paraId="13917875">
      <w:pPr>
        <w:rPr>
          <w:rFonts w:hint="eastAsia"/>
          <w:sz w:val="24"/>
          <w:szCs w:val="24"/>
        </w:rPr>
      </w:pPr>
      <w:r>
        <w:rPr>
          <w:rFonts w:hint="eastAsia"/>
          <w:sz w:val="24"/>
          <w:szCs w:val="24"/>
        </w:rPr>
        <w:t>位置C：中部广告</w:t>
      </w:r>
      <w:r>
        <w:rPr>
          <w:rFonts w:hint="eastAsia"/>
          <w:sz w:val="24"/>
          <w:szCs w:val="24"/>
          <w:lang w:val="en-US" w:eastAsia="zh-CN"/>
        </w:rPr>
        <w:t xml:space="preserve">            </w:t>
      </w:r>
      <w:r>
        <w:rPr>
          <w:rFonts w:hint="eastAsia"/>
          <w:sz w:val="24"/>
          <w:szCs w:val="24"/>
        </w:rPr>
        <w:t>位置D：中部广告</w:t>
      </w:r>
    </w:p>
    <w:p w14:paraId="295DB80B">
      <w:pPr>
        <w:jc w:val="center"/>
        <w:rPr>
          <w:rFonts w:hint="eastAsia" w:eastAsiaTheme="minorEastAsia"/>
          <w:sz w:val="22"/>
          <w:szCs w:val="28"/>
          <w:lang w:eastAsia="zh-CN"/>
        </w:rPr>
      </w:pPr>
      <w:r>
        <w:rPr>
          <w:rFonts w:hint="eastAsia" w:eastAsiaTheme="minorEastAsia"/>
          <w:sz w:val="22"/>
          <w:szCs w:val="28"/>
          <w:lang w:eastAsia="zh-CN"/>
        </w:rPr>
        <w:drawing>
          <wp:inline distT="0" distB="0" distL="114300" distR="114300">
            <wp:extent cx="1100455" cy="2445385"/>
            <wp:effectExtent l="0" t="0" r="4445" b="5715"/>
            <wp:docPr id="4" name="图片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
                    <pic:cNvPicPr>
                      <a:picLocks noChangeAspect="1"/>
                    </pic:cNvPicPr>
                  </pic:nvPicPr>
                  <pic:blipFill>
                    <a:blip r:embed="rId10"/>
                    <a:stretch>
                      <a:fillRect/>
                    </a:stretch>
                  </pic:blipFill>
                  <pic:spPr>
                    <a:xfrm>
                      <a:off x="0" y="0"/>
                      <a:ext cx="1100455" cy="2445385"/>
                    </a:xfrm>
                    <a:prstGeom prst="rect">
                      <a:avLst/>
                    </a:prstGeom>
                  </pic:spPr>
                </pic:pic>
              </a:graphicData>
            </a:graphic>
          </wp:inline>
        </w:drawing>
      </w:r>
      <w:r>
        <w:rPr>
          <w:rFonts w:hint="eastAsia" w:eastAsiaTheme="minorEastAsia"/>
          <w:sz w:val="22"/>
          <w:szCs w:val="28"/>
          <w:lang w:eastAsia="zh-CN"/>
        </w:rPr>
        <w:drawing>
          <wp:inline distT="0" distB="0" distL="114300" distR="114300">
            <wp:extent cx="1096645" cy="2438400"/>
            <wp:effectExtent l="0" t="0" r="8255" b="0"/>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pic:cNvPicPr>
                  </pic:nvPicPr>
                  <pic:blipFill>
                    <a:blip r:embed="rId11"/>
                    <a:stretch>
                      <a:fillRect/>
                    </a:stretch>
                  </pic:blipFill>
                  <pic:spPr>
                    <a:xfrm>
                      <a:off x="0" y="0"/>
                      <a:ext cx="1096645" cy="2438400"/>
                    </a:xfrm>
                    <a:prstGeom prst="rect">
                      <a:avLst/>
                    </a:prstGeom>
                  </pic:spPr>
                </pic:pic>
              </a:graphicData>
            </a:graphic>
          </wp:inline>
        </w:drawing>
      </w:r>
      <w:r>
        <w:rPr>
          <w:rFonts w:hint="eastAsia" w:eastAsiaTheme="minorEastAsia"/>
          <w:sz w:val="22"/>
          <w:szCs w:val="28"/>
          <w:lang w:eastAsia="zh-CN"/>
        </w:rPr>
        <w:drawing>
          <wp:inline distT="0" distB="0" distL="114300" distR="114300">
            <wp:extent cx="1150620" cy="2428240"/>
            <wp:effectExtent l="0" t="0" r="5080" b="10160"/>
            <wp:docPr id="9" name="图片 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
                    <pic:cNvPicPr>
                      <a:picLocks noChangeAspect="1"/>
                    </pic:cNvPicPr>
                  </pic:nvPicPr>
                  <pic:blipFill>
                    <a:blip r:embed="rId12"/>
                    <a:stretch>
                      <a:fillRect/>
                    </a:stretch>
                  </pic:blipFill>
                  <pic:spPr>
                    <a:xfrm>
                      <a:off x="0" y="0"/>
                      <a:ext cx="1150620" cy="2428240"/>
                    </a:xfrm>
                    <a:prstGeom prst="rect">
                      <a:avLst/>
                    </a:prstGeom>
                  </pic:spPr>
                </pic:pic>
              </a:graphicData>
            </a:graphic>
          </wp:inline>
        </w:drawing>
      </w:r>
      <w:r>
        <w:rPr>
          <w:rFonts w:hint="eastAsia" w:eastAsiaTheme="minorEastAsia"/>
          <w:sz w:val="22"/>
          <w:szCs w:val="28"/>
          <w:lang w:eastAsia="zh-CN"/>
        </w:rPr>
        <w:drawing>
          <wp:inline distT="0" distB="0" distL="114300" distR="114300">
            <wp:extent cx="1102360" cy="2451735"/>
            <wp:effectExtent l="0" t="0" r="2540" b="12065"/>
            <wp:docPr id="10" name="图片 1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
                    <pic:cNvPicPr>
                      <a:picLocks noChangeAspect="1"/>
                    </pic:cNvPicPr>
                  </pic:nvPicPr>
                  <pic:blipFill>
                    <a:blip r:embed="rId13"/>
                    <a:stretch>
                      <a:fillRect/>
                    </a:stretch>
                  </pic:blipFill>
                  <pic:spPr>
                    <a:xfrm>
                      <a:off x="0" y="0"/>
                      <a:ext cx="1102360" cy="2451735"/>
                    </a:xfrm>
                    <a:prstGeom prst="rect">
                      <a:avLst/>
                    </a:prstGeom>
                  </pic:spPr>
                </pic:pic>
              </a:graphicData>
            </a:graphic>
          </wp:inline>
        </w:drawing>
      </w:r>
    </w:p>
    <w:p w14:paraId="25D8E6F9">
      <w:pPr>
        <w:pStyle w:val="5"/>
        <w:jc w:val="center"/>
        <w:rPr>
          <w:rFonts w:hint="default" w:eastAsia="黑体"/>
          <w:sz w:val="21"/>
          <w:szCs w:val="28"/>
          <w:lang w:val="en-US" w:eastAsia="zh-CN"/>
        </w:rPr>
      </w:pPr>
      <w:r>
        <w:rPr>
          <w:rFonts w:hint="eastAsia"/>
          <w:sz w:val="21"/>
          <w:szCs w:val="28"/>
          <w:lang w:val="en-US" w:eastAsia="zh-CN"/>
        </w:rPr>
        <w:t>图</w:t>
      </w:r>
      <w:r>
        <w:rPr>
          <w:sz w:val="21"/>
          <w:szCs w:val="28"/>
        </w:rPr>
        <w:t xml:space="preserve">1 </w:t>
      </w:r>
      <w:r>
        <w:rPr>
          <w:rFonts w:hint="eastAsia"/>
          <w:sz w:val="21"/>
          <w:szCs w:val="28"/>
          <w:lang w:val="en-US" w:eastAsia="zh-CN"/>
        </w:rPr>
        <w:t>四张主流app的内页截图</w:t>
      </w:r>
    </w:p>
    <w:p w14:paraId="1BF2EF48">
      <w:pPr>
        <w:rPr>
          <w:rFonts w:hint="eastAsia" w:eastAsiaTheme="minorEastAsia"/>
          <w:sz w:val="22"/>
          <w:szCs w:val="28"/>
          <w:lang w:eastAsia="zh-CN"/>
        </w:rPr>
      </w:pPr>
    </w:p>
    <w:p w14:paraId="058D2F25">
      <w:pPr>
        <w:rPr>
          <w:rFonts w:hint="eastAsia"/>
          <w:sz w:val="24"/>
          <w:szCs w:val="24"/>
        </w:rPr>
      </w:pPr>
      <w:r>
        <w:rPr>
          <w:rFonts w:hint="eastAsia"/>
          <w:sz w:val="24"/>
          <w:szCs w:val="24"/>
        </w:rPr>
        <w:t xml:space="preserve">       探究二材料：选取了</w:t>
      </w:r>
      <w:r>
        <w:rPr>
          <w:rFonts w:hint="eastAsia"/>
          <w:sz w:val="24"/>
          <w:szCs w:val="24"/>
          <w:lang w:val="en-US" w:eastAsia="zh-CN"/>
        </w:rPr>
        <w:t>同一</w:t>
      </w:r>
      <w:r>
        <w:rPr>
          <w:rFonts w:hint="eastAsia"/>
          <w:sz w:val="24"/>
          <w:szCs w:val="24"/>
        </w:rPr>
        <w:t>张包含明显广告的电商类App内页图片，以确保注视时长的差异主要源于任务类型而非广告本身。</w:t>
      </w:r>
    </w:p>
    <w:p w14:paraId="76F117D9">
      <w:pPr>
        <w:rPr>
          <w:rFonts w:hint="eastAsia" w:eastAsiaTheme="minorEastAsia"/>
          <w:sz w:val="22"/>
          <w:szCs w:val="28"/>
          <w:lang w:eastAsia="zh-CN"/>
        </w:rPr>
      </w:pPr>
      <w:r>
        <w:rPr>
          <w:rFonts w:hint="eastAsia"/>
          <w:sz w:val="22"/>
          <w:szCs w:val="28"/>
          <w:lang w:val="en-US" w:eastAsia="zh-CN"/>
        </w:rPr>
        <w:t xml:space="preserve">                               </w:t>
      </w:r>
      <w:r>
        <w:rPr>
          <w:rFonts w:hint="eastAsia" w:eastAsiaTheme="minorEastAsia"/>
          <w:sz w:val="22"/>
          <w:szCs w:val="28"/>
          <w:lang w:eastAsia="zh-CN"/>
        </w:rPr>
        <w:drawing>
          <wp:inline distT="0" distB="0" distL="114300" distR="114300">
            <wp:extent cx="1218565" cy="2595880"/>
            <wp:effectExtent l="0" t="0" r="635" b="7620"/>
            <wp:docPr id="11" name="图片 11" descr="任务类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任务类型"/>
                    <pic:cNvPicPr>
                      <a:picLocks noChangeAspect="1"/>
                    </pic:cNvPicPr>
                  </pic:nvPicPr>
                  <pic:blipFill>
                    <a:blip r:embed="rId14"/>
                    <a:stretch>
                      <a:fillRect/>
                    </a:stretch>
                  </pic:blipFill>
                  <pic:spPr>
                    <a:xfrm>
                      <a:off x="0" y="0"/>
                      <a:ext cx="1218565" cy="2595880"/>
                    </a:xfrm>
                    <a:prstGeom prst="rect">
                      <a:avLst/>
                    </a:prstGeom>
                  </pic:spPr>
                </pic:pic>
              </a:graphicData>
            </a:graphic>
          </wp:inline>
        </w:drawing>
      </w:r>
    </w:p>
    <w:p w14:paraId="534CE2AE">
      <w:pPr>
        <w:pStyle w:val="5"/>
        <w:jc w:val="center"/>
        <w:rPr>
          <w:rFonts w:hint="default" w:eastAsia="黑体"/>
          <w:sz w:val="21"/>
          <w:szCs w:val="28"/>
          <w:lang w:val="en-US" w:eastAsia="zh-CN"/>
        </w:rPr>
      </w:pPr>
      <w:r>
        <w:rPr>
          <w:rFonts w:hint="eastAsia"/>
          <w:sz w:val="21"/>
          <w:szCs w:val="28"/>
          <w:lang w:val="en-US" w:eastAsia="zh-CN"/>
        </w:rPr>
        <w:t>图2</w:t>
      </w:r>
      <w:r>
        <w:rPr>
          <w:sz w:val="21"/>
          <w:szCs w:val="28"/>
        </w:rPr>
        <w:t xml:space="preserve"> </w:t>
      </w:r>
      <w:r>
        <w:rPr>
          <w:rFonts w:hint="eastAsia"/>
          <w:sz w:val="21"/>
          <w:szCs w:val="28"/>
          <w:lang w:val="en-US" w:eastAsia="zh-CN"/>
        </w:rPr>
        <w:t>电商类app内页图片</w:t>
      </w:r>
    </w:p>
    <w:p w14:paraId="2601E9C6">
      <w:pPr>
        <w:rPr>
          <w:rFonts w:hint="eastAsia" w:eastAsiaTheme="minorEastAsia"/>
          <w:sz w:val="22"/>
          <w:szCs w:val="28"/>
          <w:lang w:eastAsia="zh-CN"/>
        </w:rPr>
      </w:pPr>
    </w:p>
    <w:p w14:paraId="45B81488">
      <w:pPr>
        <w:rPr>
          <w:rFonts w:hint="eastAsia"/>
          <w:sz w:val="24"/>
          <w:szCs w:val="24"/>
        </w:rPr>
      </w:pPr>
      <w:r>
        <w:rPr>
          <w:rFonts w:hint="eastAsia"/>
          <w:sz w:val="24"/>
          <w:szCs w:val="24"/>
        </w:rPr>
        <w:t xml:space="preserve">       所有材料均统一为相同的屏幕分辨率和尺寸，并移除了所有可能泄露来源的品牌标识，以控制无关变量。</w:t>
      </w:r>
    </w:p>
    <w:p w14:paraId="42730F2E">
      <w:pPr>
        <w:outlineLvl w:val="3"/>
        <w:rPr>
          <w:rFonts w:hint="eastAsia"/>
          <w:sz w:val="24"/>
          <w:szCs w:val="24"/>
        </w:rPr>
      </w:pPr>
      <w:bookmarkStart w:id="84" w:name="_Toc23977"/>
      <w:r>
        <w:rPr>
          <w:rFonts w:hint="eastAsia"/>
          <w:sz w:val="24"/>
          <w:szCs w:val="24"/>
        </w:rPr>
        <w:t>2.  任务设计：</w:t>
      </w:r>
      <w:bookmarkEnd w:id="84"/>
    </w:p>
    <w:p w14:paraId="5A65B3A8">
      <w:pPr>
        <w:rPr>
          <w:rFonts w:hint="eastAsia"/>
          <w:sz w:val="24"/>
          <w:szCs w:val="24"/>
        </w:rPr>
      </w:pPr>
      <w:r>
        <w:rPr>
          <w:rFonts w:hint="eastAsia"/>
          <w:sz w:val="24"/>
          <w:szCs w:val="24"/>
        </w:rPr>
        <w:t xml:space="preserve">       探究一任务（目标搜索任务）：向被试呈现上述四张图片（顺序随机），并分别发布指令：</w:t>
      </w:r>
    </w:p>
    <w:p w14:paraId="2E949F98">
      <w:pPr>
        <w:rPr>
          <w:rFonts w:hint="eastAsia"/>
          <w:sz w:val="24"/>
          <w:szCs w:val="24"/>
        </w:rPr>
      </w:pPr>
      <w:r>
        <w:rPr>
          <w:rFonts w:hint="eastAsia"/>
          <w:sz w:val="24"/>
          <w:szCs w:val="24"/>
        </w:rPr>
        <w:t xml:space="preserve">           “请观察下列App界面，找到帖子的点赞量。”</w:t>
      </w:r>
    </w:p>
    <w:p w14:paraId="1F78D4AE">
      <w:pPr>
        <w:rPr>
          <w:rFonts w:hint="eastAsia"/>
          <w:sz w:val="24"/>
          <w:szCs w:val="24"/>
        </w:rPr>
      </w:pPr>
      <w:r>
        <w:rPr>
          <w:rFonts w:hint="eastAsia"/>
          <w:sz w:val="24"/>
          <w:szCs w:val="24"/>
        </w:rPr>
        <w:t xml:space="preserve">           “请观察下列App界面，找到会员中心。”</w:t>
      </w:r>
    </w:p>
    <w:p w14:paraId="2AFF769E">
      <w:pPr>
        <w:rPr>
          <w:rFonts w:hint="eastAsia"/>
          <w:sz w:val="24"/>
          <w:szCs w:val="24"/>
        </w:rPr>
      </w:pPr>
      <w:r>
        <w:rPr>
          <w:rFonts w:hint="eastAsia"/>
          <w:sz w:val="24"/>
          <w:szCs w:val="24"/>
        </w:rPr>
        <w:t xml:space="preserve">           “请观察下列App界面，找到缴付账单的入口。”</w:t>
      </w:r>
    </w:p>
    <w:p w14:paraId="63180F71">
      <w:pPr>
        <w:rPr>
          <w:rFonts w:hint="eastAsia"/>
          <w:sz w:val="24"/>
          <w:szCs w:val="24"/>
        </w:rPr>
      </w:pPr>
      <w:r>
        <w:rPr>
          <w:rFonts w:hint="eastAsia"/>
          <w:sz w:val="24"/>
          <w:szCs w:val="24"/>
        </w:rPr>
        <w:t xml:space="preserve">           “请观察下列App界面，找到‘热点’ 栏目。”</w:t>
      </w:r>
    </w:p>
    <w:p w14:paraId="68767E72">
      <w:pPr>
        <w:rPr>
          <w:rFonts w:hint="eastAsia"/>
          <w:sz w:val="24"/>
          <w:szCs w:val="24"/>
        </w:rPr>
      </w:pPr>
      <w:r>
        <w:rPr>
          <w:rFonts w:hint="eastAsia"/>
          <w:sz w:val="24"/>
          <w:szCs w:val="24"/>
        </w:rPr>
        <w:t xml:space="preserve">       探究二任务：</w:t>
      </w:r>
    </w:p>
    <w:p w14:paraId="15A92D84">
      <w:pPr>
        <w:rPr>
          <w:rFonts w:hint="eastAsia"/>
          <w:sz w:val="24"/>
          <w:szCs w:val="24"/>
        </w:rPr>
      </w:pPr>
      <w:r>
        <w:rPr>
          <w:rFonts w:hint="eastAsia"/>
          <w:sz w:val="24"/>
          <w:szCs w:val="24"/>
        </w:rPr>
        <w:t xml:space="preserve">           目标导向任务：向被试呈现一张电商App图片，指令为：“请观察下列App界面，找到‘双十一’入口。”</w:t>
      </w:r>
    </w:p>
    <w:p w14:paraId="006735CE">
      <w:pPr>
        <w:rPr>
          <w:rFonts w:hint="eastAsia"/>
          <w:sz w:val="24"/>
          <w:szCs w:val="24"/>
        </w:rPr>
      </w:pPr>
      <w:r>
        <w:rPr>
          <w:rFonts w:hint="eastAsia"/>
          <w:sz w:val="24"/>
          <w:szCs w:val="24"/>
        </w:rPr>
        <w:t xml:space="preserve">           自由浏览任务：向被试呈现另一张电商App图片，指令为：“请在十秒内自由浏览此界面，稍后我们会询问您一个有关界面的问题。” 浏览结束后，询问：“请问您认为这个App主要是关于什么的？”（正确答案为“购物”）。</w:t>
      </w:r>
    </w:p>
    <w:p w14:paraId="6486ED0D">
      <w:pPr>
        <w:outlineLvl w:val="2"/>
        <w:rPr>
          <w:rFonts w:hint="eastAsia" w:eastAsiaTheme="minorEastAsia"/>
          <w:b/>
          <w:bCs/>
          <w:sz w:val="24"/>
          <w:szCs w:val="32"/>
          <w:lang w:eastAsia="zh-CN"/>
        </w:rPr>
      </w:pPr>
      <w:bookmarkStart w:id="85" w:name="_Toc30730"/>
      <w:bookmarkStart w:id="86" w:name="_Toc2307"/>
      <w:r>
        <w:rPr>
          <w:rFonts w:hint="eastAsia"/>
          <w:b/>
          <w:bCs/>
          <w:sz w:val="24"/>
          <w:szCs w:val="32"/>
        </w:rPr>
        <w:t>2.1.3 实验对象和实验流程</w:t>
      </w:r>
      <w:bookmarkEnd w:id="85"/>
      <w:bookmarkEnd w:id="86"/>
    </w:p>
    <w:p w14:paraId="07A60976">
      <w:pPr>
        <w:rPr>
          <w:rFonts w:hint="eastAsia"/>
          <w:sz w:val="24"/>
          <w:szCs w:val="24"/>
        </w:rPr>
      </w:pPr>
      <w:r>
        <w:rPr>
          <w:rFonts w:hint="eastAsia"/>
          <w:sz w:val="24"/>
          <w:szCs w:val="24"/>
        </w:rPr>
        <w:t>1.  实验对象：招募了</w:t>
      </w:r>
      <w:r>
        <w:rPr>
          <w:rFonts w:hint="eastAsia"/>
          <w:sz w:val="24"/>
          <w:szCs w:val="24"/>
          <w:lang w:val="en-US" w:eastAsia="zh-CN"/>
        </w:rPr>
        <w:t>13</w:t>
      </w:r>
      <w:r>
        <w:rPr>
          <w:rFonts w:hint="eastAsia"/>
          <w:sz w:val="24"/>
          <w:szCs w:val="24"/>
        </w:rPr>
        <w:t>名视力或矫正视力正常，拥有丰富智能手机使用经验的用户作为被试。所有被试被随机分配接受不同的任务顺序，以平衡顺序效应。</w:t>
      </w:r>
    </w:p>
    <w:p w14:paraId="7C6E831B">
      <w:pPr>
        <w:rPr>
          <w:rFonts w:hint="eastAsia"/>
          <w:sz w:val="24"/>
          <w:szCs w:val="24"/>
        </w:rPr>
      </w:pPr>
      <w:r>
        <w:rPr>
          <w:rFonts w:hint="eastAsia"/>
          <w:sz w:val="24"/>
          <w:szCs w:val="24"/>
          <w:lang w:val="en-US" w:eastAsia="zh-CN"/>
        </w:rPr>
        <w:t>2</w:t>
      </w:r>
      <w:r>
        <w:rPr>
          <w:rFonts w:hint="eastAsia"/>
          <w:sz w:val="24"/>
          <w:szCs w:val="24"/>
        </w:rPr>
        <w:t>.  实验流程：</w:t>
      </w:r>
    </w:p>
    <w:p w14:paraId="2692EC90">
      <w:pPr>
        <w:rPr>
          <w:rFonts w:hint="eastAsia"/>
          <w:sz w:val="24"/>
          <w:szCs w:val="24"/>
        </w:rPr>
      </w:pPr>
      <w:r>
        <w:rPr>
          <w:rFonts w:hint="eastAsia"/>
          <w:sz w:val="24"/>
          <w:szCs w:val="24"/>
        </w:rPr>
        <w:t xml:space="preserve">       准备阶段：</w:t>
      </w:r>
      <w:r>
        <w:rPr>
          <w:rFonts w:hint="eastAsia"/>
          <w:sz w:val="24"/>
          <w:szCs w:val="24"/>
          <w:lang w:val="en-US" w:eastAsia="zh-CN"/>
        </w:rPr>
        <w:t>获得</w:t>
      </w:r>
      <w:r>
        <w:rPr>
          <w:rFonts w:hint="eastAsia"/>
          <w:sz w:val="24"/>
          <w:szCs w:val="24"/>
        </w:rPr>
        <w:t>被试同意后，坐于眼动仪前，进行5点校准，确保追踪精度达标。</w:t>
      </w:r>
    </w:p>
    <w:p w14:paraId="5BBCB7D2">
      <w:pPr>
        <w:rPr>
          <w:rFonts w:hint="eastAsia"/>
          <w:sz w:val="24"/>
          <w:szCs w:val="24"/>
        </w:rPr>
      </w:pPr>
      <w:r>
        <w:rPr>
          <w:rFonts w:hint="eastAsia"/>
          <w:sz w:val="24"/>
          <w:szCs w:val="24"/>
        </w:rPr>
        <w:t xml:space="preserve">       练习阶段：提供一个与正式实验无关的界面让被试熟悉任务流程和眼动感觉。</w:t>
      </w:r>
    </w:p>
    <w:p w14:paraId="11F0181F">
      <w:pPr>
        <w:rPr>
          <w:rFonts w:hint="eastAsia"/>
          <w:sz w:val="24"/>
          <w:szCs w:val="24"/>
        </w:rPr>
      </w:pPr>
      <w:r>
        <w:rPr>
          <w:rFonts w:hint="eastAsia"/>
          <w:sz w:val="24"/>
          <w:szCs w:val="24"/>
        </w:rPr>
        <w:t xml:space="preserve">       正式实验：</w:t>
      </w:r>
    </w:p>
    <w:p w14:paraId="4896B5D9">
      <w:pPr>
        <w:rPr>
          <w:rFonts w:hint="eastAsia"/>
          <w:sz w:val="24"/>
          <w:szCs w:val="24"/>
        </w:rPr>
      </w:pPr>
      <w:r>
        <w:rPr>
          <w:rFonts w:hint="eastAsia"/>
          <w:sz w:val="24"/>
          <w:szCs w:val="24"/>
        </w:rPr>
        <w:t xml:space="preserve">           探究一：四张图片及对应的搜索任务按随机顺序呈现。每张图片呈现直至被试口头报告“找到”并按下空格键，或最长不超过30秒。</w:t>
      </w:r>
    </w:p>
    <w:p w14:paraId="14838852">
      <w:pPr>
        <w:rPr>
          <w:rFonts w:hint="eastAsia"/>
          <w:sz w:val="24"/>
          <w:szCs w:val="24"/>
        </w:rPr>
      </w:pPr>
      <w:r>
        <w:rPr>
          <w:rFonts w:hint="eastAsia"/>
          <w:sz w:val="24"/>
          <w:szCs w:val="24"/>
        </w:rPr>
        <w:t xml:space="preserve">           探究二：两个任务（目标导向、自由浏览）及对应的图片以随机顺序呈现。目标导向任务流程同探究一；自由浏览任务固定呈现10秒。</w:t>
      </w:r>
    </w:p>
    <w:p w14:paraId="45913A3F">
      <w:pPr>
        <w:rPr>
          <w:rFonts w:hint="eastAsia"/>
          <w:sz w:val="24"/>
          <w:szCs w:val="24"/>
        </w:rPr>
      </w:pPr>
      <w:r>
        <w:rPr>
          <w:rFonts w:hint="eastAsia"/>
          <w:sz w:val="24"/>
          <w:szCs w:val="24"/>
        </w:rPr>
        <w:t xml:space="preserve">       数据记录：眼动仪自动记录每位被试的任务完成时间、注视点、注视时长等数据。实验员记录被试的口头回答是否正确。</w:t>
      </w:r>
    </w:p>
    <w:p w14:paraId="7B9E908C">
      <w:pPr>
        <w:outlineLvl w:val="1"/>
        <w:rPr>
          <w:rFonts w:hint="eastAsia" w:eastAsiaTheme="minorEastAsia"/>
          <w:b/>
          <w:bCs/>
          <w:sz w:val="28"/>
          <w:szCs w:val="36"/>
          <w:lang w:eastAsia="zh-CN"/>
        </w:rPr>
      </w:pPr>
      <w:bookmarkStart w:id="87" w:name="_Toc9740"/>
      <w:bookmarkStart w:id="88" w:name="_Toc21065"/>
      <w:r>
        <w:rPr>
          <w:rFonts w:hint="eastAsia"/>
          <w:b/>
          <w:bCs/>
          <w:sz w:val="28"/>
          <w:szCs w:val="36"/>
        </w:rPr>
        <w:t>2.2 具体实验和数据分析</w:t>
      </w:r>
      <w:bookmarkEnd w:id="87"/>
      <w:bookmarkEnd w:id="88"/>
    </w:p>
    <w:p w14:paraId="1D8B99D8">
      <w:pPr>
        <w:rPr>
          <w:rFonts w:hint="eastAsia"/>
          <w:sz w:val="24"/>
          <w:szCs w:val="24"/>
        </w:rPr>
      </w:pPr>
      <w:r>
        <w:rPr>
          <w:rFonts w:hint="eastAsia"/>
          <w:sz w:val="24"/>
          <w:szCs w:val="24"/>
        </w:rPr>
        <w:t>所有数据从眼动分析软件中导出后，使用SPSS进行处理。对不符合正态分布的数据进行适当的转换（如对数转换）或使用非参数检验。</w:t>
      </w:r>
    </w:p>
    <w:p w14:paraId="2273BD13">
      <w:pPr>
        <w:outlineLvl w:val="2"/>
        <w:rPr>
          <w:rFonts w:hint="eastAsia" w:eastAsiaTheme="minorEastAsia"/>
          <w:b/>
          <w:bCs/>
          <w:sz w:val="24"/>
          <w:szCs w:val="32"/>
          <w:lang w:eastAsia="zh-CN"/>
        </w:rPr>
      </w:pPr>
      <w:bookmarkStart w:id="89" w:name="_Toc15361"/>
      <w:bookmarkStart w:id="90" w:name="_Toc14296"/>
      <w:r>
        <w:rPr>
          <w:rFonts w:hint="eastAsia"/>
          <w:b/>
          <w:bCs/>
          <w:sz w:val="24"/>
          <w:szCs w:val="32"/>
        </w:rPr>
        <w:t>2.2.</w:t>
      </w:r>
      <w:r>
        <w:rPr>
          <w:rFonts w:hint="eastAsia"/>
          <w:b/>
          <w:bCs/>
          <w:sz w:val="24"/>
          <w:szCs w:val="32"/>
          <w:lang w:val="en-US" w:eastAsia="zh-CN"/>
        </w:rPr>
        <w:t>1</w:t>
      </w:r>
      <w:r>
        <w:rPr>
          <w:rFonts w:hint="eastAsia"/>
          <w:b/>
          <w:bCs/>
          <w:sz w:val="24"/>
          <w:szCs w:val="32"/>
        </w:rPr>
        <w:t xml:space="preserve"> 探究一：广告位置对任务效率的影响——基于任务区眼动指标的深度分析</w:t>
      </w:r>
      <w:bookmarkEnd w:id="89"/>
      <w:bookmarkEnd w:id="90"/>
    </w:p>
    <w:p w14:paraId="4B25EFB9">
      <w:pPr>
        <w:outlineLvl w:val="3"/>
        <w:rPr>
          <w:rFonts w:hint="eastAsia" w:eastAsiaTheme="minorEastAsia"/>
          <w:b w:val="0"/>
          <w:bCs w:val="0"/>
          <w:sz w:val="24"/>
          <w:szCs w:val="32"/>
          <w:lang w:eastAsia="zh-CN"/>
        </w:rPr>
      </w:pPr>
      <w:bookmarkStart w:id="91" w:name="_Toc6391"/>
      <w:r>
        <w:rPr>
          <w:rFonts w:hint="eastAsia"/>
          <w:b w:val="0"/>
          <w:bCs w:val="0"/>
          <w:sz w:val="24"/>
          <w:szCs w:val="32"/>
        </w:rPr>
        <w:t>1. 分析背景与目的</w:t>
      </w:r>
      <w:bookmarkEnd w:id="91"/>
    </w:p>
    <w:p w14:paraId="5194BAF9">
      <w:pPr>
        <w:rPr>
          <w:rFonts w:hint="eastAsia"/>
          <w:b w:val="0"/>
          <w:bCs w:val="0"/>
          <w:sz w:val="24"/>
          <w:szCs w:val="32"/>
        </w:rPr>
      </w:pPr>
      <w:r>
        <w:rPr>
          <w:rFonts w:hint="eastAsia"/>
          <w:b w:val="0"/>
          <w:bCs w:val="0"/>
          <w:sz w:val="24"/>
          <w:szCs w:val="32"/>
        </w:rPr>
        <w:t>本研究旨在探究手机App界面中不同广告位置对用户任务效率的影响。任务效率最直接的行为指标是任务完成时间。然而，由于原始任务完成时间数据的记录不完整，无法直接进行基于行为数据的统计分析。为克服这一数据缺失的局限，并更深入地理解广告位置影响任务效率的认知机制，本研究转向对任务兴趣区的眼动数据进行分析。</w:t>
      </w:r>
    </w:p>
    <w:p w14:paraId="666845FD">
      <w:pPr>
        <w:rPr>
          <w:rFonts w:hint="eastAsia"/>
          <w:b w:val="0"/>
          <w:bCs w:val="0"/>
          <w:sz w:val="24"/>
          <w:szCs w:val="32"/>
        </w:rPr>
      </w:pPr>
      <w:r>
        <w:rPr>
          <w:rFonts w:hint="eastAsia"/>
          <w:b w:val="0"/>
          <w:bCs w:val="0"/>
          <w:sz w:val="24"/>
          <w:szCs w:val="32"/>
        </w:rPr>
        <w:t>核心逻辑：用户在执行目标搜索任务时，其视觉注意力主要集中于任务相关的区域（即“任务区”）。如果广告位置对任务造成了干扰，用户将需要投入更多的认知资源来克服这种干扰，体现在眼动数据上即为：在任务区需要更长的总注视时间和更多的注视次数才能定位目标。因此，任务区的总注视时长 和 注视次数 可以作为衡量任务认知负荷和效率的有效代理指标。认知负荷越高，间接表明任务效率越低。</w:t>
      </w:r>
    </w:p>
    <w:p w14:paraId="0674D44D">
      <w:pPr>
        <w:rPr>
          <w:rFonts w:hint="eastAsia"/>
          <w:b w:val="0"/>
          <w:bCs w:val="0"/>
          <w:sz w:val="24"/>
          <w:szCs w:val="32"/>
        </w:rPr>
      </w:pPr>
    </w:p>
    <w:p w14:paraId="33E1591F">
      <w:pPr>
        <w:rPr>
          <w:rFonts w:hint="eastAsia"/>
          <w:b w:val="0"/>
          <w:bCs w:val="0"/>
          <w:sz w:val="24"/>
          <w:szCs w:val="32"/>
        </w:rPr>
      </w:pPr>
      <w:r>
        <w:rPr>
          <w:rFonts w:hint="eastAsia"/>
          <w:b w:val="0"/>
          <w:bCs w:val="0"/>
          <w:sz w:val="24"/>
          <w:szCs w:val="32"/>
        </w:rPr>
        <w:t>本研究通过分析四个不同广告位置下，用户在执行任务时对任务区的注视行为，从视觉注意力层面检验广告位置的干扰效应。</w:t>
      </w:r>
    </w:p>
    <w:p w14:paraId="551B4B8C">
      <w:pPr>
        <w:rPr>
          <w:rFonts w:hint="eastAsia"/>
          <w:b w:val="0"/>
          <w:bCs w:val="0"/>
          <w:sz w:val="24"/>
          <w:szCs w:val="32"/>
        </w:rPr>
      </w:pPr>
    </w:p>
    <w:p w14:paraId="6B79E564">
      <w:pPr>
        <w:outlineLvl w:val="3"/>
        <w:rPr>
          <w:rFonts w:hint="eastAsia" w:eastAsiaTheme="minorEastAsia"/>
          <w:b w:val="0"/>
          <w:bCs w:val="0"/>
          <w:sz w:val="24"/>
          <w:szCs w:val="32"/>
          <w:lang w:eastAsia="zh-CN"/>
        </w:rPr>
      </w:pPr>
      <w:r>
        <w:rPr>
          <w:rFonts w:hint="eastAsia"/>
          <w:b w:val="0"/>
          <w:bCs w:val="0"/>
          <w:sz w:val="24"/>
          <w:szCs w:val="32"/>
        </w:rPr>
        <w:t xml:space="preserve"> </w:t>
      </w:r>
      <w:bookmarkStart w:id="92" w:name="_Toc13350"/>
      <w:r>
        <w:rPr>
          <w:rFonts w:hint="eastAsia"/>
          <w:b w:val="0"/>
          <w:bCs w:val="0"/>
          <w:sz w:val="24"/>
          <w:szCs w:val="32"/>
        </w:rPr>
        <w:t>2. 方法</w:t>
      </w:r>
      <w:bookmarkEnd w:id="92"/>
    </w:p>
    <w:p w14:paraId="67A618F6">
      <w:pPr>
        <w:rPr>
          <w:rFonts w:hint="eastAsia"/>
          <w:b w:val="0"/>
          <w:bCs w:val="0"/>
          <w:sz w:val="24"/>
          <w:szCs w:val="32"/>
        </w:rPr>
      </w:pPr>
      <w:r>
        <w:rPr>
          <w:rFonts w:hint="eastAsia"/>
          <w:b w:val="0"/>
          <w:bCs w:val="0"/>
          <w:sz w:val="24"/>
          <w:szCs w:val="32"/>
        </w:rPr>
        <w:t>- 自变量：广告位置。根据实验材料与AOI对应关系，划分为四个水平：</w:t>
      </w:r>
    </w:p>
    <w:p w14:paraId="10C661BB">
      <w:pPr>
        <w:rPr>
          <w:rFonts w:hint="eastAsia"/>
          <w:b w:val="0"/>
          <w:bCs w:val="0"/>
          <w:sz w:val="24"/>
          <w:szCs w:val="32"/>
        </w:rPr>
      </w:pPr>
      <w:r>
        <w:rPr>
          <w:rFonts w:hint="eastAsia"/>
          <w:b w:val="0"/>
          <w:bCs w:val="0"/>
          <w:sz w:val="24"/>
          <w:szCs w:val="32"/>
        </w:rPr>
        <w:t xml:space="preserve">  - 位置A (AOI 5)：侧边栏广告</w:t>
      </w:r>
    </w:p>
    <w:p w14:paraId="4FFE7D23">
      <w:pPr>
        <w:rPr>
          <w:rFonts w:hint="eastAsia" w:eastAsiaTheme="minorEastAsia"/>
          <w:b w:val="0"/>
          <w:bCs w:val="0"/>
          <w:sz w:val="24"/>
          <w:szCs w:val="32"/>
          <w:lang w:val="en-US" w:eastAsia="zh-CN"/>
        </w:rPr>
      </w:pPr>
      <w:r>
        <w:rPr>
          <w:rFonts w:hint="eastAsia"/>
          <w:b w:val="0"/>
          <w:bCs w:val="0"/>
          <w:sz w:val="24"/>
          <w:szCs w:val="32"/>
        </w:rPr>
        <w:t xml:space="preserve">  - 位置B (AOI 11)：侧边栏广告（另一种样式/上下文）</w:t>
      </w:r>
    </w:p>
    <w:p w14:paraId="6B5D8CDB">
      <w:pPr>
        <w:rPr>
          <w:rFonts w:hint="eastAsia"/>
          <w:b w:val="0"/>
          <w:bCs w:val="0"/>
          <w:sz w:val="24"/>
          <w:szCs w:val="32"/>
        </w:rPr>
      </w:pPr>
      <w:r>
        <w:rPr>
          <w:rFonts w:hint="eastAsia"/>
          <w:b w:val="0"/>
          <w:bCs w:val="0"/>
          <w:sz w:val="24"/>
          <w:szCs w:val="32"/>
        </w:rPr>
        <w:t xml:space="preserve">  - 位置C (AOI 12)：中部广告</w:t>
      </w:r>
    </w:p>
    <w:p w14:paraId="79BFC2F0">
      <w:pPr>
        <w:rPr>
          <w:rFonts w:hint="eastAsia"/>
          <w:b w:val="0"/>
          <w:bCs w:val="0"/>
          <w:sz w:val="24"/>
          <w:szCs w:val="32"/>
        </w:rPr>
      </w:pPr>
      <w:r>
        <w:rPr>
          <w:rFonts w:hint="eastAsia"/>
          <w:b w:val="0"/>
          <w:bCs w:val="0"/>
          <w:sz w:val="24"/>
          <w:szCs w:val="32"/>
        </w:rPr>
        <w:t xml:space="preserve">  - 位置D (AOI 16)：</w:t>
      </w:r>
      <w:r>
        <w:rPr>
          <w:rFonts w:hint="eastAsia"/>
          <w:b w:val="0"/>
          <w:bCs w:val="0"/>
          <w:sz w:val="24"/>
          <w:szCs w:val="32"/>
          <w:lang w:val="en-US" w:eastAsia="zh-CN"/>
        </w:rPr>
        <w:t>中部</w:t>
      </w:r>
      <w:r>
        <w:rPr>
          <w:rFonts w:hint="eastAsia"/>
          <w:b w:val="0"/>
          <w:bCs w:val="0"/>
          <w:sz w:val="24"/>
          <w:szCs w:val="32"/>
        </w:rPr>
        <w:t>广告</w:t>
      </w:r>
    </w:p>
    <w:p w14:paraId="36310F33">
      <w:pPr>
        <w:rPr>
          <w:rFonts w:hint="eastAsia"/>
          <w:b w:val="0"/>
          <w:bCs w:val="0"/>
          <w:sz w:val="24"/>
          <w:szCs w:val="32"/>
          <w:lang w:eastAsia="zh-CN"/>
        </w:rPr>
      </w:pPr>
    </w:p>
    <w:p w14:paraId="18706974">
      <w:pPr>
        <w:rPr>
          <w:rFonts w:hint="eastAsia"/>
          <w:b w:val="0"/>
          <w:bCs w:val="0"/>
          <w:sz w:val="24"/>
          <w:szCs w:val="32"/>
        </w:rPr>
      </w:pPr>
      <w:r>
        <w:rPr>
          <w:rFonts w:hint="eastAsia"/>
          <w:b w:val="0"/>
          <w:bCs w:val="0"/>
          <w:sz w:val="24"/>
          <w:szCs w:val="32"/>
        </w:rPr>
        <w:t>- 因变量：</w:t>
      </w:r>
    </w:p>
    <w:p w14:paraId="0F0F11B4">
      <w:pPr>
        <w:rPr>
          <w:rFonts w:hint="eastAsia"/>
          <w:b w:val="0"/>
          <w:bCs w:val="0"/>
          <w:sz w:val="24"/>
          <w:szCs w:val="32"/>
        </w:rPr>
      </w:pPr>
      <w:r>
        <w:rPr>
          <w:rFonts w:hint="eastAsia"/>
          <w:b w:val="0"/>
          <w:bCs w:val="0"/>
          <w:sz w:val="24"/>
          <w:szCs w:val="32"/>
        </w:rPr>
        <w:t xml:space="preserve">  1.  任务区总注视时长：用户在单个任务中，在任务区内所有注视点持续时间的总和（单位：秒）。该指标反映了为完成任务所投入的认知资源总量。</w:t>
      </w:r>
    </w:p>
    <w:p w14:paraId="6265E4BA">
      <w:pPr>
        <w:rPr>
          <w:rFonts w:hint="eastAsia"/>
          <w:b w:val="0"/>
          <w:bCs w:val="0"/>
          <w:sz w:val="24"/>
          <w:szCs w:val="32"/>
        </w:rPr>
      </w:pPr>
      <w:r>
        <w:rPr>
          <w:rFonts w:hint="eastAsia"/>
          <w:b w:val="0"/>
          <w:bCs w:val="0"/>
          <w:sz w:val="24"/>
          <w:szCs w:val="32"/>
        </w:rPr>
        <w:t xml:space="preserve">  2.  任务区注视次数：用户在单个任务中，对任务区的总注视点数量。该指标反映了任务搜索过程中的认知参与度和策略调整频率。</w:t>
      </w:r>
    </w:p>
    <w:p w14:paraId="6FE2B0CC">
      <w:pPr>
        <w:rPr>
          <w:rFonts w:hint="eastAsia"/>
          <w:b w:val="0"/>
          <w:bCs w:val="0"/>
          <w:sz w:val="24"/>
          <w:szCs w:val="32"/>
        </w:rPr>
      </w:pPr>
    </w:p>
    <w:p w14:paraId="6C8968D4">
      <w:pPr>
        <w:jc w:val="center"/>
        <w:rPr>
          <w:rFonts w:hint="eastAsia" w:eastAsiaTheme="minorEastAsia"/>
          <w:b w:val="0"/>
          <w:bCs w:val="0"/>
          <w:sz w:val="24"/>
          <w:szCs w:val="32"/>
          <w:lang w:eastAsia="zh-CN"/>
        </w:rPr>
      </w:pPr>
      <w:r>
        <w:rPr>
          <w:rFonts w:hint="eastAsia" w:eastAsiaTheme="minorEastAsia"/>
          <w:b w:val="0"/>
          <w:bCs w:val="0"/>
          <w:sz w:val="24"/>
          <w:szCs w:val="32"/>
          <w:lang w:eastAsia="zh-CN"/>
        </w:rPr>
        <w:drawing>
          <wp:inline distT="0" distB="0" distL="114300" distR="114300">
            <wp:extent cx="4380230" cy="2196465"/>
            <wp:effectExtent l="0" t="0" r="1270" b="635"/>
            <wp:docPr id="12" name="图片 12" descr="73a23e8037e861d7cdcbfce69bd63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3a23e8037e861d7cdcbfce69bd63ddd"/>
                    <pic:cNvPicPr>
                      <a:picLocks noChangeAspect="1"/>
                    </pic:cNvPicPr>
                  </pic:nvPicPr>
                  <pic:blipFill>
                    <a:blip r:embed="rId15"/>
                    <a:stretch>
                      <a:fillRect/>
                    </a:stretch>
                  </pic:blipFill>
                  <pic:spPr>
                    <a:xfrm>
                      <a:off x="0" y="0"/>
                      <a:ext cx="4380230" cy="2196465"/>
                    </a:xfrm>
                    <a:prstGeom prst="rect">
                      <a:avLst/>
                    </a:prstGeom>
                  </pic:spPr>
                </pic:pic>
              </a:graphicData>
            </a:graphic>
          </wp:inline>
        </w:drawing>
      </w:r>
    </w:p>
    <w:p w14:paraId="6117DA80">
      <w:pPr>
        <w:pStyle w:val="5"/>
        <w:jc w:val="center"/>
        <w:rPr>
          <w:rFonts w:hint="default" w:eastAsia="黑体"/>
          <w:sz w:val="21"/>
          <w:szCs w:val="28"/>
          <w:lang w:val="en-US" w:eastAsia="zh-CN"/>
        </w:rPr>
      </w:pPr>
      <w:r>
        <w:rPr>
          <w:rFonts w:hint="eastAsia"/>
          <w:sz w:val="21"/>
          <w:szCs w:val="28"/>
          <w:lang w:val="en-US" w:eastAsia="zh-CN"/>
        </w:rPr>
        <w:t>图3</w:t>
      </w:r>
      <w:r>
        <w:rPr>
          <w:sz w:val="21"/>
          <w:szCs w:val="28"/>
        </w:rPr>
        <w:t xml:space="preserve"> </w:t>
      </w:r>
      <w:r>
        <w:rPr>
          <w:rFonts w:hint="eastAsia"/>
          <w:sz w:val="21"/>
          <w:szCs w:val="28"/>
          <w:lang w:val="en-US" w:eastAsia="zh-CN"/>
        </w:rPr>
        <w:t>任务区示意图A</w:t>
      </w:r>
    </w:p>
    <w:p w14:paraId="26ED93B7">
      <w:pPr>
        <w:rPr>
          <w:rFonts w:hint="eastAsia"/>
          <w:b w:val="0"/>
          <w:bCs w:val="0"/>
          <w:sz w:val="24"/>
          <w:szCs w:val="32"/>
        </w:rPr>
      </w:pPr>
    </w:p>
    <w:p w14:paraId="60EAA669">
      <w:pPr>
        <w:rPr>
          <w:rFonts w:hint="eastAsia"/>
          <w:b w:val="0"/>
          <w:bCs w:val="0"/>
          <w:sz w:val="24"/>
          <w:szCs w:val="32"/>
        </w:rPr>
      </w:pPr>
      <w:r>
        <w:rPr>
          <w:rFonts w:hint="eastAsia"/>
          <w:b w:val="0"/>
          <w:bCs w:val="0"/>
          <w:sz w:val="24"/>
          <w:szCs w:val="32"/>
        </w:rPr>
        <w:t>- 数据预处理：</w:t>
      </w:r>
    </w:p>
    <w:p w14:paraId="463C9B08">
      <w:pPr>
        <w:rPr>
          <w:rFonts w:hint="eastAsia"/>
          <w:b w:val="0"/>
          <w:bCs w:val="0"/>
          <w:sz w:val="24"/>
          <w:szCs w:val="32"/>
        </w:rPr>
      </w:pPr>
      <w:r>
        <w:rPr>
          <w:rFonts w:hint="eastAsia"/>
          <w:b w:val="0"/>
          <w:bCs w:val="0"/>
          <w:sz w:val="24"/>
          <w:szCs w:val="32"/>
        </w:rPr>
        <w:t xml:space="preserve">  - 数据来源于眼动仪导出的各AOI统计表格。</w:t>
      </w:r>
    </w:p>
    <w:p w14:paraId="7D14769D">
      <w:pPr>
        <w:rPr>
          <w:rFonts w:hint="eastAsia"/>
          <w:b w:val="0"/>
          <w:bCs w:val="0"/>
          <w:sz w:val="24"/>
          <w:szCs w:val="32"/>
        </w:rPr>
      </w:pPr>
      <w:r>
        <w:rPr>
          <w:rFonts w:hint="eastAsia"/>
          <w:b w:val="0"/>
          <w:bCs w:val="0"/>
          <w:sz w:val="24"/>
          <w:szCs w:val="32"/>
        </w:rPr>
        <w:t xml:space="preserve">  - 对于位置D，其任务区明确为AOI 16</w:t>
      </w:r>
      <w:r>
        <w:rPr>
          <w:rFonts w:hint="eastAsia"/>
          <w:b w:val="0"/>
          <w:bCs w:val="0"/>
          <w:sz w:val="24"/>
          <w:szCs w:val="32"/>
          <w:lang w:eastAsia="zh-CN"/>
        </w:rPr>
        <w:t>（</w:t>
      </w:r>
      <w:r>
        <w:rPr>
          <w:rFonts w:hint="eastAsia"/>
          <w:b w:val="0"/>
          <w:bCs w:val="0"/>
          <w:sz w:val="24"/>
          <w:szCs w:val="32"/>
          <w:lang w:val="en-US" w:eastAsia="zh-CN"/>
        </w:rPr>
        <w:t>任务区D.2）</w:t>
      </w:r>
      <w:r>
        <w:rPr>
          <w:rFonts w:hint="eastAsia"/>
          <w:b w:val="0"/>
          <w:bCs w:val="0"/>
          <w:sz w:val="24"/>
          <w:szCs w:val="32"/>
        </w:rPr>
        <w:t>，因此分析时仅采用AOI 16的数据，以确保所有位置的分析对象均为核心任务区域。</w:t>
      </w:r>
    </w:p>
    <w:p w14:paraId="7349550D">
      <w:pPr>
        <w:rPr>
          <w:rFonts w:hint="eastAsia"/>
          <w:b w:val="0"/>
          <w:bCs w:val="0"/>
          <w:sz w:val="24"/>
          <w:szCs w:val="32"/>
        </w:rPr>
      </w:pPr>
      <w:r>
        <w:rPr>
          <w:rFonts w:hint="eastAsia"/>
          <w:b w:val="0"/>
          <w:bCs w:val="0"/>
          <w:sz w:val="24"/>
          <w:szCs w:val="32"/>
        </w:rPr>
        <w:t xml:space="preserve">  - 检查并确保了每个被试在每个位置条件下均有有效数据，其中位置D有一个无效数据，故样本量N=12，其余位置N=13。</w:t>
      </w:r>
    </w:p>
    <w:p w14:paraId="5BD6303E">
      <w:pPr>
        <w:rPr>
          <w:rFonts w:hint="eastAsia"/>
          <w:b w:val="0"/>
          <w:bCs w:val="0"/>
          <w:sz w:val="24"/>
          <w:szCs w:val="32"/>
        </w:rPr>
      </w:pPr>
    </w:p>
    <w:p w14:paraId="274AA504">
      <w:pPr>
        <w:rPr>
          <w:rFonts w:hint="eastAsia"/>
          <w:b w:val="0"/>
          <w:bCs w:val="0"/>
          <w:sz w:val="24"/>
          <w:szCs w:val="32"/>
        </w:rPr>
      </w:pPr>
      <w:r>
        <w:rPr>
          <w:rFonts w:hint="eastAsia"/>
          <w:b w:val="0"/>
          <w:bCs w:val="0"/>
          <w:sz w:val="24"/>
          <w:szCs w:val="32"/>
        </w:rPr>
        <w:t>- 分析方法：</w:t>
      </w:r>
    </w:p>
    <w:p w14:paraId="773E3F3A">
      <w:pPr>
        <w:rPr>
          <w:rFonts w:hint="eastAsia"/>
          <w:b w:val="0"/>
          <w:bCs w:val="0"/>
          <w:sz w:val="24"/>
          <w:szCs w:val="32"/>
        </w:rPr>
      </w:pPr>
      <w:r>
        <w:rPr>
          <w:rFonts w:hint="eastAsia"/>
          <w:b w:val="0"/>
          <w:bCs w:val="0"/>
          <w:sz w:val="24"/>
          <w:szCs w:val="32"/>
        </w:rPr>
        <w:t xml:space="preserve">  对两个因变量分别进行单因素方差分析，以检验不同广告位置下的眼动指标是否存在显著差异。</w:t>
      </w:r>
    </w:p>
    <w:p w14:paraId="7056AAB7">
      <w:pPr>
        <w:outlineLvl w:val="3"/>
        <w:rPr>
          <w:rFonts w:hint="eastAsia" w:eastAsiaTheme="minorEastAsia"/>
          <w:b w:val="0"/>
          <w:bCs w:val="0"/>
          <w:sz w:val="24"/>
          <w:szCs w:val="32"/>
          <w:lang w:eastAsia="zh-CN"/>
        </w:rPr>
      </w:pPr>
      <w:r>
        <w:rPr>
          <w:rFonts w:hint="eastAsia"/>
          <w:b w:val="0"/>
          <w:bCs w:val="0"/>
          <w:sz w:val="24"/>
          <w:szCs w:val="32"/>
        </w:rPr>
        <w:t xml:space="preserve"> </w:t>
      </w:r>
      <w:bookmarkStart w:id="93" w:name="_Toc2854"/>
      <w:r>
        <w:rPr>
          <w:rFonts w:hint="eastAsia"/>
          <w:b w:val="0"/>
          <w:bCs w:val="0"/>
          <w:sz w:val="24"/>
          <w:szCs w:val="32"/>
        </w:rPr>
        <w:t>3. 结果</w:t>
      </w:r>
      <w:bookmarkEnd w:id="93"/>
    </w:p>
    <w:p w14:paraId="117258F2">
      <w:pPr>
        <w:outlineLvl w:val="4"/>
        <w:rPr>
          <w:rFonts w:hint="eastAsia"/>
          <w:b w:val="0"/>
          <w:bCs w:val="0"/>
          <w:sz w:val="24"/>
          <w:szCs w:val="32"/>
        </w:rPr>
      </w:pPr>
      <w:bookmarkStart w:id="94" w:name="_Toc8171"/>
      <w:r>
        <w:rPr>
          <w:rFonts w:hint="eastAsia"/>
          <w:b w:val="0"/>
          <w:bCs w:val="0"/>
          <w:sz w:val="24"/>
          <w:szCs w:val="32"/>
        </w:rPr>
        <w:t>3.1 任务区总注视时长的分析</w:t>
      </w:r>
      <w:bookmarkEnd w:id="94"/>
    </w:p>
    <w:p w14:paraId="2A5BA658">
      <w:pPr>
        <w:jc w:val="center"/>
        <w:rPr>
          <w:rFonts w:hint="eastAsia"/>
          <w:b w:val="0"/>
          <w:bCs w:val="0"/>
          <w:sz w:val="24"/>
          <w:szCs w:val="32"/>
          <w:lang w:eastAsia="zh-CN"/>
        </w:rPr>
      </w:pPr>
      <w:r>
        <w:rPr>
          <w:rFonts w:hint="eastAsia"/>
          <w:b w:val="0"/>
          <w:bCs w:val="0"/>
          <w:sz w:val="24"/>
          <w:szCs w:val="32"/>
          <w:lang w:eastAsia="zh-CN"/>
        </w:rPr>
        <w:drawing>
          <wp:inline distT="0" distB="0" distL="114300" distR="114300">
            <wp:extent cx="4491355" cy="2526665"/>
            <wp:effectExtent l="0" t="0" r="4445" b="635"/>
            <wp:docPr id="13" name="图片 13" descr="171c346544aad24f30cd79d6b67dc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1c346544aad24f30cd79d6b67dc161"/>
                    <pic:cNvPicPr>
                      <a:picLocks noChangeAspect="1"/>
                    </pic:cNvPicPr>
                  </pic:nvPicPr>
                  <pic:blipFill>
                    <a:blip r:embed="rId16"/>
                    <a:stretch>
                      <a:fillRect/>
                    </a:stretch>
                  </pic:blipFill>
                  <pic:spPr>
                    <a:xfrm>
                      <a:off x="0" y="0"/>
                      <a:ext cx="4491355" cy="2526665"/>
                    </a:xfrm>
                    <a:prstGeom prst="rect">
                      <a:avLst/>
                    </a:prstGeom>
                  </pic:spPr>
                </pic:pic>
              </a:graphicData>
            </a:graphic>
          </wp:inline>
        </w:drawing>
      </w:r>
    </w:p>
    <w:p w14:paraId="383DE8B8">
      <w:pPr>
        <w:pStyle w:val="5"/>
        <w:jc w:val="center"/>
        <w:rPr>
          <w:rFonts w:hint="default" w:eastAsia="黑体"/>
          <w:sz w:val="21"/>
          <w:szCs w:val="28"/>
          <w:lang w:val="en-US" w:eastAsia="zh-CN"/>
        </w:rPr>
      </w:pPr>
      <w:r>
        <w:rPr>
          <w:rFonts w:hint="eastAsia"/>
          <w:sz w:val="21"/>
          <w:szCs w:val="28"/>
          <w:lang w:val="en-US" w:eastAsia="zh-CN"/>
        </w:rPr>
        <w:t>图4</w:t>
      </w:r>
      <w:r>
        <w:rPr>
          <w:sz w:val="21"/>
          <w:szCs w:val="28"/>
        </w:rPr>
        <w:t xml:space="preserve"> </w:t>
      </w:r>
      <w:r>
        <w:rPr>
          <w:rFonts w:hint="eastAsia"/>
          <w:sz w:val="21"/>
          <w:szCs w:val="28"/>
          <w:lang w:val="en-US" w:eastAsia="zh-CN"/>
        </w:rPr>
        <w:t>眼动实验热点图A</w:t>
      </w:r>
    </w:p>
    <w:p w14:paraId="702978A4">
      <w:pPr>
        <w:rPr>
          <w:rFonts w:hint="eastAsia"/>
          <w:b w:val="0"/>
          <w:bCs w:val="0"/>
          <w:sz w:val="24"/>
          <w:szCs w:val="32"/>
          <w:lang w:eastAsia="zh-CN"/>
        </w:rPr>
      </w:pPr>
    </w:p>
    <w:p w14:paraId="736A3494">
      <w:pPr>
        <w:rPr>
          <w:rFonts w:hint="eastAsia"/>
          <w:b w:val="0"/>
          <w:bCs w:val="0"/>
          <w:sz w:val="24"/>
          <w:szCs w:val="32"/>
        </w:rPr>
      </w:pPr>
    </w:p>
    <w:p w14:paraId="32A7ED95">
      <w:pPr>
        <w:rPr>
          <w:rFonts w:hint="eastAsia"/>
          <w:b w:val="0"/>
          <w:bCs w:val="0"/>
          <w:sz w:val="24"/>
          <w:szCs w:val="32"/>
        </w:rPr>
      </w:pPr>
      <w:r>
        <w:rPr>
          <w:rFonts w:hint="eastAsia"/>
          <w:b w:val="0"/>
          <w:bCs w:val="0"/>
          <w:sz w:val="24"/>
          <w:szCs w:val="32"/>
        </w:rPr>
        <w:t>对不同广告位置下，用户在任务区的总注视时长进行单因素方差分析。描述性统计结果见表1，方差分析及事后检验结果见表2。</w:t>
      </w:r>
    </w:p>
    <w:p w14:paraId="60134DDB">
      <w:pPr>
        <w:rPr>
          <w:rFonts w:hint="eastAsia"/>
          <w:b w:val="0"/>
          <w:bCs w:val="0"/>
          <w:sz w:val="24"/>
          <w:szCs w:val="32"/>
        </w:rPr>
      </w:pPr>
    </w:p>
    <w:p w14:paraId="33E2DE47">
      <w:pPr>
        <w:pStyle w:val="5"/>
        <w:jc w:val="center"/>
        <w:rPr>
          <w:rFonts w:hint="eastAsia"/>
          <w:sz w:val="21"/>
          <w:szCs w:val="28"/>
          <w:lang w:val="en-US" w:eastAsia="zh-CN"/>
        </w:rPr>
      </w:pPr>
      <w:r>
        <w:rPr>
          <w:rFonts w:hint="eastAsia"/>
          <w:sz w:val="22"/>
          <w:szCs w:val="22"/>
          <w:lang w:val="en-US" w:eastAsia="zh-CN"/>
        </w:rPr>
        <w:t>表</w:t>
      </w:r>
      <w:r>
        <w:rPr>
          <w:sz w:val="22"/>
          <w:szCs w:val="22"/>
        </w:rPr>
        <w:t xml:space="preserve">1 </w:t>
      </w:r>
      <w:r>
        <w:rPr>
          <w:rFonts w:hint="eastAsia"/>
          <w:b w:val="0"/>
          <w:bCs w:val="0"/>
          <w:sz w:val="22"/>
          <w:szCs w:val="22"/>
        </w:rPr>
        <w:t>不同广告位置下任务区总注视时长的描述性统计</w:t>
      </w:r>
    </w:p>
    <w:tbl>
      <w:tblPr>
        <w:tblStyle w:val="14"/>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00"/>
        <w:gridCol w:w="1160"/>
        <w:gridCol w:w="1160"/>
        <w:gridCol w:w="1370"/>
        <w:gridCol w:w="1790"/>
        <w:gridCol w:w="1475"/>
      </w:tblGrid>
      <w:tr w14:paraId="503EFE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bottom w:val="single" w:color="auto" w:sz="6" w:space="0"/>
            </w:tcBorders>
            <w:shd w:val="clear" w:color="auto" w:fill="FFFFFF"/>
            <w:tcMar>
              <w:top w:w="100" w:type="dxa"/>
              <w:left w:w="0" w:type="dxa"/>
              <w:bottom w:w="100" w:type="dxa"/>
              <w:right w:w="160" w:type="dxa"/>
            </w:tcMar>
            <w:vAlign w:val="center"/>
          </w:tcPr>
          <w:p w14:paraId="4F361067">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广告位置</w:t>
            </w:r>
          </w:p>
        </w:tc>
        <w:tc>
          <w:tcPr>
            <w:tcW w:w="0" w:type="auto"/>
            <w:tcBorders>
              <w:bottom w:val="single" w:color="auto" w:sz="6" w:space="0"/>
            </w:tcBorders>
            <w:shd w:val="clear" w:color="auto" w:fill="FFFFFF"/>
            <w:tcMar>
              <w:top w:w="100" w:type="dxa"/>
              <w:left w:w="160" w:type="dxa"/>
              <w:bottom w:w="100" w:type="dxa"/>
              <w:right w:w="160" w:type="dxa"/>
            </w:tcMar>
            <w:vAlign w:val="center"/>
          </w:tcPr>
          <w:p w14:paraId="4EE6459C">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位置类型</w:t>
            </w:r>
          </w:p>
        </w:tc>
        <w:tc>
          <w:tcPr>
            <w:tcW w:w="0" w:type="auto"/>
            <w:tcBorders>
              <w:bottom w:val="single" w:color="auto" w:sz="6" w:space="0"/>
            </w:tcBorders>
            <w:shd w:val="clear" w:color="auto" w:fill="FFFFFF"/>
            <w:tcMar>
              <w:top w:w="100" w:type="dxa"/>
              <w:left w:w="160" w:type="dxa"/>
              <w:bottom w:w="100" w:type="dxa"/>
              <w:right w:w="160" w:type="dxa"/>
            </w:tcMar>
            <w:vAlign w:val="center"/>
          </w:tcPr>
          <w:p w14:paraId="550DA798">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AOI 编号</w:t>
            </w:r>
          </w:p>
        </w:tc>
        <w:tc>
          <w:tcPr>
            <w:tcW w:w="0" w:type="auto"/>
            <w:tcBorders>
              <w:bottom w:val="single" w:color="auto" w:sz="6" w:space="0"/>
            </w:tcBorders>
            <w:shd w:val="clear" w:color="auto" w:fill="FFFFFF"/>
            <w:tcMar>
              <w:top w:w="100" w:type="dxa"/>
              <w:left w:w="160" w:type="dxa"/>
              <w:bottom w:w="100" w:type="dxa"/>
              <w:right w:w="160" w:type="dxa"/>
            </w:tcMar>
            <w:vAlign w:val="center"/>
          </w:tcPr>
          <w:p w14:paraId="57A8FF92">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样本量 (N)</w:t>
            </w:r>
          </w:p>
        </w:tc>
        <w:tc>
          <w:tcPr>
            <w:tcW w:w="0" w:type="auto"/>
            <w:tcBorders>
              <w:bottom w:val="single" w:color="auto" w:sz="6" w:space="0"/>
            </w:tcBorders>
            <w:shd w:val="clear" w:color="auto" w:fill="FFFFFF"/>
            <w:tcMar>
              <w:top w:w="100" w:type="dxa"/>
              <w:left w:w="160" w:type="dxa"/>
              <w:bottom w:w="100" w:type="dxa"/>
              <w:right w:w="160" w:type="dxa"/>
            </w:tcMar>
            <w:vAlign w:val="center"/>
          </w:tcPr>
          <w:p w14:paraId="11BA7938">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平均值 (M, 秒)</w:t>
            </w:r>
          </w:p>
        </w:tc>
        <w:tc>
          <w:tcPr>
            <w:tcW w:w="0" w:type="auto"/>
            <w:tcBorders>
              <w:bottom w:val="single" w:color="auto" w:sz="6" w:space="0"/>
            </w:tcBorders>
            <w:shd w:val="clear" w:color="auto" w:fill="FFFFFF"/>
            <w:tcMar>
              <w:top w:w="100" w:type="dxa"/>
              <w:left w:w="160" w:type="dxa"/>
              <w:bottom w:w="100" w:type="dxa"/>
              <w:right w:w="160" w:type="dxa"/>
            </w:tcMar>
            <w:vAlign w:val="center"/>
          </w:tcPr>
          <w:p w14:paraId="7E3B684B">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标准差 (SD)</w:t>
            </w:r>
          </w:p>
        </w:tc>
      </w:tr>
      <w:tr w14:paraId="5BEB86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6" w:space="0"/>
              <w:tl2br w:val="nil"/>
              <w:tr2bl w:val="nil"/>
            </w:tcBorders>
            <w:shd w:val="clear" w:color="auto" w:fill="FFFFFF"/>
            <w:tcMar>
              <w:top w:w="100" w:type="dxa"/>
              <w:left w:w="0" w:type="dxa"/>
              <w:bottom w:w="100" w:type="dxa"/>
              <w:right w:w="160" w:type="dxa"/>
            </w:tcMar>
            <w:vAlign w:val="center"/>
          </w:tcPr>
          <w:p w14:paraId="59C2E03B">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位置A</w:t>
            </w:r>
          </w:p>
        </w:tc>
        <w:tc>
          <w:tcPr>
            <w:tcW w:w="0" w:type="auto"/>
            <w:tcBorders>
              <w:top w:val="single" w:color="auto" w:sz="6" w:space="0"/>
              <w:tl2br w:val="nil"/>
              <w:tr2bl w:val="nil"/>
            </w:tcBorders>
            <w:shd w:val="clear" w:color="auto" w:fill="FFFFFF"/>
            <w:tcMar>
              <w:top w:w="100" w:type="dxa"/>
              <w:left w:w="160" w:type="dxa"/>
              <w:bottom w:w="100" w:type="dxa"/>
              <w:right w:w="160" w:type="dxa"/>
            </w:tcMar>
            <w:vAlign w:val="center"/>
          </w:tcPr>
          <w:p w14:paraId="31A2707C">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侧边栏</w:t>
            </w:r>
          </w:p>
        </w:tc>
        <w:tc>
          <w:tcPr>
            <w:tcW w:w="0" w:type="auto"/>
            <w:tcBorders>
              <w:top w:val="single" w:color="auto" w:sz="6" w:space="0"/>
              <w:tl2br w:val="nil"/>
              <w:tr2bl w:val="nil"/>
            </w:tcBorders>
            <w:shd w:val="clear" w:color="auto" w:fill="FFFFFF"/>
            <w:tcMar>
              <w:top w:w="100" w:type="dxa"/>
              <w:left w:w="160" w:type="dxa"/>
              <w:bottom w:w="100" w:type="dxa"/>
              <w:right w:w="160" w:type="dxa"/>
            </w:tcMar>
            <w:vAlign w:val="center"/>
          </w:tcPr>
          <w:p w14:paraId="6F51E724">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AOI 5</w:t>
            </w:r>
          </w:p>
        </w:tc>
        <w:tc>
          <w:tcPr>
            <w:tcW w:w="0" w:type="auto"/>
            <w:tcBorders>
              <w:top w:val="single" w:color="auto" w:sz="6" w:space="0"/>
              <w:tl2br w:val="nil"/>
              <w:tr2bl w:val="nil"/>
            </w:tcBorders>
            <w:shd w:val="clear" w:color="auto" w:fill="FFFFFF"/>
            <w:tcMar>
              <w:top w:w="100" w:type="dxa"/>
              <w:left w:w="160" w:type="dxa"/>
              <w:bottom w:w="100" w:type="dxa"/>
              <w:right w:w="160" w:type="dxa"/>
            </w:tcMar>
            <w:vAlign w:val="center"/>
          </w:tcPr>
          <w:p w14:paraId="15A95CF0">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13</w:t>
            </w:r>
          </w:p>
        </w:tc>
        <w:tc>
          <w:tcPr>
            <w:tcW w:w="0" w:type="auto"/>
            <w:tcBorders>
              <w:top w:val="single" w:color="auto" w:sz="6" w:space="0"/>
              <w:tl2br w:val="nil"/>
              <w:tr2bl w:val="nil"/>
            </w:tcBorders>
            <w:shd w:val="clear" w:color="auto" w:fill="FFFFFF"/>
            <w:tcMar>
              <w:top w:w="100" w:type="dxa"/>
              <w:left w:w="160" w:type="dxa"/>
              <w:bottom w:w="100" w:type="dxa"/>
              <w:right w:w="160" w:type="dxa"/>
            </w:tcMar>
            <w:vAlign w:val="center"/>
          </w:tcPr>
          <w:p w14:paraId="61073190">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2.76</w:t>
            </w:r>
          </w:p>
        </w:tc>
        <w:tc>
          <w:tcPr>
            <w:tcW w:w="0" w:type="auto"/>
            <w:tcBorders>
              <w:top w:val="single" w:color="auto" w:sz="6" w:space="0"/>
              <w:tl2br w:val="nil"/>
              <w:tr2bl w:val="nil"/>
            </w:tcBorders>
            <w:shd w:val="clear" w:color="auto" w:fill="FFFFFF"/>
            <w:tcMar>
              <w:top w:w="100" w:type="dxa"/>
              <w:left w:w="160" w:type="dxa"/>
              <w:bottom w:w="100" w:type="dxa"/>
              <w:right w:w="0" w:type="dxa"/>
            </w:tcMar>
            <w:vAlign w:val="center"/>
          </w:tcPr>
          <w:p w14:paraId="3591694C">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2.59</w:t>
            </w:r>
          </w:p>
        </w:tc>
      </w:tr>
      <w:tr w14:paraId="4399A9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60" w:type="dxa"/>
            </w:tcMar>
            <w:vAlign w:val="center"/>
          </w:tcPr>
          <w:p w14:paraId="78D5C11F">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位置B</w:t>
            </w:r>
          </w:p>
        </w:tc>
        <w:tc>
          <w:tcPr>
            <w:tcW w:w="0" w:type="auto"/>
            <w:tcBorders>
              <w:tl2br w:val="nil"/>
              <w:tr2bl w:val="nil"/>
            </w:tcBorders>
            <w:shd w:val="clear" w:color="auto" w:fill="FFFFFF"/>
            <w:tcMar>
              <w:top w:w="100" w:type="dxa"/>
              <w:left w:w="160" w:type="dxa"/>
              <w:bottom w:w="100" w:type="dxa"/>
              <w:right w:w="160" w:type="dxa"/>
            </w:tcMar>
            <w:vAlign w:val="center"/>
          </w:tcPr>
          <w:p w14:paraId="14E68345">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侧边栏</w:t>
            </w:r>
          </w:p>
        </w:tc>
        <w:tc>
          <w:tcPr>
            <w:tcW w:w="0" w:type="auto"/>
            <w:tcBorders>
              <w:tl2br w:val="nil"/>
              <w:tr2bl w:val="nil"/>
            </w:tcBorders>
            <w:shd w:val="clear" w:color="auto" w:fill="FFFFFF"/>
            <w:tcMar>
              <w:top w:w="100" w:type="dxa"/>
              <w:left w:w="160" w:type="dxa"/>
              <w:bottom w:w="100" w:type="dxa"/>
              <w:right w:w="160" w:type="dxa"/>
            </w:tcMar>
            <w:vAlign w:val="center"/>
          </w:tcPr>
          <w:p w14:paraId="283A8235">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AOI 11</w:t>
            </w:r>
          </w:p>
        </w:tc>
        <w:tc>
          <w:tcPr>
            <w:tcW w:w="0" w:type="auto"/>
            <w:tcBorders>
              <w:tl2br w:val="nil"/>
              <w:tr2bl w:val="nil"/>
            </w:tcBorders>
            <w:shd w:val="clear" w:color="auto" w:fill="FFFFFF"/>
            <w:tcMar>
              <w:top w:w="100" w:type="dxa"/>
              <w:left w:w="160" w:type="dxa"/>
              <w:bottom w:w="100" w:type="dxa"/>
              <w:right w:w="160" w:type="dxa"/>
            </w:tcMar>
            <w:vAlign w:val="center"/>
          </w:tcPr>
          <w:p w14:paraId="28AB72FD">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13</w:t>
            </w:r>
          </w:p>
        </w:tc>
        <w:tc>
          <w:tcPr>
            <w:tcW w:w="0" w:type="auto"/>
            <w:tcBorders>
              <w:tl2br w:val="nil"/>
              <w:tr2bl w:val="nil"/>
            </w:tcBorders>
            <w:shd w:val="clear" w:color="auto" w:fill="FFFFFF"/>
            <w:tcMar>
              <w:top w:w="100" w:type="dxa"/>
              <w:left w:w="160" w:type="dxa"/>
              <w:bottom w:w="100" w:type="dxa"/>
              <w:right w:w="160" w:type="dxa"/>
            </w:tcMar>
            <w:vAlign w:val="center"/>
          </w:tcPr>
          <w:p w14:paraId="095C7617">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6.82</w:t>
            </w:r>
          </w:p>
        </w:tc>
        <w:tc>
          <w:tcPr>
            <w:tcW w:w="0" w:type="auto"/>
            <w:tcBorders>
              <w:tl2br w:val="nil"/>
              <w:tr2bl w:val="nil"/>
            </w:tcBorders>
            <w:shd w:val="clear" w:color="auto" w:fill="FFFFFF"/>
            <w:tcMar>
              <w:top w:w="100" w:type="dxa"/>
              <w:left w:w="160" w:type="dxa"/>
              <w:bottom w:w="100" w:type="dxa"/>
              <w:right w:w="0" w:type="dxa"/>
            </w:tcMar>
            <w:vAlign w:val="center"/>
          </w:tcPr>
          <w:p w14:paraId="1B141EC2">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1.83</w:t>
            </w:r>
          </w:p>
        </w:tc>
      </w:tr>
      <w:tr w14:paraId="01A1FD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60" w:type="dxa"/>
            </w:tcMar>
            <w:vAlign w:val="center"/>
          </w:tcPr>
          <w:p w14:paraId="614449DC">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位置C</w:t>
            </w:r>
          </w:p>
        </w:tc>
        <w:tc>
          <w:tcPr>
            <w:tcW w:w="0" w:type="auto"/>
            <w:tcBorders>
              <w:tl2br w:val="nil"/>
              <w:tr2bl w:val="nil"/>
            </w:tcBorders>
            <w:shd w:val="clear" w:color="auto" w:fill="FFFFFF"/>
            <w:tcMar>
              <w:top w:w="100" w:type="dxa"/>
              <w:left w:w="160" w:type="dxa"/>
              <w:bottom w:w="100" w:type="dxa"/>
              <w:right w:w="160" w:type="dxa"/>
            </w:tcMar>
            <w:vAlign w:val="center"/>
          </w:tcPr>
          <w:p w14:paraId="189B20FB">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中部</w:t>
            </w:r>
          </w:p>
        </w:tc>
        <w:tc>
          <w:tcPr>
            <w:tcW w:w="0" w:type="auto"/>
            <w:tcBorders>
              <w:tl2br w:val="nil"/>
              <w:tr2bl w:val="nil"/>
            </w:tcBorders>
            <w:shd w:val="clear" w:color="auto" w:fill="FFFFFF"/>
            <w:tcMar>
              <w:top w:w="100" w:type="dxa"/>
              <w:left w:w="160" w:type="dxa"/>
              <w:bottom w:w="100" w:type="dxa"/>
              <w:right w:w="160" w:type="dxa"/>
            </w:tcMar>
            <w:vAlign w:val="center"/>
          </w:tcPr>
          <w:p w14:paraId="6A586901">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AOI 12</w:t>
            </w:r>
          </w:p>
        </w:tc>
        <w:tc>
          <w:tcPr>
            <w:tcW w:w="0" w:type="auto"/>
            <w:tcBorders>
              <w:tl2br w:val="nil"/>
              <w:tr2bl w:val="nil"/>
            </w:tcBorders>
            <w:shd w:val="clear" w:color="auto" w:fill="FFFFFF"/>
            <w:tcMar>
              <w:top w:w="100" w:type="dxa"/>
              <w:left w:w="160" w:type="dxa"/>
              <w:bottom w:w="100" w:type="dxa"/>
              <w:right w:w="160" w:type="dxa"/>
            </w:tcMar>
            <w:vAlign w:val="center"/>
          </w:tcPr>
          <w:p w14:paraId="23557B60">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13</w:t>
            </w:r>
          </w:p>
        </w:tc>
        <w:tc>
          <w:tcPr>
            <w:tcW w:w="0" w:type="auto"/>
            <w:tcBorders>
              <w:tl2br w:val="nil"/>
              <w:tr2bl w:val="nil"/>
            </w:tcBorders>
            <w:shd w:val="clear" w:color="auto" w:fill="FFFFFF"/>
            <w:tcMar>
              <w:top w:w="100" w:type="dxa"/>
              <w:left w:w="160" w:type="dxa"/>
              <w:bottom w:w="100" w:type="dxa"/>
              <w:right w:w="160" w:type="dxa"/>
            </w:tcMar>
            <w:vAlign w:val="center"/>
          </w:tcPr>
          <w:p w14:paraId="18EFE26D">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6.69</w:t>
            </w:r>
          </w:p>
        </w:tc>
        <w:tc>
          <w:tcPr>
            <w:tcW w:w="0" w:type="auto"/>
            <w:tcBorders>
              <w:tl2br w:val="nil"/>
              <w:tr2bl w:val="nil"/>
            </w:tcBorders>
            <w:shd w:val="clear" w:color="auto" w:fill="FFFFFF"/>
            <w:tcMar>
              <w:top w:w="100" w:type="dxa"/>
              <w:left w:w="160" w:type="dxa"/>
              <w:bottom w:w="100" w:type="dxa"/>
              <w:right w:w="0" w:type="dxa"/>
            </w:tcMar>
            <w:vAlign w:val="center"/>
          </w:tcPr>
          <w:p w14:paraId="3211C596">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1.36</w:t>
            </w:r>
          </w:p>
        </w:tc>
      </w:tr>
      <w:tr w14:paraId="264784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60" w:type="dxa"/>
            </w:tcMar>
            <w:vAlign w:val="center"/>
          </w:tcPr>
          <w:p w14:paraId="1F606789">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位置D</w:t>
            </w:r>
          </w:p>
        </w:tc>
        <w:tc>
          <w:tcPr>
            <w:tcW w:w="0" w:type="auto"/>
            <w:tcBorders>
              <w:tl2br w:val="nil"/>
              <w:tr2bl w:val="nil"/>
            </w:tcBorders>
            <w:shd w:val="clear" w:color="auto" w:fill="FFFFFF"/>
            <w:tcMar>
              <w:top w:w="100" w:type="dxa"/>
              <w:left w:w="160" w:type="dxa"/>
              <w:bottom w:w="100" w:type="dxa"/>
              <w:right w:w="160" w:type="dxa"/>
            </w:tcMar>
            <w:vAlign w:val="center"/>
          </w:tcPr>
          <w:p w14:paraId="41143A05">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中部</w:t>
            </w:r>
          </w:p>
        </w:tc>
        <w:tc>
          <w:tcPr>
            <w:tcW w:w="0" w:type="auto"/>
            <w:tcBorders>
              <w:tl2br w:val="nil"/>
              <w:tr2bl w:val="nil"/>
            </w:tcBorders>
            <w:shd w:val="clear" w:color="auto" w:fill="FFFFFF"/>
            <w:tcMar>
              <w:top w:w="100" w:type="dxa"/>
              <w:left w:w="160" w:type="dxa"/>
              <w:bottom w:w="100" w:type="dxa"/>
              <w:right w:w="160" w:type="dxa"/>
            </w:tcMar>
            <w:vAlign w:val="center"/>
          </w:tcPr>
          <w:p w14:paraId="55C38347">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AOI 16</w:t>
            </w:r>
          </w:p>
        </w:tc>
        <w:tc>
          <w:tcPr>
            <w:tcW w:w="0" w:type="auto"/>
            <w:tcBorders>
              <w:tl2br w:val="nil"/>
              <w:tr2bl w:val="nil"/>
            </w:tcBorders>
            <w:shd w:val="clear" w:color="auto" w:fill="FFFFFF"/>
            <w:tcMar>
              <w:top w:w="100" w:type="dxa"/>
              <w:left w:w="160" w:type="dxa"/>
              <w:bottom w:w="100" w:type="dxa"/>
              <w:right w:w="160" w:type="dxa"/>
            </w:tcMar>
            <w:vAlign w:val="center"/>
          </w:tcPr>
          <w:p w14:paraId="2487D0BC">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12</w:t>
            </w:r>
          </w:p>
        </w:tc>
        <w:tc>
          <w:tcPr>
            <w:tcW w:w="0" w:type="auto"/>
            <w:tcBorders>
              <w:tl2br w:val="nil"/>
              <w:tr2bl w:val="nil"/>
            </w:tcBorders>
            <w:shd w:val="clear" w:color="auto" w:fill="FFFFFF"/>
            <w:tcMar>
              <w:top w:w="100" w:type="dxa"/>
              <w:left w:w="160" w:type="dxa"/>
              <w:bottom w:w="100" w:type="dxa"/>
              <w:right w:w="160" w:type="dxa"/>
            </w:tcMar>
            <w:vAlign w:val="center"/>
          </w:tcPr>
          <w:p w14:paraId="48E95F29">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1.86</w:t>
            </w:r>
          </w:p>
        </w:tc>
        <w:tc>
          <w:tcPr>
            <w:tcW w:w="0" w:type="auto"/>
            <w:tcBorders>
              <w:tl2br w:val="nil"/>
              <w:tr2bl w:val="nil"/>
            </w:tcBorders>
            <w:shd w:val="clear" w:color="auto" w:fill="FFFFFF"/>
            <w:tcMar>
              <w:top w:w="100" w:type="dxa"/>
              <w:left w:w="160" w:type="dxa"/>
              <w:bottom w:w="100" w:type="dxa"/>
              <w:right w:w="0" w:type="dxa"/>
            </w:tcMar>
            <w:vAlign w:val="center"/>
          </w:tcPr>
          <w:p w14:paraId="2599C598">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0.71</w:t>
            </w:r>
          </w:p>
        </w:tc>
      </w:tr>
    </w:tbl>
    <w:p w14:paraId="11E82B20">
      <w:pPr>
        <w:rPr>
          <w:rFonts w:hint="eastAsia"/>
          <w:b w:val="0"/>
          <w:bCs w:val="0"/>
          <w:sz w:val="24"/>
          <w:szCs w:val="32"/>
        </w:rPr>
      </w:pPr>
    </w:p>
    <w:p w14:paraId="1E4B57B1">
      <w:pPr>
        <w:pStyle w:val="5"/>
        <w:jc w:val="center"/>
        <w:rPr>
          <w:rFonts w:hint="eastAsia" w:eastAsia="黑体"/>
          <w:sz w:val="22"/>
          <w:szCs w:val="22"/>
          <w:lang w:val="en-US" w:eastAsia="zh-CN"/>
        </w:rPr>
      </w:pPr>
      <w:r>
        <w:rPr>
          <w:rFonts w:hint="eastAsia"/>
          <w:sz w:val="22"/>
          <w:szCs w:val="22"/>
          <w:lang w:val="en-US" w:eastAsia="zh-CN"/>
        </w:rPr>
        <w:t>表2</w:t>
      </w:r>
      <w:r>
        <w:rPr>
          <w:sz w:val="22"/>
          <w:szCs w:val="22"/>
        </w:rPr>
        <w:t xml:space="preserve"> </w:t>
      </w:r>
      <w:r>
        <w:rPr>
          <w:rFonts w:hint="eastAsia"/>
          <w:b w:val="0"/>
          <w:bCs w:val="0"/>
          <w:sz w:val="22"/>
          <w:szCs w:val="22"/>
        </w:rPr>
        <w:t>任务区总注视时长的单因素方差</w:t>
      </w:r>
      <w:r>
        <w:rPr>
          <w:rFonts w:hint="eastAsia"/>
          <w:b w:val="0"/>
          <w:bCs w:val="0"/>
          <w:sz w:val="22"/>
          <w:szCs w:val="22"/>
          <w:lang w:val="en-US" w:eastAsia="zh-CN"/>
        </w:rPr>
        <w:t>分析</w:t>
      </w:r>
      <w:r>
        <w:rPr>
          <w:rFonts w:hint="eastAsia"/>
          <w:b w:val="0"/>
          <w:bCs w:val="0"/>
          <w:sz w:val="22"/>
          <w:szCs w:val="22"/>
        </w:rPr>
        <w:t>结果</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0"/>
        <w:gridCol w:w="1475"/>
        <w:gridCol w:w="1475"/>
        <w:gridCol w:w="1265"/>
        <w:gridCol w:w="845"/>
        <w:gridCol w:w="790"/>
      </w:tblGrid>
      <w:tr w14:paraId="251B98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0" w:type="auto"/>
            <w:tcBorders>
              <w:bottom w:val="single" w:color="auto" w:sz="6" w:space="0"/>
            </w:tcBorders>
            <w:shd w:val="clear" w:color="auto" w:fill="auto"/>
            <w:tcMar>
              <w:top w:w="100" w:type="dxa"/>
              <w:left w:w="0" w:type="dxa"/>
              <w:bottom w:w="100" w:type="dxa"/>
              <w:right w:w="160" w:type="dxa"/>
            </w:tcMar>
            <w:vAlign w:val="center"/>
          </w:tcPr>
          <w:p w14:paraId="43E2B32F">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变异来源</w:t>
            </w:r>
          </w:p>
        </w:tc>
        <w:tc>
          <w:tcPr>
            <w:tcW w:w="0" w:type="auto"/>
            <w:tcBorders>
              <w:bottom w:val="single" w:color="auto" w:sz="6" w:space="0"/>
            </w:tcBorders>
            <w:shd w:val="clear" w:color="auto" w:fill="auto"/>
            <w:tcMar>
              <w:top w:w="100" w:type="dxa"/>
              <w:left w:w="160" w:type="dxa"/>
              <w:bottom w:w="100" w:type="dxa"/>
              <w:right w:w="160" w:type="dxa"/>
            </w:tcMar>
            <w:vAlign w:val="center"/>
          </w:tcPr>
          <w:p w14:paraId="0599EE32">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平方和 (SS)</w:t>
            </w:r>
          </w:p>
        </w:tc>
        <w:tc>
          <w:tcPr>
            <w:tcW w:w="0" w:type="auto"/>
            <w:tcBorders>
              <w:bottom w:val="single" w:color="auto" w:sz="6" w:space="0"/>
            </w:tcBorders>
            <w:shd w:val="clear" w:color="auto" w:fill="auto"/>
            <w:tcMar>
              <w:top w:w="100" w:type="dxa"/>
              <w:left w:w="160" w:type="dxa"/>
              <w:bottom w:w="100" w:type="dxa"/>
              <w:right w:w="160" w:type="dxa"/>
            </w:tcMar>
            <w:vAlign w:val="center"/>
          </w:tcPr>
          <w:p w14:paraId="0DA5511E">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自由度 (df)</w:t>
            </w:r>
          </w:p>
        </w:tc>
        <w:tc>
          <w:tcPr>
            <w:tcW w:w="0" w:type="auto"/>
            <w:tcBorders>
              <w:bottom w:val="single" w:color="auto" w:sz="6" w:space="0"/>
            </w:tcBorders>
            <w:shd w:val="clear" w:color="auto" w:fill="auto"/>
            <w:tcMar>
              <w:top w:w="100" w:type="dxa"/>
              <w:left w:w="160" w:type="dxa"/>
              <w:bottom w:w="100" w:type="dxa"/>
              <w:right w:w="160" w:type="dxa"/>
            </w:tcMar>
            <w:vAlign w:val="center"/>
          </w:tcPr>
          <w:p w14:paraId="122D766B">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均方 (MS)</w:t>
            </w:r>
          </w:p>
        </w:tc>
        <w:tc>
          <w:tcPr>
            <w:tcW w:w="0" w:type="auto"/>
            <w:tcBorders>
              <w:bottom w:val="single" w:color="auto" w:sz="6" w:space="0"/>
            </w:tcBorders>
            <w:shd w:val="clear" w:color="auto" w:fill="auto"/>
            <w:tcMar>
              <w:top w:w="100" w:type="dxa"/>
              <w:left w:w="160" w:type="dxa"/>
              <w:bottom w:w="100" w:type="dxa"/>
              <w:right w:w="160" w:type="dxa"/>
            </w:tcMar>
            <w:vAlign w:val="center"/>
          </w:tcPr>
          <w:p w14:paraId="79629977">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F值</w:t>
            </w:r>
          </w:p>
        </w:tc>
        <w:tc>
          <w:tcPr>
            <w:tcW w:w="0" w:type="auto"/>
            <w:tcBorders>
              <w:bottom w:val="single" w:color="auto" w:sz="6" w:space="0"/>
            </w:tcBorders>
            <w:shd w:val="clear" w:color="auto" w:fill="auto"/>
            <w:tcMar>
              <w:top w:w="100" w:type="dxa"/>
              <w:left w:w="160" w:type="dxa"/>
              <w:bottom w:w="100" w:type="dxa"/>
              <w:right w:w="160" w:type="dxa"/>
            </w:tcMar>
            <w:vAlign w:val="center"/>
          </w:tcPr>
          <w:p w14:paraId="659D927A">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p值</w:t>
            </w:r>
          </w:p>
        </w:tc>
      </w:tr>
      <w:tr w14:paraId="178A63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op w:val="single" w:color="auto" w:sz="6" w:space="0"/>
              <w:tl2br w:val="nil"/>
              <w:tr2bl w:val="nil"/>
            </w:tcBorders>
            <w:shd w:val="clear" w:color="auto" w:fill="auto"/>
            <w:tcMar>
              <w:top w:w="100" w:type="dxa"/>
              <w:left w:w="0" w:type="dxa"/>
              <w:bottom w:w="100" w:type="dxa"/>
              <w:right w:w="160" w:type="dxa"/>
            </w:tcMar>
            <w:vAlign w:val="center"/>
          </w:tcPr>
          <w:p w14:paraId="54ECF2F1">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组间</w:t>
            </w:r>
          </w:p>
        </w:tc>
        <w:tc>
          <w:tcPr>
            <w:tcW w:w="0" w:type="auto"/>
            <w:tcBorders>
              <w:top w:val="single" w:color="auto" w:sz="6" w:space="0"/>
              <w:tl2br w:val="nil"/>
              <w:tr2bl w:val="nil"/>
            </w:tcBorders>
            <w:shd w:val="clear" w:color="auto" w:fill="auto"/>
            <w:tcMar>
              <w:top w:w="100" w:type="dxa"/>
              <w:left w:w="160" w:type="dxa"/>
              <w:bottom w:w="100" w:type="dxa"/>
              <w:right w:w="160" w:type="dxa"/>
            </w:tcMar>
            <w:vAlign w:val="center"/>
          </w:tcPr>
          <w:p w14:paraId="538CAB41">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212.45</w:t>
            </w:r>
          </w:p>
        </w:tc>
        <w:tc>
          <w:tcPr>
            <w:tcW w:w="0" w:type="auto"/>
            <w:tcBorders>
              <w:top w:val="single" w:color="auto" w:sz="6" w:space="0"/>
              <w:tl2br w:val="nil"/>
              <w:tr2bl w:val="nil"/>
            </w:tcBorders>
            <w:shd w:val="clear" w:color="auto" w:fill="auto"/>
            <w:tcMar>
              <w:top w:w="100" w:type="dxa"/>
              <w:left w:w="160" w:type="dxa"/>
              <w:bottom w:w="100" w:type="dxa"/>
              <w:right w:w="160" w:type="dxa"/>
            </w:tcMar>
            <w:vAlign w:val="center"/>
          </w:tcPr>
          <w:p w14:paraId="2C657C72">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3</w:t>
            </w:r>
          </w:p>
        </w:tc>
        <w:tc>
          <w:tcPr>
            <w:tcW w:w="0" w:type="auto"/>
            <w:tcBorders>
              <w:top w:val="single" w:color="auto" w:sz="6" w:space="0"/>
              <w:tl2br w:val="nil"/>
              <w:tr2bl w:val="nil"/>
            </w:tcBorders>
            <w:shd w:val="clear" w:color="auto" w:fill="auto"/>
            <w:tcMar>
              <w:top w:w="100" w:type="dxa"/>
              <w:left w:w="160" w:type="dxa"/>
              <w:bottom w:w="100" w:type="dxa"/>
              <w:right w:w="160" w:type="dxa"/>
            </w:tcMar>
            <w:vAlign w:val="center"/>
          </w:tcPr>
          <w:p w14:paraId="78741F10">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70.82</w:t>
            </w:r>
          </w:p>
        </w:tc>
        <w:tc>
          <w:tcPr>
            <w:tcW w:w="0" w:type="auto"/>
            <w:tcBorders>
              <w:top w:val="single" w:color="auto" w:sz="6" w:space="0"/>
              <w:tl2br w:val="nil"/>
              <w:tr2bl w:val="nil"/>
            </w:tcBorders>
            <w:shd w:val="clear" w:color="auto" w:fill="auto"/>
            <w:tcMar>
              <w:top w:w="100" w:type="dxa"/>
              <w:left w:w="160" w:type="dxa"/>
              <w:bottom w:w="100" w:type="dxa"/>
              <w:right w:w="160" w:type="dxa"/>
            </w:tcMar>
            <w:vAlign w:val="center"/>
          </w:tcPr>
          <w:p w14:paraId="02DCE773">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20.34</w:t>
            </w:r>
          </w:p>
        </w:tc>
        <w:tc>
          <w:tcPr>
            <w:tcW w:w="0" w:type="auto"/>
            <w:tcBorders>
              <w:top w:val="single" w:color="auto" w:sz="6" w:space="0"/>
              <w:tl2br w:val="nil"/>
              <w:tr2bl w:val="nil"/>
            </w:tcBorders>
            <w:shd w:val="clear" w:color="auto" w:fill="auto"/>
            <w:tcMar>
              <w:top w:w="100" w:type="dxa"/>
              <w:left w:w="160" w:type="dxa"/>
              <w:bottom w:w="100" w:type="dxa"/>
              <w:right w:w="0" w:type="dxa"/>
            </w:tcMar>
            <w:vAlign w:val="center"/>
          </w:tcPr>
          <w:p w14:paraId="0B9C0647">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&lt; .001</w:t>
            </w:r>
          </w:p>
        </w:tc>
      </w:tr>
      <w:tr w14:paraId="487A98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100" w:type="dxa"/>
              <w:left w:w="0" w:type="dxa"/>
              <w:bottom w:w="100" w:type="dxa"/>
              <w:right w:w="160" w:type="dxa"/>
            </w:tcMar>
            <w:vAlign w:val="center"/>
          </w:tcPr>
          <w:p w14:paraId="5A96A2B3">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组内</w:t>
            </w:r>
          </w:p>
        </w:tc>
        <w:tc>
          <w:tcPr>
            <w:tcW w:w="0" w:type="auto"/>
            <w:tcBorders>
              <w:tl2br w:val="nil"/>
              <w:tr2bl w:val="nil"/>
            </w:tcBorders>
            <w:shd w:val="clear" w:color="auto" w:fill="auto"/>
            <w:tcMar>
              <w:top w:w="100" w:type="dxa"/>
              <w:left w:w="160" w:type="dxa"/>
              <w:bottom w:w="100" w:type="dxa"/>
              <w:right w:w="160" w:type="dxa"/>
            </w:tcMar>
            <w:vAlign w:val="center"/>
          </w:tcPr>
          <w:p w14:paraId="5FF157A8">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163.65</w:t>
            </w:r>
          </w:p>
        </w:tc>
        <w:tc>
          <w:tcPr>
            <w:tcW w:w="0" w:type="auto"/>
            <w:tcBorders>
              <w:tl2br w:val="nil"/>
              <w:tr2bl w:val="nil"/>
            </w:tcBorders>
            <w:shd w:val="clear" w:color="auto" w:fill="auto"/>
            <w:tcMar>
              <w:top w:w="100" w:type="dxa"/>
              <w:left w:w="160" w:type="dxa"/>
              <w:bottom w:w="100" w:type="dxa"/>
              <w:right w:w="160" w:type="dxa"/>
            </w:tcMar>
            <w:vAlign w:val="center"/>
          </w:tcPr>
          <w:p w14:paraId="21FE7955">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47</w:t>
            </w:r>
          </w:p>
        </w:tc>
        <w:tc>
          <w:tcPr>
            <w:tcW w:w="0" w:type="auto"/>
            <w:tcBorders>
              <w:tl2br w:val="nil"/>
              <w:tr2bl w:val="nil"/>
            </w:tcBorders>
            <w:shd w:val="clear" w:color="auto" w:fill="auto"/>
            <w:tcMar>
              <w:top w:w="100" w:type="dxa"/>
              <w:left w:w="160" w:type="dxa"/>
              <w:bottom w:w="100" w:type="dxa"/>
              <w:right w:w="160" w:type="dxa"/>
            </w:tcMar>
            <w:vAlign w:val="center"/>
          </w:tcPr>
          <w:p w14:paraId="4B25340E">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3.48</w:t>
            </w:r>
          </w:p>
        </w:tc>
        <w:tc>
          <w:tcPr>
            <w:tcW w:w="0" w:type="auto"/>
            <w:tcBorders>
              <w:tl2br w:val="nil"/>
              <w:tr2bl w:val="nil"/>
            </w:tcBorders>
            <w:shd w:val="clear" w:color="auto" w:fill="auto"/>
            <w:tcMar>
              <w:top w:w="100" w:type="dxa"/>
              <w:left w:w="160" w:type="dxa"/>
              <w:bottom w:w="100" w:type="dxa"/>
              <w:right w:w="160" w:type="dxa"/>
            </w:tcMar>
            <w:vAlign w:val="center"/>
          </w:tcPr>
          <w:p w14:paraId="50D2968E">
            <w:pPr>
              <w:rPr>
                <w:rFonts w:hint="eastAsia" w:ascii="宋体" w:hAnsi="宋体" w:eastAsia="宋体" w:cs="宋体"/>
                <w:sz w:val="21"/>
                <w:szCs w:val="21"/>
              </w:rPr>
            </w:pPr>
          </w:p>
        </w:tc>
        <w:tc>
          <w:tcPr>
            <w:tcW w:w="0" w:type="auto"/>
            <w:tcBorders>
              <w:tl2br w:val="nil"/>
              <w:tr2bl w:val="nil"/>
            </w:tcBorders>
            <w:shd w:val="clear" w:color="auto" w:fill="auto"/>
            <w:tcMar>
              <w:top w:w="100" w:type="dxa"/>
              <w:left w:w="160" w:type="dxa"/>
              <w:bottom w:w="100" w:type="dxa"/>
              <w:right w:w="0" w:type="dxa"/>
            </w:tcMar>
            <w:vAlign w:val="center"/>
          </w:tcPr>
          <w:p w14:paraId="7C0C23FD">
            <w:pPr>
              <w:rPr>
                <w:rFonts w:hint="eastAsia" w:ascii="宋体" w:hAnsi="宋体" w:eastAsia="宋体" w:cs="宋体"/>
                <w:sz w:val="21"/>
                <w:szCs w:val="21"/>
              </w:rPr>
            </w:pPr>
          </w:p>
        </w:tc>
      </w:tr>
      <w:tr w14:paraId="68D247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tcBorders>
              <w:tl2br w:val="nil"/>
              <w:tr2bl w:val="nil"/>
            </w:tcBorders>
            <w:shd w:val="clear" w:color="auto" w:fill="auto"/>
            <w:tcMar>
              <w:top w:w="100" w:type="dxa"/>
              <w:left w:w="0" w:type="dxa"/>
              <w:bottom w:w="100" w:type="dxa"/>
              <w:right w:w="160" w:type="dxa"/>
            </w:tcMar>
            <w:vAlign w:val="center"/>
          </w:tcPr>
          <w:p w14:paraId="132B7CED">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总计</w:t>
            </w:r>
          </w:p>
        </w:tc>
        <w:tc>
          <w:tcPr>
            <w:tcW w:w="0" w:type="auto"/>
            <w:tcBorders>
              <w:tl2br w:val="nil"/>
              <w:tr2bl w:val="nil"/>
            </w:tcBorders>
            <w:shd w:val="clear" w:color="auto" w:fill="auto"/>
            <w:tcMar>
              <w:top w:w="100" w:type="dxa"/>
              <w:left w:w="160" w:type="dxa"/>
              <w:bottom w:w="100" w:type="dxa"/>
              <w:right w:w="160" w:type="dxa"/>
            </w:tcMar>
            <w:vAlign w:val="center"/>
          </w:tcPr>
          <w:p w14:paraId="5107F5D6">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376.10</w:t>
            </w:r>
          </w:p>
        </w:tc>
        <w:tc>
          <w:tcPr>
            <w:tcW w:w="0" w:type="auto"/>
            <w:tcBorders>
              <w:tl2br w:val="nil"/>
              <w:tr2bl w:val="nil"/>
            </w:tcBorders>
            <w:shd w:val="clear" w:color="auto" w:fill="auto"/>
            <w:tcMar>
              <w:top w:w="100" w:type="dxa"/>
              <w:left w:w="160" w:type="dxa"/>
              <w:bottom w:w="100" w:type="dxa"/>
              <w:right w:w="160" w:type="dxa"/>
            </w:tcMar>
            <w:vAlign w:val="center"/>
          </w:tcPr>
          <w:p w14:paraId="415CE2DA">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50</w:t>
            </w:r>
          </w:p>
        </w:tc>
        <w:tc>
          <w:tcPr>
            <w:tcW w:w="0" w:type="auto"/>
            <w:tcBorders>
              <w:tl2br w:val="nil"/>
              <w:tr2bl w:val="nil"/>
            </w:tcBorders>
            <w:shd w:val="clear" w:color="auto" w:fill="auto"/>
            <w:tcMar>
              <w:top w:w="100" w:type="dxa"/>
              <w:left w:w="160" w:type="dxa"/>
              <w:bottom w:w="100" w:type="dxa"/>
              <w:right w:w="160" w:type="dxa"/>
            </w:tcMar>
            <w:vAlign w:val="center"/>
          </w:tcPr>
          <w:p w14:paraId="11718BEB">
            <w:pPr>
              <w:rPr>
                <w:rFonts w:hint="eastAsia" w:ascii="宋体" w:hAnsi="宋体" w:eastAsia="宋体" w:cs="宋体"/>
                <w:sz w:val="21"/>
                <w:szCs w:val="21"/>
              </w:rPr>
            </w:pPr>
          </w:p>
        </w:tc>
        <w:tc>
          <w:tcPr>
            <w:tcW w:w="0" w:type="auto"/>
            <w:tcBorders>
              <w:tl2br w:val="nil"/>
              <w:tr2bl w:val="nil"/>
            </w:tcBorders>
            <w:shd w:val="clear" w:color="auto" w:fill="auto"/>
            <w:tcMar>
              <w:top w:w="100" w:type="dxa"/>
              <w:left w:w="160" w:type="dxa"/>
              <w:bottom w:w="100" w:type="dxa"/>
              <w:right w:w="160" w:type="dxa"/>
            </w:tcMar>
            <w:vAlign w:val="center"/>
          </w:tcPr>
          <w:p w14:paraId="31BC19DA">
            <w:pPr>
              <w:rPr>
                <w:rFonts w:hint="eastAsia" w:ascii="宋体" w:hAnsi="宋体" w:eastAsia="宋体" w:cs="宋体"/>
                <w:sz w:val="21"/>
                <w:szCs w:val="21"/>
              </w:rPr>
            </w:pPr>
          </w:p>
        </w:tc>
        <w:tc>
          <w:tcPr>
            <w:tcW w:w="0" w:type="auto"/>
            <w:tcBorders>
              <w:tl2br w:val="nil"/>
              <w:tr2bl w:val="nil"/>
            </w:tcBorders>
            <w:shd w:val="clear" w:color="auto" w:fill="auto"/>
            <w:tcMar>
              <w:top w:w="100" w:type="dxa"/>
              <w:left w:w="160" w:type="dxa"/>
              <w:bottom w:w="100" w:type="dxa"/>
              <w:right w:w="0" w:type="dxa"/>
            </w:tcMar>
            <w:vAlign w:val="center"/>
          </w:tcPr>
          <w:p w14:paraId="4E89D3C0">
            <w:pPr>
              <w:rPr>
                <w:rFonts w:hint="eastAsia" w:ascii="宋体" w:hAnsi="宋体" w:eastAsia="宋体" w:cs="宋体"/>
                <w:sz w:val="21"/>
                <w:szCs w:val="21"/>
              </w:rPr>
            </w:pPr>
          </w:p>
        </w:tc>
      </w:tr>
    </w:tbl>
    <w:p w14:paraId="4F739761">
      <w:pPr>
        <w:pStyle w:val="13"/>
        <w:keepNext w:val="0"/>
        <w:keepLines w:val="0"/>
        <w:widowControl/>
        <w:suppressLineNumbers w:val="0"/>
        <w:shd w:val="clear" w:fill="FFFFFF"/>
        <w:spacing w:before="160" w:beforeAutospacing="0" w:after="160" w:afterAutospacing="0"/>
        <w:ind w:left="0" w:right="0" w:firstLine="630" w:firstLineChars="300"/>
        <w:rPr>
          <w:rFonts w:hint="eastAsia" w:ascii="宋体" w:hAnsi="宋体" w:eastAsia="宋体" w:cs="宋体"/>
          <w:b w:val="0"/>
          <w:bCs w:val="0"/>
          <w:sz w:val="21"/>
          <w:szCs w:val="21"/>
          <w:lang w:eastAsia="zh-CN"/>
        </w:rPr>
      </w:pPr>
      <w:r>
        <w:rPr>
          <w:rFonts w:hint="eastAsia" w:ascii="宋体" w:hAnsi="宋体" w:eastAsia="宋体" w:cs="宋体"/>
          <w:i w:val="0"/>
          <w:iCs w:val="0"/>
          <w:caps w:val="0"/>
          <w:color w:val="0F1115"/>
          <w:spacing w:val="0"/>
          <w:sz w:val="21"/>
          <w:szCs w:val="21"/>
          <w:shd w:val="clear" w:fill="FFFFFF"/>
        </w:rPr>
        <w:t>注：p &lt; .001</w:t>
      </w:r>
    </w:p>
    <w:p w14:paraId="79D407AA">
      <w:pPr>
        <w:rPr>
          <w:rFonts w:hint="eastAsia" w:ascii="宋体" w:hAnsi="宋体" w:eastAsia="宋体" w:cs="宋体"/>
          <w:b w:val="0"/>
          <w:bCs w:val="0"/>
          <w:sz w:val="21"/>
          <w:szCs w:val="21"/>
        </w:rPr>
      </w:pPr>
    </w:p>
    <w:p w14:paraId="5D2D9343">
      <w:pPr>
        <w:rPr>
          <w:rFonts w:hint="eastAsia"/>
          <w:b w:val="0"/>
          <w:bCs w:val="0"/>
          <w:sz w:val="24"/>
          <w:szCs w:val="32"/>
        </w:rPr>
      </w:pPr>
    </w:p>
    <w:p w14:paraId="033D0FD8">
      <w:pPr>
        <w:rPr>
          <w:rFonts w:hint="eastAsia"/>
          <w:b w:val="0"/>
          <w:bCs w:val="0"/>
          <w:sz w:val="24"/>
          <w:szCs w:val="32"/>
        </w:rPr>
      </w:pPr>
      <w:r>
        <w:rPr>
          <w:rFonts w:hint="eastAsia"/>
          <w:b w:val="0"/>
          <w:bCs w:val="0"/>
          <w:sz w:val="24"/>
          <w:szCs w:val="32"/>
        </w:rPr>
        <w:t>方差分析结果表明，广告位置对任务区的总注视时长产生了极其显著的影响，F(3, 47) = 20.34, p &lt; .001。</w:t>
      </w:r>
    </w:p>
    <w:p w14:paraId="4CB62E15">
      <w:pPr>
        <w:rPr>
          <w:rFonts w:hint="eastAsia"/>
          <w:b w:val="0"/>
          <w:bCs w:val="0"/>
          <w:sz w:val="24"/>
          <w:szCs w:val="32"/>
        </w:rPr>
      </w:pPr>
    </w:p>
    <w:p w14:paraId="5913E402">
      <w:pPr>
        <w:outlineLvl w:val="4"/>
        <w:rPr>
          <w:rFonts w:hint="eastAsia" w:eastAsiaTheme="minorEastAsia"/>
          <w:b w:val="0"/>
          <w:bCs w:val="0"/>
          <w:sz w:val="24"/>
          <w:szCs w:val="32"/>
          <w:lang w:eastAsia="zh-CN"/>
        </w:rPr>
      </w:pPr>
      <w:bookmarkStart w:id="95" w:name="_Toc6653"/>
      <w:r>
        <w:rPr>
          <w:rFonts w:hint="eastAsia"/>
          <w:b w:val="0"/>
          <w:bCs w:val="0"/>
          <w:sz w:val="24"/>
          <w:szCs w:val="32"/>
        </w:rPr>
        <w:t>3.2 任务区注视次数的分析</w:t>
      </w:r>
      <w:bookmarkEnd w:id="95"/>
    </w:p>
    <w:p w14:paraId="7B0F8609">
      <w:pPr>
        <w:rPr>
          <w:rFonts w:hint="eastAsia"/>
          <w:b w:val="0"/>
          <w:bCs w:val="0"/>
          <w:sz w:val="24"/>
          <w:szCs w:val="32"/>
        </w:rPr>
      </w:pPr>
    </w:p>
    <w:p w14:paraId="59C7F4F7">
      <w:pPr>
        <w:rPr>
          <w:rFonts w:hint="eastAsia"/>
          <w:b w:val="0"/>
          <w:bCs w:val="0"/>
          <w:sz w:val="24"/>
          <w:szCs w:val="32"/>
        </w:rPr>
      </w:pPr>
      <w:r>
        <w:rPr>
          <w:rFonts w:hint="eastAsia"/>
          <w:b w:val="0"/>
          <w:bCs w:val="0"/>
          <w:sz w:val="24"/>
          <w:szCs w:val="32"/>
        </w:rPr>
        <w:t>对不同广告位置下，用户在任务区的注视次数进行单因素方差分析。描述性统计结果见表3，方差分析及事后检验结果见表4。</w:t>
      </w:r>
    </w:p>
    <w:p w14:paraId="210568F2">
      <w:pPr>
        <w:rPr>
          <w:rFonts w:hint="eastAsia"/>
          <w:b w:val="0"/>
          <w:bCs w:val="0"/>
          <w:sz w:val="24"/>
          <w:szCs w:val="32"/>
        </w:rPr>
      </w:pPr>
    </w:p>
    <w:p w14:paraId="5FA2E0AA">
      <w:pPr>
        <w:pStyle w:val="5"/>
        <w:jc w:val="center"/>
        <w:rPr>
          <w:rFonts w:hint="eastAsia" w:eastAsia="黑体"/>
          <w:sz w:val="22"/>
          <w:szCs w:val="22"/>
          <w:lang w:val="en-US" w:eastAsia="zh-CN"/>
        </w:rPr>
      </w:pPr>
      <w:r>
        <w:rPr>
          <w:rFonts w:hint="eastAsia"/>
          <w:sz w:val="22"/>
          <w:szCs w:val="22"/>
          <w:lang w:val="en-US" w:eastAsia="zh-CN"/>
        </w:rPr>
        <w:t>表3</w:t>
      </w:r>
      <w:r>
        <w:rPr>
          <w:sz w:val="22"/>
          <w:szCs w:val="22"/>
        </w:rPr>
        <w:t xml:space="preserve"> </w:t>
      </w:r>
      <w:r>
        <w:rPr>
          <w:rFonts w:hint="eastAsia"/>
          <w:b w:val="0"/>
          <w:bCs w:val="0"/>
          <w:sz w:val="22"/>
          <w:szCs w:val="22"/>
        </w:rPr>
        <w:t>不同广告位置下任务区</w:t>
      </w:r>
      <w:r>
        <w:rPr>
          <w:rFonts w:hint="eastAsia"/>
          <w:b w:val="0"/>
          <w:bCs w:val="0"/>
          <w:sz w:val="22"/>
          <w:szCs w:val="22"/>
          <w:lang w:val="en-US" w:eastAsia="zh-CN"/>
        </w:rPr>
        <w:t>注视次数</w:t>
      </w:r>
      <w:r>
        <w:rPr>
          <w:rFonts w:hint="eastAsia"/>
          <w:b w:val="0"/>
          <w:bCs w:val="0"/>
          <w:sz w:val="22"/>
          <w:szCs w:val="22"/>
        </w:rPr>
        <w:t>的描述性统计</w:t>
      </w:r>
    </w:p>
    <w:tbl>
      <w:tblPr>
        <w:tblStyle w:val="14"/>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00"/>
        <w:gridCol w:w="1160"/>
        <w:gridCol w:w="1160"/>
        <w:gridCol w:w="1370"/>
        <w:gridCol w:w="1370"/>
        <w:gridCol w:w="1475"/>
      </w:tblGrid>
      <w:tr w14:paraId="215129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bottom w:val="single" w:color="auto" w:sz="6" w:space="0"/>
            </w:tcBorders>
            <w:shd w:val="clear" w:color="auto" w:fill="FFFFFF"/>
            <w:tcMar>
              <w:top w:w="100" w:type="dxa"/>
              <w:left w:w="0" w:type="dxa"/>
              <w:bottom w:w="100" w:type="dxa"/>
              <w:right w:w="160" w:type="dxa"/>
            </w:tcMar>
            <w:vAlign w:val="center"/>
          </w:tcPr>
          <w:p w14:paraId="641CC5CE">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广告位置</w:t>
            </w:r>
          </w:p>
        </w:tc>
        <w:tc>
          <w:tcPr>
            <w:tcW w:w="0" w:type="auto"/>
            <w:tcBorders>
              <w:bottom w:val="single" w:color="auto" w:sz="6" w:space="0"/>
            </w:tcBorders>
            <w:shd w:val="clear" w:color="auto" w:fill="FFFFFF"/>
            <w:tcMar>
              <w:top w:w="100" w:type="dxa"/>
              <w:left w:w="160" w:type="dxa"/>
              <w:bottom w:w="100" w:type="dxa"/>
              <w:right w:w="160" w:type="dxa"/>
            </w:tcMar>
            <w:vAlign w:val="center"/>
          </w:tcPr>
          <w:p w14:paraId="08BF63DF">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位置类型</w:t>
            </w:r>
          </w:p>
        </w:tc>
        <w:tc>
          <w:tcPr>
            <w:tcW w:w="0" w:type="auto"/>
            <w:tcBorders>
              <w:bottom w:val="single" w:color="auto" w:sz="6" w:space="0"/>
            </w:tcBorders>
            <w:shd w:val="clear" w:color="auto" w:fill="FFFFFF"/>
            <w:tcMar>
              <w:top w:w="100" w:type="dxa"/>
              <w:left w:w="160" w:type="dxa"/>
              <w:bottom w:w="100" w:type="dxa"/>
              <w:right w:w="160" w:type="dxa"/>
            </w:tcMar>
            <w:vAlign w:val="center"/>
          </w:tcPr>
          <w:p w14:paraId="219DDA74">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AOI 编号</w:t>
            </w:r>
          </w:p>
        </w:tc>
        <w:tc>
          <w:tcPr>
            <w:tcW w:w="0" w:type="auto"/>
            <w:tcBorders>
              <w:bottom w:val="single" w:color="auto" w:sz="6" w:space="0"/>
            </w:tcBorders>
            <w:shd w:val="clear" w:color="auto" w:fill="FFFFFF"/>
            <w:tcMar>
              <w:top w:w="100" w:type="dxa"/>
              <w:left w:w="160" w:type="dxa"/>
              <w:bottom w:w="100" w:type="dxa"/>
              <w:right w:w="160" w:type="dxa"/>
            </w:tcMar>
            <w:vAlign w:val="center"/>
          </w:tcPr>
          <w:p w14:paraId="6CF9B561">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样本量 (N)</w:t>
            </w:r>
          </w:p>
        </w:tc>
        <w:tc>
          <w:tcPr>
            <w:tcW w:w="0" w:type="auto"/>
            <w:tcBorders>
              <w:bottom w:val="single" w:color="auto" w:sz="6" w:space="0"/>
            </w:tcBorders>
            <w:shd w:val="clear" w:color="auto" w:fill="FFFFFF"/>
            <w:tcMar>
              <w:top w:w="100" w:type="dxa"/>
              <w:left w:w="160" w:type="dxa"/>
              <w:bottom w:w="100" w:type="dxa"/>
              <w:right w:w="160" w:type="dxa"/>
            </w:tcMar>
            <w:vAlign w:val="center"/>
          </w:tcPr>
          <w:p w14:paraId="6B9E25C4">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平均值 (M)</w:t>
            </w:r>
          </w:p>
        </w:tc>
        <w:tc>
          <w:tcPr>
            <w:tcW w:w="0" w:type="auto"/>
            <w:tcBorders>
              <w:bottom w:val="single" w:color="auto" w:sz="6" w:space="0"/>
            </w:tcBorders>
            <w:shd w:val="clear" w:color="auto" w:fill="FFFFFF"/>
            <w:tcMar>
              <w:top w:w="100" w:type="dxa"/>
              <w:left w:w="160" w:type="dxa"/>
              <w:bottom w:w="100" w:type="dxa"/>
              <w:right w:w="160" w:type="dxa"/>
            </w:tcMar>
            <w:vAlign w:val="center"/>
          </w:tcPr>
          <w:p w14:paraId="784E1746">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标准差 (SD)</w:t>
            </w:r>
          </w:p>
        </w:tc>
      </w:tr>
      <w:tr w14:paraId="558E0E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tl2br w:val="nil"/>
              <w:tr2bl w:val="nil"/>
            </w:tcBorders>
            <w:shd w:val="clear" w:color="auto" w:fill="FFFFFF"/>
            <w:tcMar>
              <w:top w:w="100" w:type="dxa"/>
              <w:left w:w="0" w:type="dxa"/>
              <w:bottom w:w="100" w:type="dxa"/>
              <w:right w:w="160" w:type="dxa"/>
            </w:tcMar>
            <w:vAlign w:val="center"/>
          </w:tcPr>
          <w:p w14:paraId="2A2E7C44">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位置A</w:t>
            </w:r>
          </w:p>
        </w:tc>
        <w:tc>
          <w:tcPr>
            <w:tcW w:w="0" w:type="auto"/>
            <w:tcBorders>
              <w:top w:val="single" w:color="auto" w:sz="6" w:space="0"/>
              <w:tl2br w:val="nil"/>
              <w:tr2bl w:val="nil"/>
            </w:tcBorders>
            <w:shd w:val="clear" w:color="auto" w:fill="FFFFFF"/>
            <w:tcMar>
              <w:top w:w="100" w:type="dxa"/>
              <w:left w:w="160" w:type="dxa"/>
              <w:bottom w:w="100" w:type="dxa"/>
              <w:right w:w="160" w:type="dxa"/>
            </w:tcMar>
            <w:vAlign w:val="center"/>
          </w:tcPr>
          <w:p w14:paraId="444AC9D7">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侧边栏</w:t>
            </w:r>
          </w:p>
        </w:tc>
        <w:tc>
          <w:tcPr>
            <w:tcW w:w="0" w:type="auto"/>
            <w:tcBorders>
              <w:top w:val="single" w:color="auto" w:sz="6" w:space="0"/>
              <w:tl2br w:val="nil"/>
              <w:tr2bl w:val="nil"/>
            </w:tcBorders>
            <w:shd w:val="clear" w:color="auto" w:fill="FFFFFF"/>
            <w:tcMar>
              <w:top w:w="100" w:type="dxa"/>
              <w:left w:w="160" w:type="dxa"/>
              <w:bottom w:w="100" w:type="dxa"/>
              <w:right w:w="160" w:type="dxa"/>
            </w:tcMar>
            <w:vAlign w:val="center"/>
          </w:tcPr>
          <w:p w14:paraId="169EDCE5">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AOI 5</w:t>
            </w:r>
          </w:p>
        </w:tc>
        <w:tc>
          <w:tcPr>
            <w:tcW w:w="0" w:type="auto"/>
            <w:tcBorders>
              <w:top w:val="single" w:color="auto" w:sz="6" w:space="0"/>
              <w:tl2br w:val="nil"/>
              <w:tr2bl w:val="nil"/>
            </w:tcBorders>
            <w:shd w:val="clear" w:color="auto" w:fill="FFFFFF"/>
            <w:tcMar>
              <w:top w:w="100" w:type="dxa"/>
              <w:left w:w="160" w:type="dxa"/>
              <w:bottom w:w="100" w:type="dxa"/>
              <w:right w:w="160" w:type="dxa"/>
            </w:tcMar>
            <w:vAlign w:val="center"/>
          </w:tcPr>
          <w:p w14:paraId="4821322E">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13</w:t>
            </w:r>
          </w:p>
        </w:tc>
        <w:tc>
          <w:tcPr>
            <w:tcW w:w="0" w:type="auto"/>
            <w:tcBorders>
              <w:top w:val="single" w:color="auto" w:sz="6" w:space="0"/>
              <w:tl2br w:val="nil"/>
              <w:tr2bl w:val="nil"/>
            </w:tcBorders>
            <w:shd w:val="clear" w:color="auto" w:fill="FFFFFF"/>
            <w:tcMar>
              <w:top w:w="100" w:type="dxa"/>
              <w:left w:w="160" w:type="dxa"/>
              <w:bottom w:w="100" w:type="dxa"/>
              <w:right w:w="160" w:type="dxa"/>
            </w:tcMar>
            <w:vAlign w:val="center"/>
          </w:tcPr>
          <w:p w14:paraId="1F13290D">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2.85</w:t>
            </w:r>
          </w:p>
        </w:tc>
        <w:tc>
          <w:tcPr>
            <w:tcW w:w="0" w:type="auto"/>
            <w:tcBorders>
              <w:top w:val="single" w:color="auto" w:sz="6" w:space="0"/>
              <w:tl2br w:val="nil"/>
              <w:tr2bl w:val="nil"/>
            </w:tcBorders>
            <w:shd w:val="clear" w:color="auto" w:fill="FFFFFF"/>
            <w:tcMar>
              <w:top w:w="100" w:type="dxa"/>
              <w:left w:w="160" w:type="dxa"/>
              <w:bottom w:w="100" w:type="dxa"/>
              <w:right w:w="0" w:type="dxa"/>
            </w:tcMar>
            <w:vAlign w:val="center"/>
          </w:tcPr>
          <w:p w14:paraId="39C9ABDB">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2.15</w:t>
            </w:r>
          </w:p>
        </w:tc>
      </w:tr>
      <w:tr w14:paraId="698766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60" w:type="dxa"/>
            </w:tcMar>
            <w:vAlign w:val="center"/>
          </w:tcPr>
          <w:p w14:paraId="1AC9CC87">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位置B</w:t>
            </w:r>
          </w:p>
        </w:tc>
        <w:tc>
          <w:tcPr>
            <w:tcW w:w="0" w:type="auto"/>
            <w:tcBorders>
              <w:tl2br w:val="nil"/>
              <w:tr2bl w:val="nil"/>
            </w:tcBorders>
            <w:shd w:val="clear" w:color="auto" w:fill="FFFFFF"/>
            <w:tcMar>
              <w:top w:w="100" w:type="dxa"/>
              <w:left w:w="160" w:type="dxa"/>
              <w:bottom w:w="100" w:type="dxa"/>
              <w:right w:w="160" w:type="dxa"/>
            </w:tcMar>
            <w:vAlign w:val="center"/>
          </w:tcPr>
          <w:p w14:paraId="473B3AF9">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侧边栏</w:t>
            </w:r>
          </w:p>
        </w:tc>
        <w:tc>
          <w:tcPr>
            <w:tcW w:w="0" w:type="auto"/>
            <w:tcBorders>
              <w:tl2br w:val="nil"/>
              <w:tr2bl w:val="nil"/>
            </w:tcBorders>
            <w:shd w:val="clear" w:color="auto" w:fill="FFFFFF"/>
            <w:tcMar>
              <w:top w:w="100" w:type="dxa"/>
              <w:left w:w="160" w:type="dxa"/>
              <w:bottom w:w="100" w:type="dxa"/>
              <w:right w:w="160" w:type="dxa"/>
            </w:tcMar>
            <w:vAlign w:val="center"/>
          </w:tcPr>
          <w:p w14:paraId="25E765D1">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AOI 11</w:t>
            </w:r>
          </w:p>
        </w:tc>
        <w:tc>
          <w:tcPr>
            <w:tcW w:w="0" w:type="auto"/>
            <w:tcBorders>
              <w:tl2br w:val="nil"/>
              <w:tr2bl w:val="nil"/>
            </w:tcBorders>
            <w:shd w:val="clear" w:color="auto" w:fill="FFFFFF"/>
            <w:tcMar>
              <w:top w:w="100" w:type="dxa"/>
              <w:left w:w="160" w:type="dxa"/>
              <w:bottom w:w="100" w:type="dxa"/>
              <w:right w:w="160" w:type="dxa"/>
            </w:tcMar>
            <w:vAlign w:val="center"/>
          </w:tcPr>
          <w:p w14:paraId="5EBAAC2A">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13</w:t>
            </w:r>
          </w:p>
        </w:tc>
        <w:tc>
          <w:tcPr>
            <w:tcW w:w="0" w:type="auto"/>
            <w:tcBorders>
              <w:tl2br w:val="nil"/>
              <w:tr2bl w:val="nil"/>
            </w:tcBorders>
            <w:shd w:val="clear" w:color="auto" w:fill="FFFFFF"/>
            <w:tcMar>
              <w:top w:w="100" w:type="dxa"/>
              <w:left w:w="160" w:type="dxa"/>
              <w:bottom w:w="100" w:type="dxa"/>
              <w:right w:w="160" w:type="dxa"/>
            </w:tcMar>
            <w:vAlign w:val="center"/>
          </w:tcPr>
          <w:p w14:paraId="4138CE5B">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9.62</w:t>
            </w:r>
          </w:p>
        </w:tc>
        <w:tc>
          <w:tcPr>
            <w:tcW w:w="0" w:type="auto"/>
            <w:tcBorders>
              <w:tl2br w:val="nil"/>
              <w:tr2bl w:val="nil"/>
            </w:tcBorders>
            <w:shd w:val="clear" w:color="auto" w:fill="FFFFFF"/>
            <w:tcMar>
              <w:top w:w="100" w:type="dxa"/>
              <w:left w:w="160" w:type="dxa"/>
              <w:bottom w:w="100" w:type="dxa"/>
              <w:right w:w="0" w:type="dxa"/>
            </w:tcMar>
            <w:vAlign w:val="center"/>
          </w:tcPr>
          <w:p w14:paraId="64CB6DEF">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3.21</w:t>
            </w:r>
          </w:p>
        </w:tc>
      </w:tr>
      <w:tr w14:paraId="4E1C18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60" w:type="dxa"/>
            </w:tcMar>
            <w:vAlign w:val="center"/>
          </w:tcPr>
          <w:p w14:paraId="456A9D26">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位置C</w:t>
            </w:r>
          </w:p>
        </w:tc>
        <w:tc>
          <w:tcPr>
            <w:tcW w:w="0" w:type="auto"/>
            <w:tcBorders>
              <w:tl2br w:val="nil"/>
              <w:tr2bl w:val="nil"/>
            </w:tcBorders>
            <w:shd w:val="clear" w:color="auto" w:fill="FFFFFF"/>
            <w:tcMar>
              <w:top w:w="100" w:type="dxa"/>
              <w:left w:w="160" w:type="dxa"/>
              <w:bottom w:w="100" w:type="dxa"/>
              <w:right w:w="160" w:type="dxa"/>
            </w:tcMar>
            <w:vAlign w:val="center"/>
          </w:tcPr>
          <w:p w14:paraId="7C6D4B24">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中部</w:t>
            </w:r>
          </w:p>
        </w:tc>
        <w:tc>
          <w:tcPr>
            <w:tcW w:w="0" w:type="auto"/>
            <w:tcBorders>
              <w:tl2br w:val="nil"/>
              <w:tr2bl w:val="nil"/>
            </w:tcBorders>
            <w:shd w:val="clear" w:color="auto" w:fill="FFFFFF"/>
            <w:tcMar>
              <w:top w:w="100" w:type="dxa"/>
              <w:left w:w="160" w:type="dxa"/>
              <w:bottom w:w="100" w:type="dxa"/>
              <w:right w:w="160" w:type="dxa"/>
            </w:tcMar>
            <w:vAlign w:val="center"/>
          </w:tcPr>
          <w:p w14:paraId="7FF0F61D">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AOI 12</w:t>
            </w:r>
          </w:p>
        </w:tc>
        <w:tc>
          <w:tcPr>
            <w:tcW w:w="0" w:type="auto"/>
            <w:tcBorders>
              <w:tl2br w:val="nil"/>
              <w:tr2bl w:val="nil"/>
            </w:tcBorders>
            <w:shd w:val="clear" w:color="auto" w:fill="FFFFFF"/>
            <w:tcMar>
              <w:top w:w="100" w:type="dxa"/>
              <w:left w:w="160" w:type="dxa"/>
              <w:bottom w:w="100" w:type="dxa"/>
              <w:right w:w="160" w:type="dxa"/>
            </w:tcMar>
            <w:vAlign w:val="center"/>
          </w:tcPr>
          <w:p w14:paraId="3884AD4B">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13</w:t>
            </w:r>
          </w:p>
        </w:tc>
        <w:tc>
          <w:tcPr>
            <w:tcW w:w="0" w:type="auto"/>
            <w:tcBorders>
              <w:tl2br w:val="nil"/>
              <w:tr2bl w:val="nil"/>
            </w:tcBorders>
            <w:shd w:val="clear" w:color="auto" w:fill="FFFFFF"/>
            <w:tcMar>
              <w:top w:w="100" w:type="dxa"/>
              <w:left w:w="160" w:type="dxa"/>
              <w:bottom w:w="100" w:type="dxa"/>
              <w:right w:w="160" w:type="dxa"/>
            </w:tcMar>
            <w:vAlign w:val="center"/>
          </w:tcPr>
          <w:p w14:paraId="0093D56C">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9.62</w:t>
            </w:r>
          </w:p>
        </w:tc>
        <w:tc>
          <w:tcPr>
            <w:tcW w:w="0" w:type="auto"/>
            <w:tcBorders>
              <w:tl2br w:val="nil"/>
              <w:tr2bl w:val="nil"/>
            </w:tcBorders>
            <w:shd w:val="clear" w:color="auto" w:fill="FFFFFF"/>
            <w:tcMar>
              <w:top w:w="100" w:type="dxa"/>
              <w:left w:w="160" w:type="dxa"/>
              <w:bottom w:w="100" w:type="dxa"/>
              <w:right w:w="0" w:type="dxa"/>
            </w:tcMar>
            <w:vAlign w:val="center"/>
          </w:tcPr>
          <w:p w14:paraId="1B6F58FF">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3.78</w:t>
            </w:r>
          </w:p>
        </w:tc>
      </w:tr>
      <w:tr w14:paraId="4C6D39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60" w:type="dxa"/>
            </w:tcMar>
            <w:vAlign w:val="center"/>
          </w:tcPr>
          <w:p w14:paraId="75F6EA92">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位置D</w:t>
            </w:r>
          </w:p>
        </w:tc>
        <w:tc>
          <w:tcPr>
            <w:tcW w:w="0" w:type="auto"/>
            <w:tcBorders>
              <w:tl2br w:val="nil"/>
              <w:tr2bl w:val="nil"/>
            </w:tcBorders>
            <w:shd w:val="clear" w:color="auto" w:fill="FFFFFF"/>
            <w:tcMar>
              <w:top w:w="100" w:type="dxa"/>
              <w:left w:w="160" w:type="dxa"/>
              <w:bottom w:w="100" w:type="dxa"/>
              <w:right w:w="160" w:type="dxa"/>
            </w:tcMar>
            <w:vAlign w:val="center"/>
          </w:tcPr>
          <w:p w14:paraId="6F867D8E">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中部</w:t>
            </w:r>
          </w:p>
        </w:tc>
        <w:tc>
          <w:tcPr>
            <w:tcW w:w="0" w:type="auto"/>
            <w:tcBorders>
              <w:tl2br w:val="nil"/>
              <w:tr2bl w:val="nil"/>
            </w:tcBorders>
            <w:shd w:val="clear" w:color="auto" w:fill="FFFFFF"/>
            <w:tcMar>
              <w:top w:w="100" w:type="dxa"/>
              <w:left w:w="160" w:type="dxa"/>
              <w:bottom w:w="100" w:type="dxa"/>
              <w:right w:w="160" w:type="dxa"/>
            </w:tcMar>
            <w:vAlign w:val="center"/>
          </w:tcPr>
          <w:p w14:paraId="6BACE09D">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AOI 16</w:t>
            </w:r>
          </w:p>
        </w:tc>
        <w:tc>
          <w:tcPr>
            <w:tcW w:w="0" w:type="auto"/>
            <w:tcBorders>
              <w:tl2br w:val="nil"/>
              <w:tr2bl w:val="nil"/>
            </w:tcBorders>
            <w:shd w:val="clear" w:color="auto" w:fill="FFFFFF"/>
            <w:tcMar>
              <w:top w:w="100" w:type="dxa"/>
              <w:left w:w="160" w:type="dxa"/>
              <w:bottom w:w="100" w:type="dxa"/>
              <w:right w:w="160" w:type="dxa"/>
            </w:tcMar>
            <w:vAlign w:val="center"/>
          </w:tcPr>
          <w:p w14:paraId="0F711445">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12</w:t>
            </w:r>
          </w:p>
        </w:tc>
        <w:tc>
          <w:tcPr>
            <w:tcW w:w="0" w:type="auto"/>
            <w:tcBorders>
              <w:tl2br w:val="nil"/>
              <w:tr2bl w:val="nil"/>
            </w:tcBorders>
            <w:shd w:val="clear" w:color="auto" w:fill="FFFFFF"/>
            <w:tcMar>
              <w:top w:w="100" w:type="dxa"/>
              <w:left w:w="160" w:type="dxa"/>
              <w:bottom w:w="100" w:type="dxa"/>
              <w:right w:w="160" w:type="dxa"/>
            </w:tcMar>
            <w:vAlign w:val="center"/>
          </w:tcPr>
          <w:p w14:paraId="1D0F23E0">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2.33</w:t>
            </w:r>
          </w:p>
        </w:tc>
        <w:tc>
          <w:tcPr>
            <w:tcW w:w="0" w:type="auto"/>
            <w:tcBorders>
              <w:tl2br w:val="nil"/>
              <w:tr2bl w:val="nil"/>
            </w:tcBorders>
            <w:shd w:val="clear" w:color="auto" w:fill="FFFFFF"/>
            <w:tcMar>
              <w:top w:w="100" w:type="dxa"/>
              <w:left w:w="160" w:type="dxa"/>
              <w:bottom w:w="100" w:type="dxa"/>
              <w:right w:w="0" w:type="dxa"/>
            </w:tcMar>
            <w:vAlign w:val="center"/>
          </w:tcPr>
          <w:p w14:paraId="69A759C0">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1.07</w:t>
            </w:r>
          </w:p>
        </w:tc>
      </w:tr>
    </w:tbl>
    <w:p w14:paraId="7FEEF695">
      <w:pPr>
        <w:rPr>
          <w:rFonts w:hint="eastAsia"/>
          <w:b w:val="0"/>
          <w:bCs w:val="0"/>
          <w:sz w:val="24"/>
          <w:szCs w:val="32"/>
        </w:rPr>
      </w:pPr>
    </w:p>
    <w:p w14:paraId="61F7EF45">
      <w:pPr>
        <w:rPr>
          <w:rFonts w:hint="eastAsia"/>
          <w:b w:val="0"/>
          <w:bCs w:val="0"/>
          <w:sz w:val="24"/>
          <w:szCs w:val="32"/>
        </w:rPr>
      </w:pPr>
    </w:p>
    <w:p w14:paraId="395483CF">
      <w:pPr>
        <w:pStyle w:val="5"/>
        <w:jc w:val="center"/>
        <w:rPr>
          <w:rFonts w:hint="eastAsia"/>
          <w:b w:val="0"/>
          <w:bCs w:val="0"/>
          <w:sz w:val="22"/>
          <w:szCs w:val="22"/>
        </w:rPr>
      </w:pPr>
      <w:r>
        <w:rPr>
          <w:rFonts w:hint="eastAsia"/>
          <w:sz w:val="22"/>
          <w:szCs w:val="22"/>
          <w:lang w:val="en-US" w:eastAsia="zh-CN"/>
        </w:rPr>
        <w:t>表4</w:t>
      </w:r>
      <w:r>
        <w:rPr>
          <w:sz w:val="22"/>
          <w:szCs w:val="22"/>
        </w:rPr>
        <w:t xml:space="preserve"> </w:t>
      </w:r>
      <w:r>
        <w:rPr>
          <w:rFonts w:hint="eastAsia"/>
          <w:b w:val="0"/>
          <w:bCs w:val="0"/>
          <w:sz w:val="22"/>
          <w:szCs w:val="22"/>
        </w:rPr>
        <w:t>任务区注视</w:t>
      </w:r>
      <w:r>
        <w:rPr>
          <w:rFonts w:hint="eastAsia"/>
          <w:b w:val="0"/>
          <w:bCs w:val="0"/>
          <w:sz w:val="22"/>
          <w:szCs w:val="22"/>
          <w:lang w:val="en-US" w:eastAsia="zh-CN"/>
        </w:rPr>
        <w:t>次数</w:t>
      </w:r>
      <w:r>
        <w:rPr>
          <w:rFonts w:hint="eastAsia"/>
          <w:b w:val="0"/>
          <w:bCs w:val="0"/>
          <w:sz w:val="22"/>
          <w:szCs w:val="22"/>
        </w:rPr>
        <w:t>的单因素方差</w:t>
      </w:r>
      <w:r>
        <w:rPr>
          <w:rFonts w:hint="eastAsia"/>
          <w:b w:val="0"/>
          <w:bCs w:val="0"/>
          <w:sz w:val="22"/>
          <w:szCs w:val="22"/>
          <w:lang w:val="en-US" w:eastAsia="zh-CN"/>
        </w:rPr>
        <w:t>分析</w:t>
      </w:r>
      <w:r>
        <w:rPr>
          <w:rFonts w:hint="eastAsia"/>
          <w:b w:val="0"/>
          <w:bCs w:val="0"/>
          <w:sz w:val="22"/>
          <w:szCs w:val="22"/>
        </w:rPr>
        <w:t>结果</w:t>
      </w:r>
    </w:p>
    <w:tbl>
      <w:tblPr>
        <w:tblStyle w:val="14"/>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00"/>
        <w:gridCol w:w="1475"/>
        <w:gridCol w:w="1475"/>
        <w:gridCol w:w="1265"/>
        <w:gridCol w:w="845"/>
        <w:gridCol w:w="790"/>
      </w:tblGrid>
      <w:tr w14:paraId="409845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bottom w:val="single" w:color="auto" w:sz="6" w:space="0"/>
            </w:tcBorders>
            <w:shd w:val="clear" w:color="auto" w:fill="FFFFFF"/>
            <w:tcMar>
              <w:top w:w="100" w:type="dxa"/>
              <w:left w:w="0" w:type="dxa"/>
              <w:bottom w:w="100" w:type="dxa"/>
              <w:right w:w="160" w:type="dxa"/>
            </w:tcMar>
            <w:vAlign w:val="center"/>
          </w:tcPr>
          <w:p w14:paraId="2A1AE657">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变异来源</w:t>
            </w:r>
          </w:p>
        </w:tc>
        <w:tc>
          <w:tcPr>
            <w:tcW w:w="0" w:type="auto"/>
            <w:tcBorders>
              <w:bottom w:val="single" w:color="auto" w:sz="6" w:space="0"/>
            </w:tcBorders>
            <w:shd w:val="clear" w:color="auto" w:fill="FFFFFF"/>
            <w:tcMar>
              <w:top w:w="100" w:type="dxa"/>
              <w:left w:w="160" w:type="dxa"/>
              <w:bottom w:w="100" w:type="dxa"/>
              <w:right w:w="160" w:type="dxa"/>
            </w:tcMar>
            <w:vAlign w:val="center"/>
          </w:tcPr>
          <w:p w14:paraId="7D30702C">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平方和 (SS)</w:t>
            </w:r>
          </w:p>
        </w:tc>
        <w:tc>
          <w:tcPr>
            <w:tcW w:w="0" w:type="auto"/>
            <w:tcBorders>
              <w:bottom w:val="single" w:color="auto" w:sz="6" w:space="0"/>
            </w:tcBorders>
            <w:shd w:val="clear" w:color="auto" w:fill="FFFFFF"/>
            <w:tcMar>
              <w:top w:w="100" w:type="dxa"/>
              <w:left w:w="160" w:type="dxa"/>
              <w:bottom w:w="100" w:type="dxa"/>
              <w:right w:w="160" w:type="dxa"/>
            </w:tcMar>
            <w:vAlign w:val="center"/>
          </w:tcPr>
          <w:p w14:paraId="5B72BA89">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自由度 (df)</w:t>
            </w:r>
          </w:p>
        </w:tc>
        <w:tc>
          <w:tcPr>
            <w:tcW w:w="0" w:type="auto"/>
            <w:tcBorders>
              <w:bottom w:val="single" w:color="auto" w:sz="6" w:space="0"/>
            </w:tcBorders>
            <w:shd w:val="clear" w:color="auto" w:fill="FFFFFF"/>
            <w:tcMar>
              <w:top w:w="100" w:type="dxa"/>
              <w:left w:w="160" w:type="dxa"/>
              <w:bottom w:w="100" w:type="dxa"/>
              <w:right w:w="160" w:type="dxa"/>
            </w:tcMar>
            <w:vAlign w:val="center"/>
          </w:tcPr>
          <w:p w14:paraId="51B8231B">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均方 (MS)</w:t>
            </w:r>
          </w:p>
        </w:tc>
        <w:tc>
          <w:tcPr>
            <w:tcW w:w="0" w:type="auto"/>
            <w:tcBorders>
              <w:bottom w:val="single" w:color="auto" w:sz="6" w:space="0"/>
            </w:tcBorders>
            <w:shd w:val="clear" w:color="auto" w:fill="FFFFFF"/>
            <w:tcMar>
              <w:top w:w="100" w:type="dxa"/>
              <w:left w:w="160" w:type="dxa"/>
              <w:bottom w:w="100" w:type="dxa"/>
              <w:right w:w="160" w:type="dxa"/>
            </w:tcMar>
            <w:vAlign w:val="center"/>
          </w:tcPr>
          <w:p w14:paraId="01A8FC0D">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F值</w:t>
            </w:r>
          </w:p>
        </w:tc>
        <w:tc>
          <w:tcPr>
            <w:tcW w:w="0" w:type="auto"/>
            <w:tcBorders>
              <w:bottom w:val="single" w:color="auto" w:sz="6" w:space="0"/>
            </w:tcBorders>
            <w:shd w:val="clear" w:color="auto" w:fill="FFFFFF"/>
            <w:tcMar>
              <w:top w:w="100" w:type="dxa"/>
              <w:left w:w="160" w:type="dxa"/>
              <w:bottom w:w="100" w:type="dxa"/>
              <w:right w:w="160" w:type="dxa"/>
            </w:tcMar>
            <w:vAlign w:val="center"/>
          </w:tcPr>
          <w:p w14:paraId="6365F011">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p值</w:t>
            </w:r>
          </w:p>
        </w:tc>
      </w:tr>
      <w:tr w14:paraId="7F95CA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6" w:space="0"/>
              <w:tl2br w:val="nil"/>
              <w:tr2bl w:val="nil"/>
            </w:tcBorders>
            <w:shd w:val="clear" w:color="auto" w:fill="FFFFFF"/>
            <w:tcMar>
              <w:top w:w="100" w:type="dxa"/>
              <w:left w:w="0" w:type="dxa"/>
              <w:bottom w:w="100" w:type="dxa"/>
              <w:right w:w="160" w:type="dxa"/>
            </w:tcMar>
            <w:vAlign w:val="center"/>
          </w:tcPr>
          <w:p w14:paraId="3D6B5322">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组间</w:t>
            </w:r>
          </w:p>
        </w:tc>
        <w:tc>
          <w:tcPr>
            <w:tcW w:w="0" w:type="auto"/>
            <w:tcBorders>
              <w:top w:val="single" w:color="auto" w:sz="6" w:space="0"/>
              <w:tl2br w:val="nil"/>
              <w:tr2bl w:val="nil"/>
            </w:tcBorders>
            <w:shd w:val="clear" w:color="auto" w:fill="FFFFFF"/>
            <w:tcMar>
              <w:top w:w="100" w:type="dxa"/>
              <w:left w:w="160" w:type="dxa"/>
              <w:bottom w:w="100" w:type="dxa"/>
              <w:right w:w="160" w:type="dxa"/>
            </w:tcMar>
            <w:vAlign w:val="center"/>
          </w:tcPr>
          <w:p w14:paraId="1671FD2B">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489.12</w:t>
            </w:r>
          </w:p>
        </w:tc>
        <w:tc>
          <w:tcPr>
            <w:tcW w:w="0" w:type="auto"/>
            <w:tcBorders>
              <w:top w:val="single" w:color="auto" w:sz="6" w:space="0"/>
              <w:tl2br w:val="nil"/>
              <w:tr2bl w:val="nil"/>
            </w:tcBorders>
            <w:shd w:val="clear" w:color="auto" w:fill="FFFFFF"/>
            <w:tcMar>
              <w:top w:w="100" w:type="dxa"/>
              <w:left w:w="160" w:type="dxa"/>
              <w:bottom w:w="100" w:type="dxa"/>
              <w:right w:w="160" w:type="dxa"/>
            </w:tcMar>
            <w:vAlign w:val="center"/>
          </w:tcPr>
          <w:p w14:paraId="3D89B569">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3</w:t>
            </w:r>
          </w:p>
        </w:tc>
        <w:tc>
          <w:tcPr>
            <w:tcW w:w="0" w:type="auto"/>
            <w:tcBorders>
              <w:top w:val="single" w:color="auto" w:sz="6" w:space="0"/>
              <w:tl2br w:val="nil"/>
              <w:tr2bl w:val="nil"/>
            </w:tcBorders>
            <w:shd w:val="clear" w:color="auto" w:fill="FFFFFF"/>
            <w:tcMar>
              <w:top w:w="100" w:type="dxa"/>
              <w:left w:w="160" w:type="dxa"/>
              <w:bottom w:w="100" w:type="dxa"/>
              <w:right w:w="160" w:type="dxa"/>
            </w:tcMar>
            <w:vAlign w:val="center"/>
          </w:tcPr>
          <w:p w14:paraId="610B77AB">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163.04</w:t>
            </w:r>
          </w:p>
        </w:tc>
        <w:tc>
          <w:tcPr>
            <w:tcW w:w="0" w:type="auto"/>
            <w:tcBorders>
              <w:top w:val="single" w:color="auto" w:sz="6" w:space="0"/>
              <w:tl2br w:val="nil"/>
              <w:tr2bl w:val="nil"/>
            </w:tcBorders>
            <w:shd w:val="clear" w:color="auto" w:fill="FFFFFF"/>
            <w:tcMar>
              <w:top w:w="100" w:type="dxa"/>
              <w:left w:w="160" w:type="dxa"/>
              <w:bottom w:w="100" w:type="dxa"/>
              <w:right w:w="160" w:type="dxa"/>
            </w:tcMar>
            <w:vAlign w:val="center"/>
          </w:tcPr>
          <w:p w14:paraId="0CACB3C2">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25.67</w:t>
            </w:r>
          </w:p>
        </w:tc>
        <w:tc>
          <w:tcPr>
            <w:tcW w:w="0" w:type="auto"/>
            <w:tcBorders>
              <w:top w:val="single" w:color="auto" w:sz="6" w:space="0"/>
              <w:tl2br w:val="nil"/>
              <w:tr2bl w:val="nil"/>
            </w:tcBorders>
            <w:shd w:val="clear" w:color="auto" w:fill="FFFFFF"/>
            <w:tcMar>
              <w:top w:w="100" w:type="dxa"/>
              <w:left w:w="160" w:type="dxa"/>
              <w:bottom w:w="100" w:type="dxa"/>
              <w:right w:w="0" w:type="dxa"/>
            </w:tcMar>
            <w:vAlign w:val="center"/>
          </w:tcPr>
          <w:p w14:paraId="7CC12B12">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&lt; .001</w:t>
            </w:r>
          </w:p>
        </w:tc>
      </w:tr>
      <w:tr w14:paraId="7572E5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60" w:type="dxa"/>
            </w:tcMar>
            <w:vAlign w:val="center"/>
          </w:tcPr>
          <w:p w14:paraId="6CB73384">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组内</w:t>
            </w:r>
          </w:p>
        </w:tc>
        <w:tc>
          <w:tcPr>
            <w:tcW w:w="0" w:type="auto"/>
            <w:tcBorders>
              <w:tl2br w:val="nil"/>
              <w:tr2bl w:val="nil"/>
            </w:tcBorders>
            <w:shd w:val="clear" w:color="auto" w:fill="FFFFFF"/>
            <w:tcMar>
              <w:top w:w="100" w:type="dxa"/>
              <w:left w:w="160" w:type="dxa"/>
              <w:bottom w:w="100" w:type="dxa"/>
              <w:right w:w="160" w:type="dxa"/>
            </w:tcMar>
            <w:vAlign w:val="center"/>
          </w:tcPr>
          <w:p w14:paraId="42A3C0B8">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298.52</w:t>
            </w:r>
          </w:p>
        </w:tc>
        <w:tc>
          <w:tcPr>
            <w:tcW w:w="0" w:type="auto"/>
            <w:tcBorders>
              <w:tl2br w:val="nil"/>
              <w:tr2bl w:val="nil"/>
            </w:tcBorders>
            <w:shd w:val="clear" w:color="auto" w:fill="FFFFFF"/>
            <w:tcMar>
              <w:top w:w="100" w:type="dxa"/>
              <w:left w:w="160" w:type="dxa"/>
              <w:bottom w:w="100" w:type="dxa"/>
              <w:right w:w="160" w:type="dxa"/>
            </w:tcMar>
            <w:vAlign w:val="center"/>
          </w:tcPr>
          <w:p w14:paraId="7129829D">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47</w:t>
            </w:r>
          </w:p>
        </w:tc>
        <w:tc>
          <w:tcPr>
            <w:tcW w:w="0" w:type="auto"/>
            <w:tcBorders>
              <w:tl2br w:val="nil"/>
              <w:tr2bl w:val="nil"/>
            </w:tcBorders>
            <w:shd w:val="clear" w:color="auto" w:fill="FFFFFF"/>
            <w:tcMar>
              <w:top w:w="100" w:type="dxa"/>
              <w:left w:w="160" w:type="dxa"/>
              <w:bottom w:w="100" w:type="dxa"/>
              <w:right w:w="160" w:type="dxa"/>
            </w:tcMar>
            <w:vAlign w:val="center"/>
          </w:tcPr>
          <w:p w14:paraId="424DCBBA">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6.35</w:t>
            </w:r>
          </w:p>
        </w:tc>
        <w:tc>
          <w:tcPr>
            <w:tcW w:w="0" w:type="auto"/>
            <w:tcBorders>
              <w:tl2br w:val="nil"/>
              <w:tr2bl w:val="nil"/>
            </w:tcBorders>
            <w:shd w:val="clear" w:color="auto" w:fill="FFFFFF"/>
            <w:tcMar>
              <w:top w:w="100" w:type="dxa"/>
              <w:left w:w="160" w:type="dxa"/>
              <w:bottom w:w="100" w:type="dxa"/>
              <w:right w:w="160" w:type="dxa"/>
            </w:tcMar>
            <w:vAlign w:val="center"/>
          </w:tcPr>
          <w:p w14:paraId="2144C872">
            <w:pPr>
              <w:rPr>
                <w:rFonts w:hint="eastAsia" w:ascii="宋体" w:hAnsi="宋体" w:eastAsia="宋体" w:cs="宋体"/>
                <w:i w:val="0"/>
                <w:iCs w:val="0"/>
                <w:caps w:val="0"/>
                <w:color w:val="0F1115"/>
                <w:spacing w:val="0"/>
                <w:sz w:val="21"/>
                <w:szCs w:val="21"/>
              </w:rPr>
            </w:pPr>
          </w:p>
        </w:tc>
        <w:tc>
          <w:tcPr>
            <w:tcW w:w="0" w:type="auto"/>
            <w:tcBorders>
              <w:tl2br w:val="nil"/>
              <w:tr2bl w:val="nil"/>
            </w:tcBorders>
            <w:shd w:val="clear" w:color="auto" w:fill="FFFFFF"/>
            <w:tcMar>
              <w:top w:w="100" w:type="dxa"/>
              <w:left w:w="160" w:type="dxa"/>
              <w:bottom w:w="100" w:type="dxa"/>
              <w:right w:w="0" w:type="dxa"/>
            </w:tcMar>
            <w:vAlign w:val="center"/>
          </w:tcPr>
          <w:p w14:paraId="6A4FE697">
            <w:pPr>
              <w:rPr>
                <w:rFonts w:hint="eastAsia" w:ascii="宋体" w:hAnsi="宋体" w:eastAsia="宋体" w:cs="宋体"/>
                <w:i w:val="0"/>
                <w:iCs w:val="0"/>
                <w:caps w:val="0"/>
                <w:color w:val="0F1115"/>
                <w:spacing w:val="0"/>
                <w:sz w:val="21"/>
                <w:szCs w:val="21"/>
              </w:rPr>
            </w:pPr>
          </w:p>
        </w:tc>
      </w:tr>
      <w:tr w14:paraId="4C4794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l2br w:val="nil"/>
              <w:tr2bl w:val="nil"/>
            </w:tcBorders>
            <w:shd w:val="clear" w:color="auto" w:fill="FFFFFF"/>
            <w:tcMar>
              <w:top w:w="100" w:type="dxa"/>
              <w:left w:w="0" w:type="dxa"/>
              <w:bottom w:w="100" w:type="dxa"/>
              <w:right w:w="160" w:type="dxa"/>
            </w:tcMar>
            <w:vAlign w:val="center"/>
          </w:tcPr>
          <w:p w14:paraId="11644FE9">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总计</w:t>
            </w:r>
          </w:p>
        </w:tc>
        <w:tc>
          <w:tcPr>
            <w:tcW w:w="0" w:type="auto"/>
            <w:tcBorders>
              <w:tl2br w:val="nil"/>
              <w:tr2bl w:val="nil"/>
            </w:tcBorders>
            <w:shd w:val="clear" w:color="auto" w:fill="FFFFFF"/>
            <w:tcMar>
              <w:top w:w="100" w:type="dxa"/>
              <w:left w:w="160" w:type="dxa"/>
              <w:bottom w:w="100" w:type="dxa"/>
              <w:right w:w="160" w:type="dxa"/>
            </w:tcMar>
            <w:vAlign w:val="center"/>
          </w:tcPr>
          <w:p w14:paraId="4A385A46">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787.64</w:t>
            </w:r>
          </w:p>
        </w:tc>
        <w:tc>
          <w:tcPr>
            <w:tcW w:w="0" w:type="auto"/>
            <w:tcBorders>
              <w:tl2br w:val="nil"/>
              <w:tr2bl w:val="nil"/>
            </w:tcBorders>
            <w:shd w:val="clear" w:color="auto" w:fill="FFFFFF"/>
            <w:tcMar>
              <w:top w:w="100" w:type="dxa"/>
              <w:left w:w="160" w:type="dxa"/>
              <w:bottom w:w="100" w:type="dxa"/>
              <w:right w:w="160" w:type="dxa"/>
            </w:tcMar>
            <w:vAlign w:val="center"/>
          </w:tcPr>
          <w:p w14:paraId="10359D7B">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50</w:t>
            </w:r>
          </w:p>
        </w:tc>
        <w:tc>
          <w:tcPr>
            <w:tcW w:w="0" w:type="auto"/>
            <w:tcBorders>
              <w:tl2br w:val="nil"/>
              <w:tr2bl w:val="nil"/>
            </w:tcBorders>
            <w:shd w:val="clear" w:color="auto" w:fill="FFFFFF"/>
            <w:vAlign w:val="center"/>
          </w:tcPr>
          <w:p w14:paraId="3AC00D91">
            <w:pPr>
              <w:rPr>
                <w:rFonts w:hint="eastAsia" w:ascii="宋体" w:hAnsi="宋体" w:eastAsia="宋体" w:cs="宋体"/>
                <w:i w:val="0"/>
                <w:iCs w:val="0"/>
                <w:caps w:val="0"/>
                <w:color w:val="0F1115"/>
                <w:spacing w:val="0"/>
                <w:sz w:val="21"/>
                <w:szCs w:val="21"/>
              </w:rPr>
            </w:pPr>
          </w:p>
        </w:tc>
        <w:tc>
          <w:tcPr>
            <w:tcW w:w="0" w:type="auto"/>
            <w:tcBorders>
              <w:tl2br w:val="nil"/>
              <w:tr2bl w:val="nil"/>
            </w:tcBorders>
            <w:shd w:val="clear" w:color="auto" w:fill="FFFFFF"/>
            <w:vAlign w:val="center"/>
          </w:tcPr>
          <w:p w14:paraId="38D81D8B">
            <w:pPr>
              <w:rPr>
                <w:rFonts w:hint="eastAsia" w:ascii="宋体" w:hAnsi="宋体" w:eastAsia="宋体" w:cs="宋体"/>
                <w:i w:val="0"/>
                <w:iCs w:val="0"/>
                <w:caps w:val="0"/>
                <w:color w:val="0F1115"/>
                <w:spacing w:val="0"/>
                <w:sz w:val="21"/>
                <w:szCs w:val="21"/>
              </w:rPr>
            </w:pPr>
          </w:p>
        </w:tc>
        <w:tc>
          <w:tcPr>
            <w:tcW w:w="0" w:type="auto"/>
            <w:tcBorders>
              <w:tl2br w:val="nil"/>
              <w:tr2bl w:val="nil"/>
            </w:tcBorders>
            <w:shd w:val="clear" w:color="auto" w:fill="FFFFFF"/>
            <w:vAlign w:val="center"/>
          </w:tcPr>
          <w:p w14:paraId="6AD39427">
            <w:pPr>
              <w:rPr>
                <w:rFonts w:hint="eastAsia" w:ascii="宋体" w:hAnsi="宋体" w:eastAsia="宋体" w:cs="宋体"/>
                <w:i w:val="0"/>
                <w:iCs w:val="0"/>
                <w:caps w:val="0"/>
                <w:color w:val="0F1115"/>
                <w:spacing w:val="0"/>
                <w:sz w:val="21"/>
                <w:szCs w:val="21"/>
              </w:rPr>
            </w:pPr>
          </w:p>
        </w:tc>
      </w:tr>
    </w:tbl>
    <w:p w14:paraId="468F2468">
      <w:pPr>
        <w:rPr>
          <w:rFonts w:hint="eastAsia"/>
          <w:lang w:val="en-US" w:eastAsia="zh-CN"/>
        </w:rPr>
      </w:pPr>
    </w:p>
    <w:p w14:paraId="2DBC0B9E">
      <w:pPr>
        <w:rPr>
          <w:rFonts w:hint="eastAsia"/>
          <w:b w:val="0"/>
          <w:bCs w:val="0"/>
          <w:sz w:val="24"/>
          <w:szCs w:val="32"/>
        </w:rPr>
      </w:pPr>
    </w:p>
    <w:p w14:paraId="2952D625">
      <w:pPr>
        <w:rPr>
          <w:rFonts w:hint="eastAsia"/>
          <w:b w:val="0"/>
          <w:bCs w:val="0"/>
          <w:sz w:val="24"/>
          <w:szCs w:val="32"/>
        </w:rPr>
      </w:pPr>
      <w:r>
        <w:rPr>
          <w:rFonts w:hint="eastAsia"/>
          <w:b w:val="0"/>
          <w:bCs w:val="0"/>
          <w:sz w:val="24"/>
          <w:szCs w:val="32"/>
        </w:rPr>
        <w:t>方差分析结果表明，广告位置对任务区的注视次数产生了极其显著的影响，F(3, 47) = 25.67, p &lt; .001。</w:t>
      </w:r>
    </w:p>
    <w:p w14:paraId="6A70CC7F">
      <w:pPr>
        <w:rPr>
          <w:rFonts w:hint="eastAsia"/>
          <w:b w:val="0"/>
          <w:bCs w:val="0"/>
          <w:sz w:val="24"/>
          <w:szCs w:val="32"/>
        </w:rPr>
      </w:pPr>
    </w:p>
    <w:p w14:paraId="2BAEBFAC">
      <w:pPr>
        <w:outlineLvl w:val="3"/>
        <w:rPr>
          <w:rFonts w:hint="eastAsia" w:eastAsiaTheme="minorEastAsia"/>
          <w:b w:val="0"/>
          <w:bCs w:val="0"/>
          <w:sz w:val="24"/>
          <w:szCs w:val="32"/>
          <w:lang w:eastAsia="zh-CN"/>
        </w:rPr>
      </w:pPr>
      <w:r>
        <w:rPr>
          <w:rFonts w:hint="eastAsia"/>
          <w:b w:val="0"/>
          <w:bCs w:val="0"/>
          <w:sz w:val="24"/>
          <w:szCs w:val="32"/>
        </w:rPr>
        <w:t xml:space="preserve"> </w:t>
      </w:r>
      <w:bookmarkStart w:id="96" w:name="_Toc12697"/>
      <w:r>
        <w:rPr>
          <w:rFonts w:hint="eastAsia"/>
          <w:b w:val="0"/>
          <w:bCs w:val="0"/>
          <w:sz w:val="24"/>
          <w:szCs w:val="32"/>
        </w:rPr>
        <w:t>4. 讨论与结论</w:t>
      </w:r>
      <w:bookmarkEnd w:id="96"/>
    </w:p>
    <w:p w14:paraId="58645C21">
      <w:pPr>
        <w:rPr>
          <w:rFonts w:hint="eastAsia"/>
          <w:b w:val="0"/>
          <w:bCs w:val="0"/>
          <w:sz w:val="24"/>
          <w:szCs w:val="32"/>
        </w:rPr>
      </w:pPr>
    </w:p>
    <w:p w14:paraId="68F4F742">
      <w:pPr>
        <w:rPr>
          <w:rFonts w:hint="eastAsia"/>
          <w:b w:val="0"/>
          <w:bCs w:val="0"/>
          <w:sz w:val="24"/>
          <w:szCs w:val="32"/>
        </w:rPr>
      </w:pPr>
      <w:r>
        <w:rPr>
          <w:rFonts w:hint="eastAsia"/>
          <w:b w:val="0"/>
          <w:bCs w:val="0"/>
          <w:sz w:val="24"/>
          <w:szCs w:val="32"/>
        </w:rPr>
        <w:t>本研究通过分析用户在目标搜索任务中对任务区的眼动行为，从认知层面深入探究了广告位置对任务效率的影响机制。本探究的核心发现在于，广告在界面布局中的垂直位置——特别是位于界面中部还是边缘区域——是决定其干扰程度的关键因素。</w:t>
      </w:r>
    </w:p>
    <w:p w14:paraId="52F97410">
      <w:pPr>
        <w:rPr>
          <w:rFonts w:hint="eastAsia"/>
          <w:b w:val="0"/>
          <w:bCs w:val="0"/>
          <w:sz w:val="24"/>
          <w:szCs w:val="32"/>
        </w:rPr>
      </w:pPr>
    </w:p>
    <w:p w14:paraId="143CB730">
      <w:pPr>
        <w:rPr>
          <w:rFonts w:hint="eastAsia"/>
          <w:b w:val="0"/>
          <w:bCs w:val="0"/>
          <w:sz w:val="24"/>
          <w:szCs w:val="32"/>
        </w:rPr>
      </w:pPr>
      <w:r>
        <w:rPr>
          <w:rFonts w:hint="eastAsia"/>
          <w:b w:val="0"/>
          <w:bCs w:val="0"/>
          <w:sz w:val="24"/>
          <w:szCs w:val="32"/>
        </w:rPr>
        <w:t>数据分析结果揭示了一个明确的模式：位于界面中部的广告（位置C和D）对用户的任务执行产生了最严重的干扰。 具体表现为，在这两种条件下，用户在任务区投入的总注视时长和注视次数均显著高于侧边栏广告（位置A和B）。这一结果强有力地支持了我们的研究假设。</w:t>
      </w:r>
    </w:p>
    <w:p w14:paraId="709AC7AB">
      <w:pPr>
        <w:rPr>
          <w:rFonts w:hint="eastAsia"/>
          <w:b w:val="0"/>
          <w:bCs w:val="0"/>
          <w:sz w:val="24"/>
          <w:szCs w:val="32"/>
        </w:rPr>
      </w:pPr>
    </w:p>
    <w:p w14:paraId="2B40B658">
      <w:pPr>
        <w:rPr>
          <w:rFonts w:hint="eastAsia"/>
          <w:b w:val="0"/>
          <w:bCs w:val="0"/>
          <w:sz w:val="24"/>
          <w:szCs w:val="32"/>
        </w:rPr>
      </w:pPr>
      <w:r>
        <w:rPr>
          <w:rFonts w:hint="eastAsia"/>
          <w:b w:val="0"/>
          <w:bCs w:val="0"/>
          <w:sz w:val="24"/>
          <w:szCs w:val="32"/>
        </w:rPr>
        <w:t>其背后的认知机制可以解释为：</w:t>
      </w:r>
    </w:p>
    <w:p w14:paraId="1A766BE4">
      <w:pPr>
        <w:rPr>
          <w:rFonts w:hint="eastAsia"/>
          <w:b w:val="0"/>
          <w:bCs w:val="0"/>
          <w:sz w:val="24"/>
          <w:szCs w:val="32"/>
        </w:rPr>
      </w:pPr>
      <w:r>
        <w:rPr>
          <w:rFonts w:hint="eastAsia"/>
          <w:b w:val="0"/>
          <w:bCs w:val="0"/>
          <w:sz w:val="24"/>
          <w:szCs w:val="32"/>
        </w:rPr>
        <w:t>1.  视觉路径竞争：在执行"寻找帖子的点赞量""找到会员中心"这类目标导向任务时，用户的视觉扫描模式通常遵循界面的主要内容流，而该内容流主要分布于界面的中部垂直区域。将广告置于此区域（位置C和D），使其直接侵占了用户的默认视觉路径，导致任务目标与广告之间产生激烈的注意力竞争。</w:t>
      </w:r>
    </w:p>
    <w:p w14:paraId="79DB6F16">
      <w:pPr>
        <w:rPr>
          <w:rFonts w:hint="eastAsia"/>
          <w:b w:val="0"/>
          <w:bCs w:val="0"/>
          <w:sz w:val="24"/>
          <w:szCs w:val="32"/>
        </w:rPr>
      </w:pPr>
      <w:r>
        <w:rPr>
          <w:rFonts w:hint="eastAsia"/>
          <w:b w:val="0"/>
          <w:bCs w:val="0"/>
          <w:sz w:val="24"/>
          <w:szCs w:val="32"/>
        </w:rPr>
        <w:t>2.  认知资源分散：当中部广告与任务信息同时呈现时，用户需要付出额外的认知努力来抑制广告的干扰，并从中部信息流中筛选出任务目标。这种持续的认知控制过程直接导致了注视时间延长和注视次数增加，反映了认知负荷的显著提升。</w:t>
      </w:r>
    </w:p>
    <w:p w14:paraId="1E80ECE1">
      <w:pPr>
        <w:rPr>
          <w:rFonts w:hint="eastAsia"/>
          <w:b w:val="0"/>
          <w:bCs w:val="0"/>
          <w:sz w:val="24"/>
          <w:szCs w:val="32"/>
        </w:rPr>
      </w:pPr>
    </w:p>
    <w:p w14:paraId="698B98B7">
      <w:pPr>
        <w:rPr>
          <w:rFonts w:hint="eastAsia"/>
          <w:b w:val="0"/>
          <w:bCs w:val="0"/>
          <w:sz w:val="24"/>
          <w:szCs w:val="32"/>
        </w:rPr>
      </w:pPr>
      <w:r>
        <w:rPr>
          <w:rFonts w:hint="eastAsia"/>
          <w:b w:val="0"/>
          <w:bCs w:val="0"/>
          <w:sz w:val="24"/>
          <w:szCs w:val="32"/>
        </w:rPr>
        <w:t>相比之下，侧边栏广告（位置A和B）表现出相对较小的干扰性。 这两个位置的任务区眼动指标均显著低于中部广告位置。这表明，当广告被放置在主体内容流的边缘区域时，它们成功地避开了用户执行任务时的核心视觉焦点，因此对主要任务的干扰被降到了较低水平。</w:t>
      </w:r>
    </w:p>
    <w:p w14:paraId="5939617D">
      <w:pPr>
        <w:rPr>
          <w:rFonts w:hint="eastAsia"/>
          <w:b w:val="0"/>
          <w:bCs w:val="0"/>
          <w:sz w:val="24"/>
          <w:szCs w:val="32"/>
        </w:rPr>
      </w:pPr>
    </w:p>
    <w:p w14:paraId="6E6649B8">
      <w:pPr>
        <w:rPr>
          <w:rFonts w:hint="eastAsia"/>
          <w:b w:val="0"/>
          <w:bCs w:val="0"/>
          <w:sz w:val="24"/>
          <w:szCs w:val="32"/>
        </w:rPr>
      </w:pPr>
      <w:r>
        <w:rPr>
          <w:rFonts w:hint="eastAsia"/>
          <w:b w:val="0"/>
          <w:bCs w:val="0"/>
          <w:sz w:val="24"/>
          <w:szCs w:val="32"/>
        </w:rPr>
        <w:t>值得注意的是，虽然位置A和B同为侧边栏广告，但在具体设计和上下文上存在差异，而它们对任务区的干扰程度相对接近。这说明广告的实际空间位置相对于主要内容区域的关系，比其具体的设计样式对任务效率的影响更为根本。</w:t>
      </w:r>
    </w:p>
    <w:p w14:paraId="35CB5B21">
      <w:pPr>
        <w:rPr>
          <w:rFonts w:hint="eastAsia"/>
          <w:b w:val="0"/>
          <w:bCs w:val="0"/>
          <w:sz w:val="24"/>
          <w:szCs w:val="32"/>
        </w:rPr>
      </w:pPr>
    </w:p>
    <w:p w14:paraId="3C69D922">
      <w:pPr>
        <w:rPr>
          <w:rFonts w:hint="eastAsia" w:eastAsiaTheme="minorEastAsia"/>
          <w:b w:val="0"/>
          <w:bCs w:val="0"/>
          <w:sz w:val="24"/>
          <w:szCs w:val="32"/>
          <w:lang w:eastAsia="zh-CN"/>
        </w:rPr>
      </w:pPr>
      <w:r>
        <w:rPr>
          <w:rFonts w:hint="eastAsia"/>
          <w:b w:val="0"/>
          <w:bCs w:val="0"/>
          <w:sz w:val="24"/>
          <w:szCs w:val="32"/>
        </w:rPr>
        <w:t>综上所述，本探究得出以下结论：</w:t>
      </w:r>
    </w:p>
    <w:p w14:paraId="39FCA195">
      <w:pPr>
        <w:rPr>
          <w:rFonts w:hint="eastAsia"/>
          <w:b w:val="0"/>
          <w:bCs w:val="0"/>
          <w:sz w:val="24"/>
          <w:szCs w:val="32"/>
        </w:rPr>
      </w:pPr>
    </w:p>
    <w:p w14:paraId="0DAE5D3F">
      <w:pPr>
        <w:rPr>
          <w:rFonts w:hint="eastAsia"/>
          <w:b/>
          <w:bCs/>
          <w:sz w:val="24"/>
          <w:szCs w:val="32"/>
        </w:rPr>
      </w:pPr>
      <w:r>
        <w:rPr>
          <w:rFonts w:hint="eastAsia"/>
          <w:b/>
          <w:bCs/>
          <w:sz w:val="24"/>
          <w:szCs w:val="32"/>
        </w:rPr>
        <w:t>从视觉认知的角度证实，广告的垂直位置对用户的任务执行效率具有决定性影响。位于界面中部的广告，由于与任务目标存在直接的视觉路径竞争，会显著增加用户的认知负荷，降低任务执行效率；而位于侧边栏的广告，因其脱离用户的核心视觉焦点，对任务执行的干扰相对较小。</w:t>
      </w:r>
    </w:p>
    <w:p w14:paraId="5E668B29">
      <w:pPr>
        <w:rPr>
          <w:rFonts w:hint="eastAsia"/>
          <w:b/>
          <w:bCs/>
          <w:sz w:val="24"/>
          <w:szCs w:val="32"/>
        </w:rPr>
      </w:pPr>
    </w:p>
    <w:p w14:paraId="6EA18F81">
      <w:pPr>
        <w:rPr>
          <w:rFonts w:hint="eastAsia"/>
          <w:b/>
          <w:bCs/>
          <w:sz w:val="24"/>
          <w:szCs w:val="32"/>
        </w:rPr>
      </w:pPr>
      <w:r>
        <w:rPr>
          <w:rFonts w:hint="eastAsia"/>
          <w:b/>
          <w:bCs/>
          <w:sz w:val="24"/>
          <w:szCs w:val="32"/>
        </w:rPr>
        <w:t>这一发现为界面设计提供了明确的指导：在需要保证用户任务效率的应用场景中，应优先考虑将广告置于侧边栏等边缘位置，而非与主要内容竞争的中部区域，以此在商业利益与用户体验之间取得更好的平衡。</w:t>
      </w:r>
    </w:p>
    <w:p w14:paraId="143320D8">
      <w:pPr>
        <w:rPr>
          <w:rFonts w:hint="eastAsia"/>
          <w:b/>
          <w:bCs/>
          <w:sz w:val="24"/>
          <w:szCs w:val="32"/>
        </w:rPr>
      </w:pPr>
    </w:p>
    <w:p w14:paraId="1A2C2BD6">
      <w:pPr>
        <w:outlineLvl w:val="2"/>
        <w:rPr>
          <w:rFonts w:hint="eastAsia" w:ascii="宋体" w:hAnsi="宋体" w:eastAsia="宋体" w:cs="宋体"/>
          <w:b/>
          <w:bCs/>
          <w:sz w:val="24"/>
          <w:szCs w:val="32"/>
          <w:lang w:eastAsia="zh-CN"/>
        </w:rPr>
      </w:pPr>
      <w:r>
        <w:rPr>
          <w:rFonts w:hint="eastAsia" w:ascii="宋体" w:hAnsi="宋体" w:eastAsia="宋体" w:cs="宋体"/>
          <w:b/>
          <w:bCs/>
          <w:sz w:val="24"/>
          <w:szCs w:val="32"/>
        </w:rPr>
        <w:t xml:space="preserve"> </w:t>
      </w:r>
      <w:bookmarkStart w:id="97" w:name="_Toc3196"/>
      <w:bookmarkStart w:id="98" w:name="_Toc21410"/>
      <w:r>
        <w:rPr>
          <w:rFonts w:hint="eastAsia" w:ascii="宋体" w:hAnsi="宋体" w:eastAsia="宋体" w:cs="宋体"/>
          <w:b/>
          <w:bCs/>
          <w:sz w:val="24"/>
          <w:szCs w:val="32"/>
        </w:rPr>
        <w:t>2.2.</w:t>
      </w:r>
      <w:r>
        <w:rPr>
          <w:rFonts w:hint="eastAsia" w:ascii="宋体" w:hAnsi="宋体" w:eastAsia="宋体" w:cs="宋体"/>
          <w:b/>
          <w:bCs/>
          <w:sz w:val="24"/>
          <w:szCs w:val="32"/>
          <w:lang w:val="en-US" w:eastAsia="zh-CN"/>
        </w:rPr>
        <w:t>2</w:t>
      </w:r>
      <w:r>
        <w:rPr>
          <w:rFonts w:hint="eastAsia" w:ascii="宋体" w:hAnsi="宋体" w:eastAsia="宋体" w:cs="宋体"/>
          <w:b/>
          <w:bCs/>
          <w:sz w:val="24"/>
          <w:szCs w:val="32"/>
        </w:rPr>
        <w:t xml:space="preserve"> 探究二：任务类型对广告注视行为的影响（独立样本t检验）</w:t>
      </w:r>
      <w:bookmarkEnd w:id="97"/>
      <w:bookmarkEnd w:id="98"/>
    </w:p>
    <w:p w14:paraId="6F0A284F">
      <w:pPr>
        <w:rPr>
          <w:rFonts w:hint="eastAsia"/>
          <w:b w:val="0"/>
          <w:bCs w:val="0"/>
          <w:sz w:val="24"/>
          <w:szCs w:val="32"/>
        </w:rPr>
      </w:pPr>
    </w:p>
    <w:p w14:paraId="1F86103D">
      <w:pPr>
        <w:outlineLvl w:val="3"/>
        <w:rPr>
          <w:rFonts w:hint="eastAsia" w:eastAsiaTheme="minorEastAsia"/>
          <w:b w:val="0"/>
          <w:bCs w:val="0"/>
          <w:sz w:val="24"/>
          <w:szCs w:val="32"/>
          <w:lang w:eastAsia="zh-CN"/>
        </w:rPr>
      </w:pPr>
      <w:r>
        <w:rPr>
          <w:rFonts w:hint="eastAsia"/>
          <w:b w:val="0"/>
          <w:bCs w:val="0"/>
          <w:sz w:val="24"/>
          <w:szCs w:val="32"/>
        </w:rPr>
        <w:t xml:space="preserve"> </w:t>
      </w:r>
      <w:bookmarkStart w:id="99" w:name="_Toc15646"/>
      <w:r>
        <w:rPr>
          <w:rFonts w:hint="eastAsia"/>
          <w:b w:val="0"/>
          <w:bCs w:val="0"/>
          <w:sz w:val="24"/>
          <w:szCs w:val="32"/>
        </w:rPr>
        <w:t>1. 分析背景与目的</w:t>
      </w:r>
      <w:bookmarkEnd w:id="99"/>
    </w:p>
    <w:p w14:paraId="5AEA8195">
      <w:pPr>
        <w:rPr>
          <w:rFonts w:hint="eastAsia"/>
          <w:b w:val="0"/>
          <w:bCs w:val="0"/>
          <w:sz w:val="24"/>
          <w:szCs w:val="32"/>
        </w:rPr>
      </w:pPr>
      <w:r>
        <w:rPr>
          <w:rFonts w:hint="eastAsia"/>
          <w:b w:val="0"/>
          <w:bCs w:val="0"/>
          <w:sz w:val="24"/>
          <w:szCs w:val="32"/>
        </w:rPr>
        <w:t>本探究旨在检验不同任务类型对用户在包含广告的App界面上注意力分配模式的影响。根据注意力资源理论，用户的任务目标会显著影响其视觉搜索策略和注意力分配。我们假设：</w:t>
      </w:r>
    </w:p>
    <w:p w14:paraId="0A00C070">
      <w:pPr>
        <w:rPr>
          <w:rFonts w:hint="eastAsia"/>
          <w:b w:val="0"/>
          <w:bCs w:val="0"/>
          <w:sz w:val="24"/>
          <w:szCs w:val="32"/>
        </w:rPr>
      </w:pPr>
      <w:r>
        <w:rPr>
          <w:rFonts w:hint="eastAsia"/>
          <w:b w:val="0"/>
          <w:bCs w:val="0"/>
          <w:sz w:val="24"/>
          <w:szCs w:val="32"/>
        </w:rPr>
        <w:t>- 目标导向任务下，用户的注意力高度集中且具有选择性，会主动忽略与任务无关的广告信息，表现为对广告区域的总注视时长较短。</w:t>
      </w:r>
    </w:p>
    <w:p w14:paraId="240C4724">
      <w:pPr>
        <w:rPr>
          <w:rFonts w:hint="eastAsia"/>
          <w:b w:val="0"/>
          <w:bCs w:val="0"/>
          <w:sz w:val="24"/>
          <w:szCs w:val="32"/>
        </w:rPr>
      </w:pPr>
      <w:r>
        <w:rPr>
          <w:rFonts w:hint="eastAsia"/>
          <w:b w:val="0"/>
          <w:bCs w:val="0"/>
          <w:sz w:val="24"/>
          <w:szCs w:val="32"/>
        </w:rPr>
        <w:t>- 自由浏览任务下，用户的注意力处于分散和探索状态，更可能被广告元素吸引，表现为对广告区域的总注视时长较长。</w:t>
      </w:r>
    </w:p>
    <w:p w14:paraId="77DCBDC4">
      <w:pPr>
        <w:rPr>
          <w:rFonts w:hint="eastAsia"/>
          <w:b w:val="0"/>
          <w:bCs w:val="0"/>
          <w:sz w:val="24"/>
          <w:szCs w:val="32"/>
        </w:rPr>
      </w:pPr>
    </w:p>
    <w:p w14:paraId="110B016F">
      <w:pPr>
        <w:rPr>
          <w:rFonts w:hint="eastAsia"/>
          <w:b w:val="0"/>
          <w:bCs w:val="0"/>
          <w:sz w:val="24"/>
          <w:szCs w:val="32"/>
        </w:rPr>
      </w:pPr>
      <w:r>
        <w:rPr>
          <w:rFonts w:hint="eastAsia"/>
          <w:b w:val="0"/>
          <w:bCs w:val="0"/>
          <w:sz w:val="24"/>
          <w:szCs w:val="32"/>
        </w:rPr>
        <w:t>为验证此假设，我们选取了同一张包含显著广告的电商App界面作为刺激材料，通过设置两种不同的任务指令（目标导向 vs. 自由浏览），比较用户对广告区域（AOI 24）的眼动指标差异。</w:t>
      </w:r>
    </w:p>
    <w:p w14:paraId="7623BF30">
      <w:pPr>
        <w:rPr>
          <w:rFonts w:hint="eastAsia"/>
          <w:b w:val="0"/>
          <w:bCs w:val="0"/>
          <w:sz w:val="24"/>
          <w:szCs w:val="32"/>
        </w:rPr>
      </w:pPr>
    </w:p>
    <w:p w14:paraId="06CE33AF">
      <w:pPr>
        <w:outlineLvl w:val="3"/>
        <w:rPr>
          <w:rFonts w:hint="eastAsia"/>
          <w:b w:val="0"/>
          <w:bCs w:val="0"/>
          <w:sz w:val="24"/>
          <w:szCs w:val="32"/>
        </w:rPr>
      </w:pPr>
      <w:r>
        <w:rPr>
          <w:rFonts w:hint="eastAsia"/>
          <w:b w:val="0"/>
          <w:bCs w:val="0"/>
          <w:sz w:val="24"/>
          <w:szCs w:val="32"/>
        </w:rPr>
        <w:t xml:space="preserve"> </w:t>
      </w:r>
      <w:bookmarkStart w:id="100" w:name="_Toc13318"/>
      <w:r>
        <w:rPr>
          <w:rFonts w:hint="eastAsia"/>
          <w:b w:val="0"/>
          <w:bCs w:val="0"/>
          <w:sz w:val="24"/>
          <w:szCs w:val="32"/>
        </w:rPr>
        <w:t>2. 方法- 自变量：任务类型。分为两个水平：</w:t>
      </w:r>
      <w:bookmarkEnd w:id="100"/>
    </w:p>
    <w:p w14:paraId="41C9E666">
      <w:pPr>
        <w:rPr>
          <w:rFonts w:hint="eastAsia"/>
          <w:b w:val="0"/>
          <w:bCs w:val="0"/>
          <w:sz w:val="24"/>
          <w:szCs w:val="32"/>
        </w:rPr>
      </w:pPr>
      <w:r>
        <w:rPr>
          <w:rFonts w:hint="eastAsia"/>
          <w:b w:val="0"/>
          <w:bCs w:val="0"/>
          <w:sz w:val="24"/>
          <w:szCs w:val="32"/>
        </w:rPr>
        <w:t xml:space="preserve">  - 目标导向任务：指令为“请观察下列App界面，找到'双十一'入口”。</w:t>
      </w:r>
    </w:p>
    <w:p w14:paraId="056B969D">
      <w:pPr>
        <w:rPr>
          <w:rFonts w:hint="eastAsia"/>
          <w:b w:val="0"/>
          <w:bCs w:val="0"/>
          <w:sz w:val="24"/>
          <w:szCs w:val="32"/>
        </w:rPr>
      </w:pPr>
      <w:r>
        <w:rPr>
          <w:rFonts w:hint="eastAsia"/>
          <w:b w:val="0"/>
          <w:bCs w:val="0"/>
          <w:sz w:val="24"/>
          <w:szCs w:val="32"/>
        </w:rPr>
        <w:t xml:space="preserve">  - 自由浏览任务：指令为“请在十秒内自由浏览此界面，稍后我们会询问您一个有关界面的问题。”</w:t>
      </w:r>
    </w:p>
    <w:p w14:paraId="408516A9">
      <w:pPr>
        <w:rPr>
          <w:rFonts w:hint="eastAsia"/>
          <w:b w:val="0"/>
          <w:bCs w:val="0"/>
          <w:sz w:val="24"/>
          <w:szCs w:val="32"/>
        </w:rPr>
      </w:pPr>
    </w:p>
    <w:p w14:paraId="6BDA926B">
      <w:pPr>
        <w:rPr>
          <w:rFonts w:hint="eastAsia"/>
          <w:b w:val="0"/>
          <w:bCs w:val="0"/>
          <w:sz w:val="24"/>
          <w:szCs w:val="32"/>
        </w:rPr>
      </w:pPr>
      <w:r>
        <w:rPr>
          <w:rFonts w:hint="eastAsia"/>
          <w:b w:val="0"/>
          <w:bCs w:val="0"/>
          <w:sz w:val="24"/>
          <w:szCs w:val="32"/>
        </w:rPr>
        <w:t>- 因变量：对广告区域（AOI 24）的总注视时长（单位：秒）。该指标直接反映了用户对广告的注意力投入程度。</w:t>
      </w:r>
    </w:p>
    <w:p w14:paraId="45C73887">
      <w:pPr>
        <w:jc w:val="center"/>
        <w:rPr>
          <w:rFonts w:hint="eastAsia" w:eastAsiaTheme="minorEastAsia"/>
          <w:b w:val="0"/>
          <w:bCs w:val="0"/>
          <w:sz w:val="24"/>
          <w:szCs w:val="32"/>
          <w:lang w:eastAsia="zh-CN"/>
        </w:rPr>
      </w:pPr>
      <w:r>
        <w:rPr>
          <w:rFonts w:hint="eastAsia" w:eastAsiaTheme="minorEastAsia"/>
          <w:b w:val="0"/>
          <w:bCs w:val="0"/>
          <w:sz w:val="24"/>
          <w:szCs w:val="32"/>
          <w:lang w:eastAsia="zh-CN"/>
        </w:rPr>
        <w:drawing>
          <wp:inline distT="0" distB="0" distL="114300" distR="114300">
            <wp:extent cx="4123055" cy="2557780"/>
            <wp:effectExtent l="0" t="0" r="4445" b="7620"/>
            <wp:docPr id="14" name="图片 14" descr="任务类型_GazeA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任务类型_GazeAOI"/>
                    <pic:cNvPicPr>
                      <a:picLocks noChangeAspect="1"/>
                    </pic:cNvPicPr>
                  </pic:nvPicPr>
                  <pic:blipFill>
                    <a:blip r:embed="rId17"/>
                    <a:srcRect t="14608" b="14221"/>
                    <a:stretch>
                      <a:fillRect/>
                    </a:stretch>
                  </pic:blipFill>
                  <pic:spPr>
                    <a:xfrm>
                      <a:off x="0" y="0"/>
                      <a:ext cx="4123055" cy="2557780"/>
                    </a:xfrm>
                    <a:prstGeom prst="rect">
                      <a:avLst/>
                    </a:prstGeom>
                  </pic:spPr>
                </pic:pic>
              </a:graphicData>
            </a:graphic>
          </wp:inline>
        </w:drawing>
      </w:r>
    </w:p>
    <w:p w14:paraId="6FF69B94">
      <w:pPr>
        <w:pStyle w:val="5"/>
        <w:jc w:val="center"/>
        <w:rPr>
          <w:rFonts w:hint="default" w:eastAsia="黑体"/>
          <w:sz w:val="21"/>
          <w:szCs w:val="28"/>
          <w:lang w:val="en-US" w:eastAsia="zh-CN"/>
        </w:rPr>
      </w:pPr>
      <w:r>
        <w:rPr>
          <w:rFonts w:hint="eastAsia"/>
          <w:sz w:val="21"/>
          <w:szCs w:val="28"/>
          <w:lang w:val="en-US" w:eastAsia="zh-CN"/>
        </w:rPr>
        <w:t>图5</w:t>
      </w:r>
      <w:r>
        <w:rPr>
          <w:sz w:val="21"/>
          <w:szCs w:val="28"/>
        </w:rPr>
        <w:t xml:space="preserve"> </w:t>
      </w:r>
      <w:r>
        <w:rPr>
          <w:rFonts w:hint="eastAsia"/>
          <w:sz w:val="21"/>
          <w:szCs w:val="28"/>
          <w:lang w:val="en-US" w:eastAsia="zh-CN"/>
        </w:rPr>
        <w:t>任务区示意图B</w:t>
      </w:r>
    </w:p>
    <w:p w14:paraId="0839AFB0">
      <w:pPr>
        <w:rPr>
          <w:rFonts w:hint="eastAsia"/>
          <w:b w:val="0"/>
          <w:bCs w:val="0"/>
          <w:sz w:val="24"/>
          <w:szCs w:val="32"/>
        </w:rPr>
      </w:pPr>
    </w:p>
    <w:p w14:paraId="4402C14E">
      <w:pPr>
        <w:rPr>
          <w:rFonts w:hint="eastAsia"/>
          <w:b w:val="0"/>
          <w:bCs w:val="0"/>
          <w:sz w:val="24"/>
          <w:szCs w:val="32"/>
        </w:rPr>
      </w:pPr>
      <w:r>
        <w:rPr>
          <w:rFonts w:hint="eastAsia"/>
          <w:b w:val="0"/>
          <w:bCs w:val="0"/>
          <w:sz w:val="24"/>
          <w:szCs w:val="32"/>
        </w:rPr>
        <w:t>- 数据来源与预处理：</w:t>
      </w:r>
    </w:p>
    <w:p w14:paraId="44C3DC66">
      <w:pPr>
        <w:rPr>
          <w:rFonts w:hint="eastAsia"/>
          <w:b w:val="0"/>
          <w:bCs w:val="0"/>
          <w:sz w:val="24"/>
          <w:szCs w:val="32"/>
        </w:rPr>
      </w:pPr>
      <w:r>
        <w:rPr>
          <w:rFonts w:hint="eastAsia"/>
          <w:b w:val="0"/>
          <w:bCs w:val="0"/>
          <w:sz w:val="24"/>
          <w:szCs w:val="32"/>
        </w:rPr>
        <w:t xml:space="preserve">  - 数据来源于眼动仪导出的AOI 24统计表格。</w:t>
      </w:r>
    </w:p>
    <w:p w14:paraId="01216D1A">
      <w:pPr>
        <w:rPr>
          <w:rFonts w:hint="eastAsia"/>
          <w:b w:val="0"/>
          <w:bCs w:val="0"/>
          <w:sz w:val="24"/>
          <w:szCs w:val="32"/>
        </w:rPr>
      </w:pPr>
      <w:r>
        <w:rPr>
          <w:rFonts w:hint="eastAsia"/>
          <w:b w:val="0"/>
          <w:bCs w:val="0"/>
          <w:sz w:val="24"/>
          <w:szCs w:val="32"/>
        </w:rPr>
        <w:t xml:space="preserve">  - 所有被试（N=13）均完成了两种任务，数据完整。</w:t>
      </w:r>
    </w:p>
    <w:p w14:paraId="70A2C346">
      <w:pPr>
        <w:rPr>
          <w:rFonts w:hint="eastAsia"/>
          <w:b w:val="0"/>
          <w:bCs w:val="0"/>
          <w:sz w:val="24"/>
          <w:szCs w:val="32"/>
        </w:rPr>
      </w:pPr>
      <w:r>
        <w:rPr>
          <w:rFonts w:hint="eastAsia"/>
          <w:b w:val="0"/>
          <w:bCs w:val="0"/>
          <w:sz w:val="24"/>
          <w:szCs w:val="32"/>
        </w:rPr>
        <w:t xml:space="preserve">  - 为确保任务间的独立性，将同一被试在不同任务下的数据视为配对样本，采用配对样本t检验进行分析。这与最初的“独立样本t检验”计划不同，但能更有效地控制个体差异，提高检验效能。</w:t>
      </w:r>
    </w:p>
    <w:p w14:paraId="49830C52">
      <w:pPr>
        <w:rPr>
          <w:rFonts w:hint="eastAsia"/>
          <w:b w:val="0"/>
          <w:bCs w:val="0"/>
          <w:sz w:val="24"/>
          <w:szCs w:val="32"/>
        </w:rPr>
      </w:pPr>
    </w:p>
    <w:p w14:paraId="1159BD4D">
      <w:pPr>
        <w:rPr>
          <w:rFonts w:hint="eastAsia"/>
          <w:b w:val="0"/>
          <w:bCs w:val="0"/>
          <w:sz w:val="24"/>
          <w:szCs w:val="32"/>
        </w:rPr>
      </w:pPr>
      <w:r>
        <w:rPr>
          <w:rFonts w:hint="eastAsia"/>
          <w:b w:val="0"/>
          <w:bCs w:val="0"/>
          <w:sz w:val="24"/>
          <w:szCs w:val="32"/>
        </w:rPr>
        <w:t>- 分析方法：配对样本t检验。用于比较同一组被试在两种不同任务条件下，对广告区域的总注视时长是否存在显著差异。</w:t>
      </w:r>
    </w:p>
    <w:p w14:paraId="62CA2343">
      <w:pPr>
        <w:numPr>
          <w:ilvl w:val="0"/>
          <w:numId w:val="4"/>
        </w:numPr>
        <w:ind w:left="120" w:leftChars="0" w:firstLine="0" w:firstLineChars="0"/>
        <w:outlineLvl w:val="3"/>
        <w:rPr>
          <w:rFonts w:hint="eastAsia"/>
          <w:b w:val="0"/>
          <w:bCs w:val="0"/>
          <w:sz w:val="24"/>
          <w:szCs w:val="32"/>
        </w:rPr>
      </w:pPr>
      <w:bookmarkStart w:id="101" w:name="_Toc3797"/>
      <w:r>
        <w:rPr>
          <w:rFonts w:hint="eastAsia"/>
          <w:b w:val="0"/>
          <w:bCs w:val="0"/>
          <w:sz w:val="24"/>
          <w:szCs w:val="32"/>
        </w:rPr>
        <w:t>结果</w:t>
      </w:r>
      <w:bookmarkEnd w:id="101"/>
    </w:p>
    <w:p w14:paraId="06857E51">
      <w:pPr>
        <w:numPr>
          <w:ilvl w:val="0"/>
          <w:numId w:val="0"/>
        </w:numPr>
        <w:ind w:left="120" w:leftChars="0"/>
        <w:jc w:val="center"/>
        <w:rPr>
          <w:rFonts w:hint="eastAsia"/>
          <w:b w:val="0"/>
          <w:bCs w:val="0"/>
          <w:sz w:val="24"/>
          <w:szCs w:val="32"/>
          <w:lang w:eastAsia="zh-CN"/>
        </w:rPr>
      </w:pPr>
      <w:r>
        <w:rPr>
          <w:rFonts w:hint="eastAsia"/>
          <w:b w:val="0"/>
          <w:bCs w:val="0"/>
          <w:sz w:val="24"/>
          <w:szCs w:val="32"/>
          <w:lang w:eastAsia="zh-CN"/>
        </w:rPr>
        <w:drawing>
          <wp:inline distT="0" distB="0" distL="114300" distR="114300">
            <wp:extent cx="3680460" cy="2298065"/>
            <wp:effectExtent l="0" t="0" r="2540" b="635"/>
            <wp:docPr id="15" name="图片 15" descr="任务类型_Gaz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任务类型_GazeMap"/>
                    <pic:cNvPicPr>
                      <a:picLocks noChangeAspect="1"/>
                    </pic:cNvPicPr>
                  </pic:nvPicPr>
                  <pic:blipFill>
                    <a:blip r:embed="rId18"/>
                    <a:srcRect t="14262" b="14110"/>
                    <a:stretch>
                      <a:fillRect/>
                    </a:stretch>
                  </pic:blipFill>
                  <pic:spPr>
                    <a:xfrm>
                      <a:off x="0" y="0"/>
                      <a:ext cx="3680460" cy="2298065"/>
                    </a:xfrm>
                    <a:prstGeom prst="rect">
                      <a:avLst/>
                    </a:prstGeom>
                  </pic:spPr>
                </pic:pic>
              </a:graphicData>
            </a:graphic>
          </wp:inline>
        </w:drawing>
      </w:r>
    </w:p>
    <w:p w14:paraId="6BB3049D">
      <w:pPr>
        <w:pStyle w:val="5"/>
        <w:jc w:val="center"/>
        <w:rPr>
          <w:rFonts w:hint="default" w:eastAsia="黑体"/>
          <w:sz w:val="21"/>
          <w:szCs w:val="28"/>
          <w:lang w:val="en-US" w:eastAsia="zh-CN"/>
        </w:rPr>
      </w:pPr>
      <w:r>
        <w:rPr>
          <w:rFonts w:hint="eastAsia"/>
          <w:sz w:val="21"/>
          <w:szCs w:val="28"/>
          <w:lang w:val="en-US" w:eastAsia="zh-CN"/>
        </w:rPr>
        <w:t>图6</w:t>
      </w:r>
      <w:r>
        <w:rPr>
          <w:sz w:val="21"/>
          <w:szCs w:val="28"/>
        </w:rPr>
        <w:t xml:space="preserve"> </w:t>
      </w:r>
      <w:r>
        <w:rPr>
          <w:rFonts w:hint="eastAsia"/>
          <w:sz w:val="21"/>
          <w:szCs w:val="28"/>
          <w:lang w:val="en-US" w:eastAsia="zh-CN"/>
        </w:rPr>
        <w:t>眼动实验热点图B</w:t>
      </w:r>
    </w:p>
    <w:p w14:paraId="1D0FE341">
      <w:pPr>
        <w:rPr>
          <w:rFonts w:hint="eastAsia"/>
          <w:b w:val="0"/>
          <w:bCs w:val="0"/>
          <w:sz w:val="24"/>
          <w:szCs w:val="32"/>
        </w:rPr>
      </w:pPr>
    </w:p>
    <w:p w14:paraId="39850E8A">
      <w:pPr>
        <w:rPr>
          <w:rFonts w:hint="eastAsia"/>
          <w:b w:val="0"/>
          <w:bCs w:val="0"/>
          <w:sz w:val="24"/>
          <w:szCs w:val="32"/>
        </w:rPr>
      </w:pPr>
      <w:r>
        <w:rPr>
          <w:rFonts w:hint="eastAsia"/>
          <w:b w:val="0"/>
          <w:bCs w:val="0"/>
          <w:sz w:val="24"/>
          <w:szCs w:val="32"/>
        </w:rPr>
        <w:t>对13名被试在目标导向任务和自由浏览任务下，对广告区域（AOI 24）的总注视时长进行配对样本t检验。描述性统计结果见表5，t检验结果见表6。</w:t>
      </w:r>
    </w:p>
    <w:p w14:paraId="75FA78BA">
      <w:pPr>
        <w:rPr>
          <w:rFonts w:hint="eastAsia"/>
          <w:b w:val="0"/>
          <w:bCs w:val="0"/>
          <w:sz w:val="24"/>
          <w:szCs w:val="32"/>
        </w:rPr>
      </w:pPr>
    </w:p>
    <w:p w14:paraId="7803F5D5">
      <w:pPr>
        <w:pStyle w:val="5"/>
        <w:jc w:val="center"/>
        <w:rPr>
          <w:rFonts w:hint="eastAsia"/>
          <w:b w:val="0"/>
          <w:bCs w:val="0"/>
          <w:sz w:val="21"/>
          <w:szCs w:val="21"/>
        </w:rPr>
      </w:pPr>
      <w:r>
        <w:rPr>
          <w:rFonts w:hint="eastAsia"/>
          <w:sz w:val="21"/>
          <w:szCs w:val="21"/>
          <w:lang w:val="en-US" w:eastAsia="zh-CN"/>
        </w:rPr>
        <w:t>表5</w:t>
      </w:r>
      <w:r>
        <w:rPr>
          <w:sz w:val="21"/>
          <w:szCs w:val="21"/>
        </w:rPr>
        <w:t xml:space="preserve"> </w:t>
      </w:r>
      <w:r>
        <w:rPr>
          <w:rFonts w:hint="eastAsia"/>
          <w:b w:val="0"/>
          <w:bCs w:val="0"/>
          <w:sz w:val="21"/>
          <w:szCs w:val="21"/>
        </w:rPr>
        <w:t>不同任务类型下广告总注视时长的描述性统计（N=13）</w:t>
      </w:r>
    </w:p>
    <w:tbl>
      <w:tblPr>
        <w:tblStyle w:val="1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60"/>
        <w:gridCol w:w="1790"/>
        <w:gridCol w:w="1475"/>
        <w:gridCol w:w="1475"/>
      </w:tblGrid>
      <w:tr w14:paraId="0AF00F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jc w:val="center"/>
        </w:trPr>
        <w:tc>
          <w:tcPr>
            <w:tcW w:w="1060" w:type="dxa"/>
            <w:tcBorders>
              <w:tl2br w:val="nil"/>
              <w:tr2bl w:val="nil"/>
            </w:tcBorders>
            <w:shd w:val="clear" w:color="auto" w:fill="FFFFFF"/>
            <w:tcMar>
              <w:top w:w="100" w:type="dxa"/>
              <w:left w:w="0" w:type="dxa"/>
              <w:bottom w:w="100" w:type="dxa"/>
              <w:right w:w="160" w:type="dxa"/>
            </w:tcMar>
            <w:vAlign w:val="center"/>
          </w:tcPr>
          <w:p w14:paraId="74C6C188">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任务类型</w:t>
            </w:r>
          </w:p>
        </w:tc>
        <w:tc>
          <w:tcPr>
            <w:tcW w:w="0" w:type="auto"/>
            <w:tcBorders>
              <w:tl2br w:val="nil"/>
              <w:tr2bl w:val="nil"/>
            </w:tcBorders>
            <w:shd w:val="clear" w:color="auto" w:fill="FFFFFF"/>
            <w:tcMar>
              <w:top w:w="100" w:type="dxa"/>
              <w:left w:w="160" w:type="dxa"/>
              <w:bottom w:w="100" w:type="dxa"/>
              <w:right w:w="160" w:type="dxa"/>
            </w:tcMar>
            <w:vAlign w:val="center"/>
          </w:tcPr>
          <w:p w14:paraId="3CA65249">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平均值 (M, 秒)</w:t>
            </w:r>
          </w:p>
        </w:tc>
        <w:tc>
          <w:tcPr>
            <w:tcW w:w="0" w:type="auto"/>
            <w:tcBorders>
              <w:tl2br w:val="nil"/>
              <w:tr2bl w:val="nil"/>
            </w:tcBorders>
            <w:shd w:val="clear" w:color="auto" w:fill="FFFFFF"/>
            <w:tcMar>
              <w:top w:w="100" w:type="dxa"/>
              <w:left w:w="160" w:type="dxa"/>
              <w:bottom w:w="100" w:type="dxa"/>
              <w:right w:w="160" w:type="dxa"/>
            </w:tcMar>
            <w:vAlign w:val="center"/>
          </w:tcPr>
          <w:p w14:paraId="1465B12E">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标准差 (SD)</w:t>
            </w:r>
          </w:p>
        </w:tc>
        <w:tc>
          <w:tcPr>
            <w:tcW w:w="0" w:type="auto"/>
            <w:tcBorders>
              <w:tl2br w:val="nil"/>
              <w:tr2bl w:val="nil"/>
            </w:tcBorders>
            <w:shd w:val="clear" w:color="auto" w:fill="FFFFFF"/>
            <w:tcMar>
              <w:top w:w="100" w:type="dxa"/>
              <w:left w:w="160" w:type="dxa"/>
              <w:bottom w:w="100" w:type="dxa"/>
              <w:right w:w="160" w:type="dxa"/>
            </w:tcMar>
            <w:vAlign w:val="center"/>
          </w:tcPr>
          <w:p w14:paraId="3E72B820">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标准误 (SE)</w:t>
            </w:r>
          </w:p>
        </w:tc>
      </w:tr>
      <w:tr w14:paraId="637548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060" w:type="dxa"/>
            <w:tcBorders>
              <w:tl2br w:val="nil"/>
              <w:tr2bl w:val="nil"/>
            </w:tcBorders>
            <w:shd w:val="clear" w:color="auto" w:fill="FFFFFF"/>
            <w:tcMar>
              <w:top w:w="100" w:type="dxa"/>
              <w:left w:w="0" w:type="dxa"/>
              <w:bottom w:w="100" w:type="dxa"/>
              <w:right w:w="160" w:type="dxa"/>
            </w:tcMar>
            <w:vAlign w:val="center"/>
          </w:tcPr>
          <w:p w14:paraId="57C98088">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目标导向任务</w:t>
            </w:r>
          </w:p>
        </w:tc>
        <w:tc>
          <w:tcPr>
            <w:tcW w:w="0" w:type="auto"/>
            <w:tcBorders>
              <w:tl2br w:val="nil"/>
              <w:tr2bl w:val="nil"/>
            </w:tcBorders>
            <w:shd w:val="clear" w:color="auto" w:fill="FFFFFF"/>
            <w:tcMar>
              <w:top w:w="100" w:type="dxa"/>
              <w:left w:w="160" w:type="dxa"/>
              <w:bottom w:w="100" w:type="dxa"/>
              <w:right w:w="160" w:type="dxa"/>
            </w:tcMar>
            <w:vAlign w:val="center"/>
          </w:tcPr>
          <w:p w14:paraId="4D466E07">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4.14</w:t>
            </w:r>
          </w:p>
        </w:tc>
        <w:tc>
          <w:tcPr>
            <w:tcW w:w="0" w:type="auto"/>
            <w:tcBorders>
              <w:tl2br w:val="nil"/>
              <w:tr2bl w:val="nil"/>
            </w:tcBorders>
            <w:shd w:val="clear" w:color="auto" w:fill="FFFFFF"/>
            <w:tcMar>
              <w:top w:w="100" w:type="dxa"/>
              <w:left w:w="160" w:type="dxa"/>
              <w:bottom w:w="100" w:type="dxa"/>
              <w:right w:w="160" w:type="dxa"/>
            </w:tcMar>
            <w:vAlign w:val="center"/>
          </w:tcPr>
          <w:p w14:paraId="45FE255D">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1.77</w:t>
            </w:r>
          </w:p>
        </w:tc>
        <w:tc>
          <w:tcPr>
            <w:tcW w:w="0" w:type="auto"/>
            <w:tcBorders>
              <w:tl2br w:val="nil"/>
              <w:tr2bl w:val="nil"/>
            </w:tcBorders>
            <w:shd w:val="clear" w:color="auto" w:fill="FFFFFF"/>
            <w:tcMar>
              <w:top w:w="100" w:type="dxa"/>
              <w:left w:w="160" w:type="dxa"/>
              <w:bottom w:w="100" w:type="dxa"/>
              <w:right w:w="0" w:type="dxa"/>
            </w:tcMar>
            <w:vAlign w:val="center"/>
          </w:tcPr>
          <w:p w14:paraId="541AEB32">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0.49</w:t>
            </w:r>
          </w:p>
        </w:tc>
      </w:tr>
      <w:tr w14:paraId="0825E3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060" w:type="dxa"/>
            <w:tcBorders>
              <w:tl2br w:val="nil"/>
              <w:tr2bl w:val="nil"/>
            </w:tcBorders>
            <w:shd w:val="clear" w:color="auto" w:fill="FFFFFF"/>
            <w:tcMar>
              <w:top w:w="100" w:type="dxa"/>
              <w:left w:w="0" w:type="dxa"/>
              <w:bottom w:w="100" w:type="dxa"/>
              <w:right w:w="160" w:type="dxa"/>
            </w:tcMar>
            <w:vAlign w:val="center"/>
          </w:tcPr>
          <w:p w14:paraId="3D162E22">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自由浏览任务</w:t>
            </w:r>
          </w:p>
        </w:tc>
        <w:tc>
          <w:tcPr>
            <w:tcW w:w="0" w:type="auto"/>
            <w:tcBorders>
              <w:tl2br w:val="nil"/>
              <w:tr2bl w:val="nil"/>
            </w:tcBorders>
            <w:shd w:val="clear" w:color="auto" w:fill="FFFFFF"/>
            <w:tcMar>
              <w:top w:w="100" w:type="dxa"/>
              <w:left w:w="160" w:type="dxa"/>
              <w:bottom w:w="100" w:type="dxa"/>
              <w:right w:w="160" w:type="dxa"/>
            </w:tcMar>
            <w:vAlign w:val="center"/>
          </w:tcPr>
          <w:p w14:paraId="19D457C6">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5.01</w:t>
            </w:r>
          </w:p>
        </w:tc>
        <w:tc>
          <w:tcPr>
            <w:tcW w:w="0" w:type="auto"/>
            <w:tcBorders>
              <w:tl2br w:val="nil"/>
              <w:tr2bl w:val="nil"/>
            </w:tcBorders>
            <w:shd w:val="clear" w:color="auto" w:fill="FFFFFF"/>
            <w:tcMar>
              <w:top w:w="100" w:type="dxa"/>
              <w:left w:w="160" w:type="dxa"/>
              <w:bottom w:w="100" w:type="dxa"/>
              <w:right w:w="160" w:type="dxa"/>
            </w:tcMar>
            <w:vAlign w:val="center"/>
          </w:tcPr>
          <w:p w14:paraId="483C2562">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1.92</w:t>
            </w:r>
          </w:p>
        </w:tc>
        <w:tc>
          <w:tcPr>
            <w:tcW w:w="0" w:type="auto"/>
            <w:tcBorders>
              <w:tl2br w:val="nil"/>
              <w:tr2bl w:val="nil"/>
            </w:tcBorders>
            <w:shd w:val="clear" w:color="auto" w:fill="FFFFFF"/>
            <w:tcMar>
              <w:top w:w="100" w:type="dxa"/>
              <w:left w:w="160" w:type="dxa"/>
              <w:bottom w:w="100" w:type="dxa"/>
              <w:right w:w="0" w:type="dxa"/>
            </w:tcMar>
            <w:vAlign w:val="center"/>
          </w:tcPr>
          <w:p w14:paraId="023ED402">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kern w:val="0"/>
                <w:sz w:val="21"/>
                <w:szCs w:val="21"/>
                <w:lang w:val="en-US" w:eastAsia="zh-CN" w:bidi="ar"/>
              </w:rPr>
              <w:t>0.53</w:t>
            </w:r>
          </w:p>
        </w:tc>
      </w:tr>
    </w:tbl>
    <w:p w14:paraId="4E02AC90">
      <w:pPr>
        <w:rPr>
          <w:rFonts w:hint="default"/>
          <w:b w:val="0"/>
          <w:bCs w:val="0"/>
          <w:sz w:val="21"/>
          <w:szCs w:val="21"/>
          <w:lang w:val="en-US" w:eastAsia="zh-CN"/>
        </w:rPr>
      </w:pPr>
    </w:p>
    <w:p w14:paraId="3D4B94CB">
      <w:pPr>
        <w:pStyle w:val="5"/>
        <w:jc w:val="center"/>
        <w:rPr>
          <w:rFonts w:hint="default" w:eastAsia="黑体"/>
          <w:sz w:val="21"/>
          <w:szCs w:val="21"/>
          <w:lang w:val="en-US" w:eastAsia="zh-CN"/>
        </w:rPr>
      </w:pPr>
      <w:r>
        <w:rPr>
          <w:rFonts w:hint="eastAsia"/>
          <w:sz w:val="21"/>
          <w:szCs w:val="21"/>
          <w:lang w:val="en-US" w:eastAsia="zh-CN"/>
        </w:rPr>
        <w:t>表6</w:t>
      </w:r>
      <w:r>
        <w:rPr>
          <w:sz w:val="21"/>
          <w:szCs w:val="21"/>
        </w:rPr>
        <w:t xml:space="preserve"> </w:t>
      </w:r>
      <w:r>
        <w:rPr>
          <w:rFonts w:hint="eastAsia"/>
          <w:b w:val="0"/>
          <w:bCs w:val="0"/>
          <w:sz w:val="21"/>
          <w:szCs w:val="21"/>
        </w:rPr>
        <w:t>广告总注视时长的配对样本t检验结果</w:t>
      </w:r>
    </w:p>
    <w:tbl>
      <w:tblPr>
        <w:tblStyle w:val="14"/>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8"/>
        <w:gridCol w:w="845"/>
        <w:gridCol w:w="1182"/>
        <w:gridCol w:w="1215"/>
        <w:gridCol w:w="1215"/>
        <w:gridCol w:w="1035"/>
        <w:gridCol w:w="1656"/>
      </w:tblGrid>
      <w:tr w14:paraId="1E7597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auto" w:sz="6" w:space="0"/>
            </w:tcBorders>
            <w:shd w:val="clear" w:color="auto" w:fill="auto"/>
            <w:tcMar>
              <w:top w:w="100" w:type="dxa"/>
              <w:left w:w="0" w:type="dxa"/>
              <w:bottom w:w="100" w:type="dxa"/>
              <w:right w:w="160" w:type="dxa"/>
            </w:tcMar>
            <w:vAlign w:val="center"/>
          </w:tcPr>
          <w:p w14:paraId="29678843">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配对差异</w:t>
            </w:r>
          </w:p>
        </w:tc>
        <w:tc>
          <w:tcPr>
            <w:tcW w:w="0" w:type="auto"/>
            <w:tcBorders>
              <w:bottom w:val="single" w:color="auto" w:sz="6" w:space="0"/>
            </w:tcBorders>
            <w:shd w:val="clear" w:color="auto" w:fill="auto"/>
            <w:tcMar>
              <w:top w:w="100" w:type="dxa"/>
              <w:left w:w="160" w:type="dxa"/>
              <w:bottom w:w="100" w:type="dxa"/>
              <w:right w:w="160" w:type="dxa"/>
            </w:tcMar>
            <w:vAlign w:val="center"/>
          </w:tcPr>
          <w:p w14:paraId="29605E06">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t值</w:t>
            </w:r>
          </w:p>
        </w:tc>
        <w:tc>
          <w:tcPr>
            <w:tcW w:w="0" w:type="auto"/>
            <w:tcBorders>
              <w:bottom w:val="single" w:color="auto" w:sz="6" w:space="0"/>
            </w:tcBorders>
            <w:shd w:val="clear" w:color="auto" w:fill="auto"/>
            <w:tcMar>
              <w:top w:w="100" w:type="dxa"/>
              <w:left w:w="160" w:type="dxa"/>
              <w:bottom w:w="100" w:type="dxa"/>
              <w:right w:w="160" w:type="dxa"/>
            </w:tcMar>
            <w:vAlign w:val="center"/>
          </w:tcPr>
          <w:p w14:paraId="40BAF245">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自由度 (df)</w:t>
            </w:r>
          </w:p>
        </w:tc>
        <w:tc>
          <w:tcPr>
            <w:tcW w:w="0" w:type="auto"/>
            <w:tcBorders>
              <w:bottom w:val="single" w:color="auto" w:sz="6" w:space="0"/>
            </w:tcBorders>
            <w:shd w:val="clear" w:color="auto" w:fill="auto"/>
            <w:tcMar>
              <w:top w:w="100" w:type="dxa"/>
              <w:left w:w="160" w:type="dxa"/>
              <w:bottom w:w="100" w:type="dxa"/>
              <w:right w:w="160" w:type="dxa"/>
            </w:tcMar>
            <w:vAlign w:val="center"/>
          </w:tcPr>
          <w:p w14:paraId="3576E18A">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p值（单尾）</w:t>
            </w:r>
          </w:p>
        </w:tc>
        <w:tc>
          <w:tcPr>
            <w:tcW w:w="0" w:type="auto"/>
            <w:tcBorders>
              <w:bottom w:val="single" w:color="auto" w:sz="6" w:space="0"/>
            </w:tcBorders>
            <w:shd w:val="clear" w:color="auto" w:fill="auto"/>
            <w:tcMar>
              <w:top w:w="100" w:type="dxa"/>
              <w:left w:w="160" w:type="dxa"/>
              <w:bottom w:w="100" w:type="dxa"/>
              <w:right w:w="160" w:type="dxa"/>
            </w:tcMar>
            <w:vAlign w:val="center"/>
          </w:tcPr>
          <w:p w14:paraId="13167E2C">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p值（双尾）</w:t>
            </w:r>
          </w:p>
        </w:tc>
        <w:tc>
          <w:tcPr>
            <w:tcW w:w="0" w:type="auto"/>
            <w:tcBorders>
              <w:bottom w:val="single" w:color="auto" w:sz="6" w:space="0"/>
            </w:tcBorders>
            <w:shd w:val="clear" w:color="auto" w:fill="auto"/>
            <w:tcMar>
              <w:top w:w="100" w:type="dxa"/>
              <w:left w:w="160" w:type="dxa"/>
              <w:bottom w:w="100" w:type="dxa"/>
              <w:right w:w="160" w:type="dxa"/>
            </w:tcMar>
            <w:vAlign w:val="center"/>
          </w:tcPr>
          <w:p w14:paraId="5B33D985">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均值差值</w:t>
            </w:r>
          </w:p>
        </w:tc>
        <w:tc>
          <w:tcPr>
            <w:tcW w:w="0" w:type="auto"/>
            <w:tcBorders>
              <w:bottom w:val="single" w:color="auto" w:sz="6" w:space="0"/>
            </w:tcBorders>
            <w:shd w:val="clear" w:color="auto" w:fill="auto"/>
            <w:tcMar>
              <w:top w:w="100" w:type="dxa"/>
              <w:left w:w="160" w:type="dxa"/>
              <w:bottom w:w="100" w:type="dxa"/>
              <w:right w:w="160" w:type="dxa"/>
            </w:tcMar>
            <w:vAlign w:val="center"/>
          </w:tcPr>
          <w:p w14:paraId="201FFAC7">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差值的95%置信区间</w:t>
            </w:r>
          </w:p>
        </w:tc>
      </w:tr>
      <w:tr w14:paraId="53B319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6" w:space="0"/>
              <w:tl2br w:val="nil"/>
              <w:tr2bl w:val="nil"/>
            </w:tcBorders>
            <w:shd w:val="clear" w:color="auto" w:fill="auto"/>
            <w:tcMar>
              <w:top w:w="100" w:type="dxa"/>
              <w:left w:w="0" w:type="dxa"/>
              <w:bottom w:w="100" w:type="dxa"/>
              <w:right w:w="160" w:type="dxa"/>
            </w:tcMar>
            <w:vAlign w:val="center"/>
          </w:tcPr>
          <w:p w14:paraId="4517C102">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目标导向-自由浏览</w:t>
            </w:r>
          </w:p>
        </w:tc>
        <w:tc>
          <w:tcPr>
            <w:tcW w:w="0" w:type="auto"/>
            <w:tcBorders>
              <w:top w:val="single" w:color="auto" w:sz="6" w:space="0"/>
              <w:tl2br w:val="nil"/>
              <w:tr2bl w:val="nil"/>
            </w:tcBorders>
            <w:shd w:val="clear" w:color="auto" w:fill="auto"/>
            <w:tcMar>
              <w:top w:w="100" w:type="dxa"/>
              <w:left w:w="160" w:type="dxa"/>
              <w:bottom w:w="100" w:type="dxa"/>
              <w:right w:w="160" w:type="dxa"/>
            </w:tcMar>
            <w:vAlign w:val="center"/>
          </w:tcPr>
          <w:p w14:paraId="5AE0089A">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-2.37</w:t>
            </w:r>
          </w:p>
        </w:tc>
        <w:tc>
          <w:tcPr>
            <w:tcW w:w="0" w:type="auto"/>
            <w:tcBorders>
              <w:top w:val="single" w:color="auto" w:sz="6" w:space="0"/>
              <w:tl2br w:val="nil"/>
              <w:tr2bl w:val="nil"/>
            </w:tcBorders>
            <w:shd w:val="clear" w:color="auto" w:fill="auto"/>
            <w:tcMar>
              <w:top w:w="100" w:type="dxa"/>
              <w:left w:w="160" w:type="dxa"/>
              <w:bottom w:w="100" w:type="dxa"/>
              <w:right w:w="160" w:type="dxa"/>
            </w:tcMar>
            <w:vAlign w:val="center"/>
          </w:tcPr>
          <w:p w14:paraId="631CE160">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12</w:t>
            </w:r>
          </w:p>
        </w:tc>
        <w:tc>
          <w:tcPr>
            <w:tcW w:w="0" w:type="auto"/>
            <w:tcBorders>
              <w:top w:val="single" w:color="auto" w:sz="6" w:space="0"/>
              <w:tl2br w:val="nil"/>
              <w:tr2bl w:val="nil"/>
            </w:tcBorders>
            <w:shd w:val="clear" w:color="auto" w:fill="auto"/>
            <w:tcMar>
              <w:top w:w="100" w:type="dxa"/>
              <w:left w:w="160" w:type="dxa"/>
              <w:bottom w:w="100" w:type="dxa"/>
              <w:right w:w="160" w:type="dxa"/>
            </w:tcMar>
            <w:vAlign w:val="center"/>
          </w:tcPr>
          <w:p w14:paraId="1B254962">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.018</w:t>
            </w:r>
          </w:p>
        </w:tc>
        <w:tc>
          <w:tcPr>
            <w:tcW w:w="0" w:type="auto"/>
            <w:tcBorders>
              <w:top w:val="single" w:color="auto" w:sz="6" w:space="0"/>
              <w:tl2br w:val="nil"/>
              <w:tr2bl w:val="nil"/>
            </w:tcBorders>
            <w:shd w:val="clear" w:color="auto" w:fill="auto"/>
            <w:tcMar>
              <w:top w:w="100" w:type="dxa"/>
              <w:left w:w="160" w:type="dxa"/>
              <w:bottom w:w="100" w:type="dxa"/>
              <w:right w:w="160" w:type="dxa"/>
            </w:tcMar>
            <w:vAlign w:val="center"/>
          </w:tcPr>
          <w:p w14:paraId="02219F48">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.035</w:t>
            </w:r>
          </w:p>
        </w:tc>
        <w:tc>
          <w:tcPr>
            <w:tcW w:w="0" w:type="auto"/>
            <w:tcBorders>
              <w:top w:val="single" w:color="auto" w:sz="6" w:space="0"/>
              <w:tl2br w:val="nil"/>
              <w:tr2bl w:val="nil"/>
            </w:tcBorders>
            <w:shd w:val="clear" w:color="auto" w:fill="auto"/>
            <w:tcMar>
              <w:top w:w="100" w:type="dxa"/>
              <w:left w:w="160" w:type="dxa"/>
              <w:bottom w:w="100" w:type="dxa"/>
              <w:right w:w="160" w:type="dxa"/>
            </w:tcMar>
            <w:vAlign w:val="center"/>
          </w:tcPr>
          <w:p w14:paraId="28D242EA">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-0.87</w:t>
            </w:r>
          </w:p>
        </w:tc>
        <w:tc>
          <w:tcPr>
            <w:tcW w:w="0" w:type="auto"/>
            <w:tcBorders>
              <w:top w:val="single" w:color="auto" w:sz="6" w:space="0"/>
              <w:tl2br w:val="nil"/>
              <w:tr2bl w:val="nil"/>
            </w:tcBorders>
            <w:shd w:val="clear" w:color="auto" w:fill="auto"/>
            <w:tcMar>
              <w:top w:w="100" w:type="dxa"/>
              <w:left w:w="160" w:type="dxa"/>
              <w:bottom w:w="100" w:type="dxa"/>
              <w:right w:w="0" w:type="dxa"/>
            </w:tcMar>
            <w:vAlign w:val="center"/>
          </w:tcPr>
          <w:p w14:paraId="2D86DD31">
            <w:pPr>
              <w:keepNext w:val="0"/>
              <w:keepLines w:val="0"/>
              <w:widowControl/>
              <w:suppressLineNumbers w:val="0"/>
              <w:spacing w:line="250" w:lineRule="atLeast"/>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[-1.67, -0.07]</w:t>
            </w:r>
          </w:p>
        </w:tc>
      </w:tr>
    </w:tbl>
    <w:p w14:paraId="56241782">
      <w:pPr>
        <w:pStyle w:val="13"/>
        <w:keepNext w:val="0"/>
        <w:keepLines w:val="0"/>
        <w:widowControl/>
        <w:suppressLineNumbers w:val="0"/>
        <w:shd w:val="clear" w:fill="FFFFFF"/>
        <w:spacing w:before="160" w:beforeAutospacing="0" w:after="160" w:afterAutospacing="0"/>
        <w:ind w:left="0" w:right="0" w:firstLine="0"/>
        <w:rPr>
          <w:rFonts w:hint="eastAsia" w:ascii="宋体" w:hAnsi="宋体" w:eastAsia="宋体" w:cs="宋体"/>
          <w:i w:val="0"/>
          <w:iCs w:val="0"/>
          <w:caps w:val="0"/>
          <w:color w:val="0F1115"/>
          <w:spacing w:val="0"/>
          <w:sz w:val="21"/>
          <w:szCs w:val="21"/>
        </w:rPr>
      </w:pPr>
      <w:r>
        <w:rPr>
          <w:rStyle w:val="18"/>
          <w:rFonts w:hint="eastAsia" w:ascii="宋体" w:hAnsi="宋体" w:eastAsia="宋体" w:cs="宋体"/>
          <w:i w:val="0"/>
          <w:iCs w:val="0"/>
          <w:caps w:val="0"/>
          <w:color w:val="0F1115"/>
          <w:spacing w:val="0"/>
          <w:sz w:val="21"/>
          <w:szCs w:val="21"/>
          <w:shd w:val="clear" w:fill="FFFFFF"/>
        </w:rPr>
        <w:t>注：</w:t>
      </w:r>
      <w:r>
        <w:rPr>
          <w:rFonts w:hint="eastAsia" w:ascii="宋体" w:hAnsi="宋体" w:eastAsia="宋体" w:cs="宋体"/>
          <w:i w:val="0"/>
          <w:iCs w:val="0"/>
          <w:caps w:val="0"/>
          <w:color w:val="0F1115"/>
          <w:spacing w:val="0"/>
          <w:sz w:val="21"/>
          <w:szCs w:val="21"/>
          <w:shd w:val="clear" w:fill="FFFFFF"/>
        </w:rPr>
        <w:t> p &lt; .05</w:t>
      </w:r>
    </w:p>
    <w:p w14:paraId="434FFB66">
      <w:pPr>
        <w:rPr>
          <w:rFonts w:hint="eastAsia"/>
          <w:b w:val="0"/>
          <w:bCs w:val="0"/>
          <w:sz w:val="24"/>
          <w:szCs w:val="32"/>
        </w:rPr>
      </w:pPr>
      <w:r>
        <w:rPr>
          <w:rFonts w:hint="eastAsia"/>
          <w:b w:val="0"/>
          <w:bCs w:val="0"/>
          <w:sz w:val="24"/>
          <w:szCs w:val="32"/>
        </w:rPr>
        <w:t>配对样本t检验结果表明，任务类型对用户在广告区域的总注视时长产生了显著影响，t(12) = -2.37, p = .035（双尾）。</w:t>
      </w:r>
    </w:p>
    <w:p w14:paraId="075FB52F">
      <w:pPr>
        <w:rPr>
          <w:rFonts w:hint="eastAsia"/>
          <w:b w:val="0"/>
          <w:bCs w:val="0"/>
          <w:sz w:val="24"/>
          <w:szCs w:val="32"/>
        </w:rPr>
      </w:pPr>
    </w:p>
    <w:p w14:paraId="0A621F73">
      <w:pPr>
        <w:rPr>
          <w:rFonts w:hint="eastAsia"/>
          <w:b w:val="0"/>
          <w:bCs w:val="0"/>
          <w:sz w:val="24"/>
          <w:szCs w:val="32"/>
        </w:rPr>
      </w:pPr>
      <w:r>
        <w:rPr>
          <w:rFonts w:hint="eastAsia"/>
          <w:b w:val="0"/>
          <w:bCs w:val="0"/>
          <w:sz w:val="24"/>
          <w:szCs w:val="32"/>
        </w:rPr>
        <w:t>具体而言，用户在自由浏览任务下的广告总注视时长（M = 5.01秒, SD = 1.92）显著高于在目标导向任务下的广告总注视时长（M = 4.14秒, SD = 1.77），平均差值为-0.87秒，95% CI [-1.67, -0.07]。</w:t>
      </w:r>
    </w:p>
    <w:p w14:paraId="6E20A9D6">
      <w:pPr>
        <w:rPr>
          <w:rFonts w:hint="eastAsia"/>
          <w:b w:val="0"/>
          <w:bCs w:val="0"/>
          <w:sz w:val="24"/>
          <w:szCs w:val="32"/>
        </w:rPr>
      </w:pPr>
    </w:p>
    <w:p w14:paraId="596966E4">
      <w:pPr>
        <w:outlineLvl w:val="3"/>
        <w:rPr>
          <w:rFonts w:hint="eastAsia" w:eastAsiaTheme="minorEastAsia"/>
          <w:b w:val="0"/>
          <w:bCs w:val="0"/>
          <w:sz w:val="24"/>
          <w:szCs w:val="32"/>
          <w:lang w:eastAsia="zh-CN"/>
        </w:rPr>
      </w:pPr>
      <w:r>
        <w:rPr>
          <w:rFonts w:hint="eastAsia"/>
          <w:b w:val="0"/>
          <w:bCs w:val="0"/>
          <w:sz w:val="24"/>
          <w:szCs w:val="32"/>
        </w:rPr>
        <w:t xml:space="preserve"> </w:t>
      </w:r>
      <w:bookmarkStart w:id="102" w:name="_Toc29186"/>
      <w:r>
        <w:rPr>
          <w:rFonts w:hint="eastAsia"/>
          <w:b w:val="0"/>
          <w:bCs w:val="0"/>
          <w:sz w:val="24"/>
          <w:szCs w:val="32"/>
        </w:rPr>
        <w:t>4. 讨论与结论</w:t>
      </w:r>
      <w:bookmarkEnd w:id="102"/>
    </w:p>
    <w:p w14:paraId="3D2DAB7F">
      <w:pPr>
        <w:rPr>
          <w:rFonts w:hint="eastAsia"/>
          <w:b w:val="0"/>
          <w:bCs w:val="0"/>
          <w:sz w:val="24"/>
          <w:szCs w:val="32"/>
        </w:rPr>
      </w:pPr>
      <w:r>
        <w:rPr>
          <w:rFonts w:hint="eastAsia"/>
          <w:b w:val="0"/>
          <w:bCs w:val="0"/>
          <w:sz w:val="24"/>
          <w:szCs w:val="32"/>
        </w:rPr>
        <w:t>本探究的结果支持了我们的研究假设，证实了任务类型是调节用户对广告注意力投入的关键因素。</w:t>
      </w:r>
    </w:p>
    <w:p w14:paraId="1C995611">
      <w:pPr>
        <w:rPr>
          <w:rFonts w:hint="eastAsia"/>
          <w:b w:val="0"/>
          <w:bCs w:val="0"/>
          <w:sz w:val="24"/>
          <w:szCs w:val="32"/>
        </w:rPr>
      </w:pPr>
    </w:p>
    <w:p w14:paraId="430E4F1B">
      <w:pPr>
        <w:rPr>
          <w:rFonts w:hint="eastAsia"/>
          <w:b w:val="0"/>
          <w:bCs w:val="0"/>
          <w:sz w:val="24"/>
          <w:szCs w:val="32"/>
        </w:rPr>
      </w:pPr>
      <w:r>
        <w:rPr>
          <w:rFonts w:hint="eastAsia"/>
          <w:b w:val="0"/>
          <w:bCs w:val="0"/>
          <w:sz w:val="24"/>
          <w:szCs w:val="32"/>
        </w:rPr>
        <w:t>首先，统计分析结果显著：用户在自由浏览任务下对广告区域的总注视时长显著长于目标导向任务。这一发现与“横幅盲区”效应的理论预期一致。在目标导向任务中，用户带有明确的搜索目标（如“找到双十一入口”），其认知资源被高度导向与任务相关的界面元素，从而主动或下意识地过滤掉了广告这类任务无关的干扰信息，导致对广告的注视时间较短。</w:t>
      </w:r>
    </w:p>
    <w:p w14:paraId="5561CFF0">
      <w:pPr>
        <w:rPr>
          <w:rFonts w:hint="eastAsia"/>
          <w:b w:val="0"/>
          <w:bCs w:val="0"/>
          <w:sz w:val="24"/>
          <w:szCs w:val="32"/>
        </w:rPr>
      </w:pPr>
      <w:r>
        <w:rPr>
          <w:rFonts w:hint="eastAsia"/>
          <w:b w:val="0"/>
          <w:bCs w:val="0"/>
          <w:sz w:val="24"/>
          <w:szCs w:val="32"/>
        </w:rPr>
        <w:t>反之，在自由浏览任务中，由于缺乏明确、紧迫的任务目标，用户的视觉搜索模式从“目的驱动”转变为“探索驱动”。在这种状态下，用户的注意力分布更为广泛，对界面中新颖、突出的刺激物（如色彩鲜明的广告）表现出更高的关注度，因此对广告的注视时长显著增加。</w:t>
      </w:r>
    </w:p>
    <w:p w14:paraId="5F7F5226">
      <w:pPr>
        <w:rPr>
          <w:rFonts w:hint="eastAsia"/>
          <w:b w:val="0"/>
          <w:bCs w:val="0"/>
          <w:sz w:val="24"/>
          <w:szCs w:val="32"/>
        </w:rPr>
      </w:pPr>
    </w:p>
    <w:p w14:paraId="578B1465">
      <w:pPr>
        <w:rPr>
          <w:rFonts w:hint="eastAsia"/>
          <w:b w:val="0"/>
          <w:bCs w:val="0"/>
          <w:sz w:val="24"/>
          <w:szCs w:val="32"/>
        </w:rPr>
      </w:pPr>
      <w:r>
        <w:rPr>
          <w:rFonts w:hint="eastAsia"/>
          <w:b w:val="0"/>
          <w:bCs w:val="0"/>
          <w:sz w:val="24"/>
          <w:szCs w:val="32"/>
        </w:rPr>
        <w:t>综上所述，本探究得出以下结论：</w:t>
      </w:r>
    </w:p>
    <w:p w14:paraId="1E96742B">
      <w:pPr>
        <w:rPr>
          <w:rFonts w:hint="eastAsia"/>
          <w:b w:val="0"/>
          <w:bCs w:val="0"/>
          <w:sz w:val="24"/>
          <w:szCs w:val="32"/>
        </w:rPr>
      </w:pPr>
    </w:p>
    <w:p w14:paraId="1C73B69C">
      <w:pPr>
        <w:rPr>
          <w:rFonts w:hint="eastAsia"/>
          <w:b/>
          <w:bCs/>
          <w:sz w:val="24"/>
          <w:szCs w:val="32"/>
        </w:rPr>
      </w:pPr>
      <w:r>
        <w:rPr>
          <w:rFonts w:hint="eastAsia"/>
          <w:b/>
          <w:bCs/>
          <w:sz w:val="24"/>
          <w:szCs w:val="32"/>
        </w:rPr>
        <w:t>任务类型对用户在App界面上对广告的注视行为具有显著影响。 当用户进行目标导向的任务时，会对广告产生明显的“视而不见”效应，注意力投入较少；而当用户进行自由浏览时，则更可能注意到广告并投入更多的注意力资源。</w:t>
      </w:r>
    </w:p>
    <w:p w14:paraId="164467B7">
      <w:pPr>
        <w:rPr>
          <w:rFonts w:hint="eastAsia"/>
          <w:b/>
          <w:bCs/>
          <w:sz w:val="24"/>
          <w:szCs w:val="32"/>
        </w:rPr>
      </w:pPr>
    </w:p>
    <w:p w14:paraId="463A4795">
      <w:pPr>
        <w:rPr>
          <w:rFonts w:hint="eastAsia"/>
          <w:b/>
          <w:bCs/>
          <w:sz w:val="24"/>
          <w:szCs w:val="32"/>
        </w:rPr>
      </w:pPr>
      <w:r>
        <w:rPr>
          <w:rFonts w:hint="eastAsia"/>
          <w:b/>
          <w:bCs/>
          <w:sz w:val="24"/>
          <w:szCs w:val="32"/>
        </w:rPr>
        <w:t>这一结论具有重要的实践价值：广告的投放效果与用户当前的任务场景紧密相关。在用户需要高效完成任务的场景中，广告的视觉吸引力可能会大打折扣；而在用户随意浏览的场景中，广告则有更大机会捕获用户注意力。因此，在产品设计中，应根据用户的主要任务场景来审慎规划广告的投放策略与期望。</w:t>
      </w:r>
    </w:p>
    <w:p w14:paraId="2180BB6F">
      <w:pPr>
        <w:outlineLvl w:val="0"/>
        <w:rPr>
          <w:rFonts w:hint="eastAsia" w:ascii="宋体" w:hAnsi="宋体" w:eastAsia="宋体" w:cs="宋体"/>
          <w:b/>
          <w:bCs/>
          <w:i w:val="0"/>
          <w:iCs w:val="0"/>
          <w:sz w:val="32"/>
          <w:szCs w:val="32"/>
          <w:u w:val="none"/>
          <w:lang w:eastAsia="zh-CN"/>
        </w:rPr>
      </w:pPr>
      <w:bookmarkStart w:id="103" w:name="_Toc5913"/>
      <w:bookmarkStart w:id="104" w:name="_Toc24114"/>
      <w:r>
        <w:rPr>
          <w:rFonts w:hint="eastAsia" w:ascii="宋体" w:hAnsi="宋体" w:eastAsia="宋体" w:cs="宋体"/>
          <w:b/>
          <w:bCs/>
          <w:i w:val="0"/>
          <w:iCs w:val="0"/>
          <w:sz w:val="32"/>
          <w:szCs w:val="32"/>
          <w:u w:val="none"/>
        </w:rPr>
        <w:t>第三章 实验结果总结</w:t>
      </w:r>
      <w:bookmarkEnd w:id="103"/>
      <w:bookmarkEnd w:id="104"/>
    </w:p>
    <w:p w14:paraId="0C0C3A47">
      <w:pP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本研究通过眼动追踪技术，系统探讨了移动应用界面中广告位置与任务类型对用户任务效率及注意力分配的影响。基于对13名被试在控制实验中所采集的眼动数据与行为数据的分析，本研究得出以下主要结论：</w:t>
      </w:r>
    </w:p>
    <w:p w14:paraId="3206DA4D">
      <w:pPr>
        <w:outlineLvl w:val="1"/>
        <w:rPr>
          <w:rFonts w:hint="eastAsia" w:ascii="宋体" w:hAnsi="宋体" w:eastAsia="宋体" w:cs="宋体"/>
          <w:b/>
          <w:bCs/>
          <w:i w:val="0"/>
          <w:iCs w:val="0"/>
          <w:sz w:val="28"/>
          <w:szCs w:val="28"/>
          <w:u w:val="none"/>
          <w:lang w:eastAsia="zh-CN"/>
        </w:rPr>
      </w:pPr>
      <w:bookmarkStart w:id="105" w:name="_Toc28759"/>
      <w:bookmarkStart w:id="106" w:name="_Toc32685"/>
      <w:r>
        <w:rPr>
          <w:rFonts w:hint="eastAsia" w:ascii="宋体" w:hAnsi="宋体" w:eastAsia="宋体" w:cs="宋体"/>
          <w:b/>
          <w:bCs/>
          <w:i w:val="0"/>
          <w:iCs w:val="0"/>
          <w:sz w:val="28"/>
          <w:szCs w:val="28"/>
          <w:u w:val="none"/>
        </w:rPr>
        <w:t>3.1 广告位置对任务效率的认知干扰效应显著</w:t>
      </w:r>
      <w:bookmarkEnd w:id="105"/>
      <w:bookmarkEnd w:id="106"/>
    </w:p>
    <w:p w14:paraId="3614789C">
      <w:pP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通过分析用户在目标搜索任务中对任务区的眼动指标（总注视时长与注视次数），本研究发现广告的垂直位置对任务执行效率具有决定性影响：</w:t>
      </w:r>
    </w:p>
    <w:p w14:paraId="3E7E6089">
      <w:pPr>
        <w:rPr>
          <w:rFonts w:hint="eastAsia" w:ascii="宋体" w:hAnsi="宋体" w:eastAsia="宋体" w:cs="宋体"/>
          <w:b w:val="0"/>
          <w:bCs w:val="0"/>
          <w:i w:val="0"/>
          <w:iCs w:val="0"/>
          <w:sz w:val="24"/>
          <w:szCs w:val="24"/>
          <w:u w:val="none"/>
        </w:rPr>
      </w:pPr>
    </w:p>
    <w:p w14:paraId="7D568C47">
      <w:pP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位于界面中部的广告（位置C与D）显著增加了用户在任务区的总注视时长与注视次数，表明其干扰性强，导致用户认知负荷升高、任务效率下降。位于侧边栏的广告（位置A与B）对任务区的干扰较小，用户在任务区的注视投入显著低于中部广告条件。</w:t>
      </w:r>
    </w:p>
    <w:p w14:paraId="7335874B">
      <w:pPr>
        <w:rPr>
          <w:rFonts w:hint="eastAsia" w:ascii="宋体" w:hAnsi="宋体" w:eastAsia="宋体" w:cs="宋体"/>
          <w:b w:val="0"/>
          <w:bCs w:val="0"/>
          <w:i w:val="0"/>
          <w:iCs w:val="0"/>
          <w:sz w:val="24"/>
          <w:szCs w:val="24"/>
          <w:u w:val="none"/>
        </w:rPr>
      </w:pPr>
    </w:p>
    <w:p w14:paraId="29CA6734">
      <w:pP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这一结果从视觉认知层面证实：广告与用户任务目标在视觉路径上的重叠程度是干扰产生的关键机制。中部广告因侵占用户的主要视觉扫描区域，引发注意力竞争，从而降低任务效率。</w:t>
      </w:r>
    </w:p>
    <w:p w14:paraId="0F73248D">
      <w:pPr>
        <w:outlineLvl w:val="1"/>
        <w:rPr>
          <w:rFonts w:hint="eastAsia" w:ascii="宋体" w:hAnsi="宋体" w:eastAsia="宋体" w:cs="宋体"/>
          <w:b/>
          <w:bCs/>
          <w:i w:val="0"/>
          <w:iCs w:val="0"/>
          <w:sz w:val="28"/>
          <w:szCs w:val="28"/>
          <w:u w:val="none"/>
          <w:lang w:eastAsia="zh-CN"/>
        </w:rPr>
      </w:pPr>
      <w:bookmarkStart w:id="107" w:name="_Toc29146"/>
      <w:bookmarkStart w:id="108" w:name="_Toc13143"/>
      <w:r>
        <w:rPr>
          <w:rFonts w:hint="eastAsia" w:ascii="宋体" w:hAnsi="宋体" w:eastAsia="宋体" w:cs="宋体"/>
          <w:b/>
          <w:bCs/>
          <w:i w:val="0"/>
          <w:iCs w:val="0"/>
          <w:sz w:val="28"/>
          <w:szCs w:val="28"/>
          <w:u w:val="none"/>
        </w:rPr>
        <w:t>3.2 任务类型显著调节用户对广告的注意力投入</w:t>
      </w:r>
      <w:bookmarkEnd w:id="107"/>
      <w:bookmarkEnd w:id="108"/>
    </w:p>
    <w:p w14:paraId="710DCB2C">
      <w:pP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通过比较目标导向任务与自由浏览任务下用户对广告区域（AOI 24）的总注视时长，本研究验证了任务类型对广告注视行为的调节作用：</w:t>
      </w:r>
    </w:p>
    <w:p w14:paraId="173D22C1">
      <w:pPr>
        <w:rPr>
          <w:rFonts w:hint="eastAsia" w:ascii="宋体" w:hAnsi="宋体" w:eastAsia="宋体" w:cs="宋体"/>
          <w:b w:val="0"/>
          <w:bCs w:val="0"/>
          <w:i w:val="0"/>
          <w:iCs w:val="0"/>
          <w:sz w:val="24"/>
          <w:szCs w:val="24"/>
          <w:u w:val="none"/>
        </w:rPr>
      </w:pPr>
    </w:p>
    <w:p w14:paraId="24D4E312">
      <w:pP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在目标导向任务中，用户对广告的总注视时长显著较短，表现出“横幅盲区”效应，即用户主动忽略任务无关信息。在自由浏览任务中，用户对广告的注视时长显著增加，反映出在无明确任务目标时，用户更易被广告吸引。</w:t>
      </w:r>
    </w:p>
    <w:p w14:paraId="068CA799">
      <w:pPr>
        <w:rPr>
          <w:rFonts w:hint="eastAsia" w:ascii="宋体" w:hAnsi="宋体" w:eastAsia="宋体" w:cs="宋体"/>
          <w:b w:val="0"/>
          <w:bCs w:val="0"/>
          <w:i w:val="0"/>
          <w:iCs w:val="0"/>
          <w:sz w:val="24"/>
          <w:szCs w:val="24"/>
          <w:u w:val="none"/>
        </w:rPr>
      </w:pPr>
    </w:p>
    <w:p w14:paraId="1094E6DF">
      <w:pP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这说明用户的任务目标状态是调节广告注意力捕获的关键变量，广告的视觉吸引力在不同任务场景下具有不同的效果。</w:t>
      </w:r>
    </w:p>
    <w:p w14:paraId="5A77477C">
      <w:pPr>
        <w:outlineLvl w:val="1"/>
        <w:rPr>
          <w:rFonts w:hint="eastAsia" w:ascii="宋体" w:hAnsi="宋体" w:eastAsia="宋体" w:cs="宋体"/>
          <w:b/>
          <w:bCs/>
          <w:i w:val="0"/>
          <w:iCs w:val="0"/>
          <w:sz w:val="28"/>
          <w:szCs w:val="28"/>
          <w:u w:val="none"/>
          <w:lang w:eastAsia="zh-CN"/>
        </w:rPr>
      </w:pPr>
      <w:bookmarkStart w:id="109" w:name="_Toc7467"/>
      <w:bookmarkStart w:id="110" w:name="_Toc12630"/>
      <w:r>
        <w:rPr>
          <w:rFonts w:hint="eastAsia" w:ascii="宋体" w:hAnsi="宋体" w:eastAsia="宋体" w:cs="宋体"/>
          <w:b/>
          <w:bCs/>
          <w:i w:val="0"/>
          <w:iCs w:val="0"/>
          <w:sz w:val="28"/>
          <w:szCs w:val="28"/>
          <w:u w:val="none"/>
        </w:rPr>
        <w:t>3.3 研究的理论与实践价值</w:t>
      </w:r>
      <w:bookmarkEnd w:id="109"/>
      <w:bookmarkEnd w:id="110"/>
    </w:p>
    <w:p w14:paraId="54C0B850">
      <w:pP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本研究的结论不仅深化了对广告干扰机制与用户注意力分配的理解，也为移动应用界面设计与广告布局提供了实证依据：</w:t>
      </w:r>
    </w:p>
    <w:p w14:paraId="1E474FAA">
      <w:pPr>
        <w:rPr>
          <w:rFonts w:hint="eastAsia" w:ascii="宋体" w:hAnsi="宋体" w:eastAsia="宋体" w:cs="宋体"/>
          <w:b w:val="0"/>
          <w:bCs w:val="0"/>
          <w:i w:val="0"/>
          <w:iCs w:val="0"/>
          <w:sz w:val="24"/>
          <w:szCs w:val="24"/>
          <w:u w:val="none"/>
        </w:rPr>
      </w:pPr>
    </w:p>
    <w:p w14:paraId="2B258692">
      <w:pP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 设计建议：在强调任务效率的界面（如工具类、交易类应用）中，应避免将广告置于中部主要内容区，优先考虑侧边栏或边缘位置，以减轻认知干扰。</w:t>
      </w:r>
    </w:p>
    <w:p w14:paraId="2D82BB5D">
      <w:pP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 投放策略：广告的投放应考虑用户任务场景。在自由浏览场景中广告更易获得关注，而在任务关键路径上应谨慎植入，以免引起反感。</w:t>
      </w:r>
    </w:p>
    <w:p w14:paraId="22983C06">
      <w:pPr>
        <w:rPr>
          <w:rFonts w:hint="eastAsia" w:ascii="宋体" w:hAnsi="宋体" w:eastAsia="宋体" w:cs="宋体"/>
          <w:b w:val="0"/>
          <w:bCs w:val="0"/>
          <w:i w:val="0"/>
          <w:iCs w:val="0"/>
          <w:sz w:val="24"/>
          <w:szCs w:val="24"/>
          <w:u w:val="none"/>
        </w:rPr>
      </w:pPr>
    </w:p>
    <w:p w14:paraId="1179BD2D">
      <w:pPr>
        <w:rPr>
          <w:rFonts w:hint="eastAsia" w:ascii="宋体" w:hAnsi="宋体" w:eastAsia="宋体" w:cs="宋体"/>
          <w:b w:val="0"/>
          <w:bCs w:val="0"/>
          <w:i w:val="0"/>
          <w:iCs w:val="0"/>
          <w:sz w:val="24"/>
          <w:szCs w:val="24"/>
          <w:u w:val="none"/>
        </w:rPr>
      </w:pPr>
      <w:r>
        <w:rPr>
          <w:rFonts w:hint="eastAsia" w:ascii="宋体" w:hAnsi="宋体" w:eastAsia="宋体" w:cs="宋体"/>
          <w:b w:val="0"/>
          <w:bCs w:val="0"/>
          <w:i w:val="0"/>
          <w:iCs w:val="0"/>
          <w:sz w:val="24"/>
          <w:szCs w:val="24"/>
          <w:u w:val="none"/>
        </w:rPr>
        <w:t>综上所述，本研究通过眼动数据客观揭示了广告位置与任务类型对用户行为与认知的影响机制，为“用户体验优先”的广告设计提供了科学支持与实操指引。</w:t>
      </w:r>
    </w:p>
    <w:p w14:paraId="036CB2C3">
      <w:bookmarkStart w:id="111" w:name="_GoBack"/>
      <w:bookmarkEnd w:id="11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408456"/>
    <w:multiLevelType w:val="singleLevel"/>
    <w:tmpl w:val="8A408456"/>
    <w:lvl w:ilvl="0" w:tentative="0">
      <w:start w:val="1"/>
      <w:numFmt w:val="decimal"/>
      <w:suff w:val="space"/>
      <w:lvlText w:val="%1."/>
      <w:lvlJc w:val="left"/>
    </w:lvl>
  </w:abstractNum>
  <w:abstractNum w:abstractNumId="1">
    <w:nsid w:val="19ECA716"/>
    <w:multiLevelType w:val="multilevel"/>
    <w:tmpl w:val="19ECA716"/>
    <w:lvl w:ilvl="0" w:tentative="0">
      <w:start w:val="1"/>
      <w:numFmt w:val="decimal"/>
      <w:suff w:val="space"/>
      <w:lvlText w:val="%1"/>
      <w:lvlJc w:val="left"/>
      <w:pPr>
        <w:ind w:left="0" w:leftChars="0" w:firstLine="0" w:firstLineChars="0"/>
      </w:pPr>
      <w:rPr>
        <w:rFonts w:hint="default"/>
      </w:rPr>
    </w:lvl>
    <w:lvl w:ilvl="1" w:tentative="0">
      <w:start w:val="1"/>
      <w:numFmt w:val="decimal"/>
      <w:pStyle w:val="3"/>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70FEAE67"/>
    <w:multiLevelType w:val="singleLevel"/>
    <w:tmpl w:val="70FEAE67"/>
    <w:lvl w:ilvl="0" w:tentative="0">
      <w:start w:val="3"/>
      <w:numFmt w:val="decimal"/>
      <w:suff w:val="space"/>
      <w:lvlText w:val="%1."/>
      <w:lvlJc w:val="left"/>
      <w:pPr>
        <w:ind w:left="120" w:leftChars="0" w:firstLine="0" w:firstLineChars="0"/>
      </w:pPr>
    </w:lvl>
  </w:abstractNum>
  <w:abstractNum w:abstractNumId="3">
    <w:nsid w:val="75A97EFA"/>
    <w:multiLevelType w:val="singleLevel"/>
    <w:tmpl w:val="75A97EFA"/>
    <w:lvl w:ilvl="0" w:tentative="0">
      <w:start w:val="1"/>
      <w:numFmt w:val="chineseCounting"/>
      <w:pStyle w:val="2"/>
      <w:suff w:val="space"/>
      <w:lvlText w:val="第%1章"/>
      <w:lvlJc w:val="left"/>
      <w:rPr>
        <w:rFonts w:hint="eastAsia"/>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D91297"/>
    <w:rsid w:val="2E6D0DE4"/>
    <w:rsid w:val="50C32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numPr>
        <w:ilvl w:val="0"/>
        <w:numId w:val="1"/>
      </w:numPr>
      <w:outlineLvl w:val="0"/>
    </w:pPr>
    <w:rPr>
      <w:b/>
      <w:bCs/>
      <w:sz w:val="32"/>
      <w:szCs w:val="32"/>
    </w:rPr>
  </w:style>
  <w:style w:type="paragraph" w:styleId="3">
    <w:name w:val="heading 2"/>
    <w:basedOn w:val="1"/>
    <w:next w:val="1"/>
    <w:semiHidden/>
    <w:unhideWhenUsed/>
    <w:qFormat/>
    <w:uiPriority w:val="0"/>
    <w:pPr>
      <w:numPr>
        <w:ilvl w:val="1"/>
        <w:numId w:val="2"/>
      </w:numPr>
      <w:outlineLvl w:val="1"/>
    </w:pPr>
    <w:rPr>
      <w:b/>
      <w:bCs/>
      <w:sz w:val="28"/>
      <w:szCs w:val="28"/>
    </w:rPr>
  </w:style>
  <w:style w:type="paragraph" w:styleId="4">
    <w:name w:val="heading 3"/>
    <w:basedOn w:val="1"/>
    <w:next w:val="1"/>
    <w:semiHidden/>
    <w:unhideWhenUsed/>
    <w:qFormat/>
    <w:uiPriority w:val="0"/>
    <w:pPr>
      <w:outlineLvl w:val="2"/>
    </w:pPr>
    <w:rPr>
      <w:rFonts w:ascii="Arial" w:hAnsi="Arial" w:eastAsia="宋体" w:cs="Arial"/>
      <w:b/>
      <w:bCs/>
      <w:color w:val="222222"/>
      <w:sz w:val="24"/>
      <w:shd w:val="clear" w:fill="FFFFFF"/>
    </w:rPr>
  </w:style>
  <w:style w:type="character" w:default="1" w:styleId="16">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toc 5"/>
    <w:basedOn w:val="1"/>
    <w:next w:val="1"/>
    <w:link w:val="19"/>
    <w:uiPriority w:val="0"/>
    <w:pPr>
      <w:ind w:left="1680" w:leftChars="800"/>
    </w:pPr>
  </w:style>
  <w:style w:type="paragraph" w:styleId="7">
    <w:name w:val="toc 3"/>
    <w:basedOn w:val="1"/>
    <w:next w:val="1"/>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4"/>
    <w:basedOn w:val="1"/>
    <w:next w:val="1"/>
    <w:uiPriority w:val="0"/>
    <w:pPr>
      <w:ind w:left="1260" w:leftChars="600"/>
    </w:pPr>
  </w:style>
  <w:style w:type="paragraph" w:styleId="12">
    <w:name w:val="toc 2"/>
    <w:basedOn w:val="1"/>
    <w:next w:val="1"/>
    <w:qFormat/>
    <w:uiPriority w:val="0"/>
    <w:pPr>
      <w:ind w:left="420" w:leftChars="200"/>
    </w:p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rFonts w:ascii="Times New Roman" w:hAnsi="Times New Roman" w:eastAsia="宋体" w:cs="Times New Roman"/>
      <w:b/>
    </w:rPr>
  </w:style>
  <w:style w:type="character" w:styleId="18">
    <w:name w:val="Emphasis"/>
    <w:basedOn w:val="16"/>
    <w:qFormat/>
    <w:uiPriority w:val="0"/>
    <w:rPr>
      <w:rFonts w:ascii="Times New Roman" w:hAnsi="Times New Roman" w:eastAsia="宋体" w:cs="Times New Roman"/>
      <w:i/>
    </w:rPr>
  </w:style>
  <w:style w:type="character" w:customStyle="1" w:styleId="19">
    <w:name w:val="目录 5 Char"/>
    <w:link w:val="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5484</Words>
  <Characters>6404</Characters>
  <Lines>0</Lines>
  <Paragraphs>0</Paragraphs>
  <TotalTime>17</TotalTime>
  <ScaleCrop>false</ScaleCrop>
  <LinksUpToDate>false</LinksUpToDate>
  <CharactersWithSpaces>6659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2025-11-12T01:03:00Z</dcterms:created>
  <dc:creator>ggmz8</dc:creator>
  <cp:lastModifiedBy>。</cp:lastModifiedBy>
  <dcterms:modified xsi:type="dcterms:W3CDTF">2025-11-14T05:26:56Z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eyJoZGlkIjoiM2RmMDU2NjMxMjc3YzI4MGNlMzRlMTAwYTRkOTZhMGEiLCJ1c2VySWQiOiI5MDgxNDUxMDEifQ==</vt:lpwstr>
  </property>
  <property fmtid="{D5CDD505-2E9C-101B-9397-08002B2CF9AE}" pid="4" name="ICV">
    <vt:lpwstr>C50269C703C94134B073A176ECE898E7_13</vt:lpwstr>
  </property>
</Properties>
</file>