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291A" w14:textId="08D0977C" w:rsidR="00372811" w:rsidRDefault="000C04E8" w:rsidP="001E2C3E">
      <w:pPr>
        <w:jc w:val="center"/>
        <w:rPr>
          <w:b/>
          <w:bCs w:val="0"/>
        </w:rPr>
      </w:pPr>
      <w:r>
        <w:rPr>
          <w:b/>
          <w:bCs w:val="0"/>
        </w:rPr>
        <w:t>INFERENCES</w:t>
      </w:r>
    </w:p>
    <w:p w14:paraId="6A08C7E0" w14:textId="77777777"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EC715D">
        <w:rPr>
          <w:rFonts w:ascii="Courier New" w:eastAsia="Times New Roman" w:hAnsi="Courier New" w:cs="Courier New"/>
          <w:b/>
          <w:color w:val="000080"/>
          <w:spacing w:val="0"/>
          <w:kern w:val="0"/>
          <w:sz w:val="16"/>
          <w:szCs w:val="16"/>
          <w14:ligatures w14:val="none"/>
        </w:rPr>
        <w:t>&gt;</w:t>
      </w:r>
      <w:r w:rsidRPr="00EC715D">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000000"/>
          <w:spacing w:val="0"/>
          <w:kern w:val="0"/>
          <w:sz w:val="16"/>
          <w:szCs w:val="16"/>
          <w14:ligatures w14:val="none"/>
        </w:rPr>
        <w:t>prior_summary</w:t>
      </w:r>
      <w:proofErr w:type="spellEnd"/>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fit</w:t>
      </w:r>
      <w:r w:rsidRPr="00EC715D">
        <w:rPr>
          <w:rFonts w:ascii="Courier New" w:eastAsia="Times New Roman" w:hAnsi="Courier New" w:cs="Courier New"/>
          <w:b/>
          <w:color w:val="000080"/>
          <w:spacing w:val="0"/>
          <w:kern w:val="0"/>
          <w:sz w:val="16"/>
          <w:szCs w:val="16"/>
          <w14:ligatures w14:val="none"/>
        </w:rPr>
        <w:t>)</w:t>
      </w:r>
    </w:p>
    <w:p w14:paraId="6DE8C546" w14:textId="433AB89C"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EC715D">
        <w:rPr>
          <w:rFonts w:ascii="Courier New" w:eastAsia="Times New Roman" w:hAnsi="Courier New" w:cs="Courier New"/>
          <w:bCs w:val="0"/>
          <w:color w:val="000000"/>
          <w:spacing w:val="0"/>
          <w:kern w:val="0"/>
          <w:sz w:val="16"/>
          <w:szCs w:val="16"/>
          <w14:ligatures w14:val="none"/>
        </w:rPr>
        <w:t xml:space="preserve">prior     </w:t>
      </w:r>
      <w:r w:rsidRPr="00EC715D">
        <w:rPr>
          <w:rFonts w:ascii="Courier New" w:eastAsia="Times New Roman" w:hAnsi="Courier New" w:cs="Courier New"/>
          <w:bCs w:val="0"/>
          <w:color w:val="8000FF"/>
          <w:spacing w:val="0"/>
          <w:kern w:val="0"/>
          <w:sz w:val="16"/>
          <w:szCs w:val="16"/>
          <w14:ligatures w14:val="none"/>
        </w:rPr>
        <w:t>class</w:t>
      </w:r>
      <w:r w:rsidRPr="00EC715D">
        <w:rPr>
          <w:rFonts w:ascii="Courier New" w:eastAsia="Times New Roman" w:hAnsi="Courier New" w:cs="Courier New"/>
          <w:bCs w:val="0"/>
          <w:color w:val="000000"/>
          <w:spacing w:val="0"/>
          <w:kern w:val="0"/>
          <w:sz w:val="16"/>
          <w:szCs w:val="16"/>
          <w14:ligatures w14:val="none"/>
        </w:rPr>
        <w:t xml:space="preserve">                                </w:t>
      </w:r>
      <w:r>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8000FF"/>
          <w:spacing w:val="0"/>
          <w:kern w:val="0"/>
          <w:sz w:val="16"/>
          <w:szCs w:val="16"/>
          <w14:ligatures w14:val="none"/>
        </w:rPr>
        <w:t>coef</w:t>
      </w:r>
      <w:proofErr w:type="spellEnd"/>
      <w:r w:rsidRPr="00EC715D">
        <w:rPr>
          <w:rFonts w:ascii="Courier New" w:eastAsia="Times New Roman" w:hAnsi="Courier New" w:cs="Courier New"/>
          <w:bCs w:val="0"/>
          <w:color w:val="000000"/>
          <w:spacing w:val="0"/>
          <w:kern w:val="0"/>
          <w:sz w:val="16"/>
          <w:szCs w:val="16"/>
          <w14:ligatures w14:val="none"/>
        </w:rPr>
        <w:t xml:space="preserve">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group resp </w:t>
      </w:r>
      <w:proofErr w:type="spellStart"/>
      <w:r w:rsidRPr="00EC715D">
        <w:rPr>
          <w:rFonts w:ascii="Courier New" w:eastAsia="Times New Roman" w:hAnsi="Courier New" w:cs="Courier New"/>
          <w:bCs w:val="0"/>
          <w:color w:val="000000"/>
          <w:spacing w:val="0"/>
          <w:kern w:val="0"/>
          <w:sz w:val="16"/>
          <w:szCs w:val="16"/>
          <w14:ligatures w14:val="none"/>
        </w:rPr>
        <w:t>dpar</w:t>
      </w:r>
      <w:proofErr w:type="spellEnd"/>
      <w:r w:rsidRPr="00EC715D">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000000"/>
          <w:spacing w:val="0"/>
          <w:kern w:val="0"/>
          <w:sz w:val="16"/>
          <w:szCs w:val="16"/>
          <w14:ligatures w14:val="none"/>
        </w:rPr>
        <w:t>nlpar</w:t>
      </w:r>
      <w:proofErr w:type="spellEnd"/>
      <w:r w:rsidRPr="00EC715D">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000000"/>
          <w:spacing w:val="0"/>
          <w:kern w:val="0"/>
          <w:sz w:val="16"/>
          <w:szCs w:val="16"/>
          <w14:ligatures w14:val="none"/>
        </w:rPr>
        <w:t>lb</w:t>
      </w:r>
      <w:proofErr w:type="spellEnd"/>
      <w:r w:rsidRPr="00EC715D">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000000"/>
          <w:spacing w:val="0"/>
          <w:kern w:val="0"/>
          <w:sz w:val="16"/>
          <w:szCs w:val="16"/>
          <w14:ligatures w14:val="none"/>
        </w:rPr>
        <w:t>ub</w:t>
      </w:r>
      <w:proofErr w:type="spellEnd"/>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8000FF"/>
          <w:spacing w:val="0"/>
          <w:kern w:val="0"/>
          <w:sz w:val="16"/>
          <w:szCs w:val="16"/>
          <w14:ligatures w14:val="none"/>
        </w:rPr>
        <w:t>source</w:t>
      </w:r>
    </w:p>
    <w:p w14:paraId="15E4F3A9" w14:textId="50C6FDED"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user</w:t>
      </w:r>
    </w:p>
    <w:p w14:paraId="0B645D29" w14:textId="16D9C518"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alcohol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24569B4E" w14:textId="5E50594A"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price_log10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2990B5A9" w14:textId="16EBEA0C"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Rich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2F95E252" w14:textId="7426898D"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tannin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24183A09" w14:textId="119B1B66"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tfidf_tsne_1_norm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5077215E" w14:textId="31CC3C61"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tfidf_tsne_1_norm</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tfidf_tsne_2_norm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0547F289" w14:textId="6C11BCC2"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gramStart"/>
      <w:r w:rsidRPr="00EC715D">
        <w:rPr>
          <w:rFonts w:ascii="Courier New" w:eastAsia="Times New Roman" w:hAnsi="Courier New" w:cs="Courier New"/>
          <w:bCs w:val="0"/>
          <w:color w:val="000000"/>
          <w:spacing w:val="0"/>
          <w:kern w:val="0"/>
          <w:sz w:val="16"/>
          <w:szCs w:val="16"/>
          <w14:ligatures w14:val="none"/>
        </w:rPr>
        <w:t>normal</w:t>
      </w:r>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10</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b                   tfidf_tsne_2_norm                       </w:t>
      </w:r>
      <w:r>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34302E03" w14:textId="47AF7C4F"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spellStart"/>
      <w:r w:rsidRPr="00EC715D">
        <w:rPr>
          <w:rFonts w:ascii="Courier New" w:eastAsia="Times New Roman" w:hAnsi="Courier New" w:cs="Courier New"/>
          <w:bCs w:val="0"/>
          <w:color w:val="000000"/>
          <w:spacing w:val="0"/>
          <w:kern w:val="0"/>
          <w:sz w:val="16"/>
          <w:szCs w:val="16"/>
          <w14:ligatures w14:val="none"/>
        </w:rPr>
        <w:t>student_</w:t>
      </w:r>
      <w:proofErr w:type="gramStart"/>
      <w:r w:rsidRPr="00EC715D">
        <w:rPr>
          <w:rFonts w:ascii="Courier New" w:eastAsia="Times New Roman" w:hAnsi="Courier New" w:cs="Courier New"/>
          <w:bCs w:val="0"/>
          <w:color w:val="000000"/>
          <w:spacing w:val="0"/>
          <w:kern w:val="0"/>
          <w:sz w:val="16"/>
          <w:szCs w:val="16"/>
          <w14:ligatures w14:val="none"/>
        </w:rPr>
        <w:t>t</w:t>
      </w:r>
      <w:proofErr w:type="spellEnd"/>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3</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2.5</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Intercept                                                                        default</w:t>
      </w:r>
    </w:p>
    <w:p w14:paraId="3762046E" w14:textId="3240C156"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spellStart"/>
      <w:r w:rsidRPr="00EC715D">
        <w:rPr>
          <w:rFonts w:ascii="Courier New" w:eastAsia="Times New Roman" w:hAnsi="Courier New" w:cs="Courier New"/>
          <w:bCs w:val="0"/>
          <w:color w:val="000000"/>
          <w:spacing w:val="0"/>
          <w:kern w:val="0"/>
          <w:sz w:val="16"/>
          <w:szCs w:val="16"/>
          <w14:ligatures w14:val="none"/>
        </w:rPr>
        <w:t>student_</w:t>
      </w:r>
      <w:proofErr w:type="gramStart"/>
      <w:r w:rsidRPr="00EC715D">
        <w:rPr>
          <w:rFonts w:ascii="Courier New" w:eastAsia="Times New Roman" w:hAnsi="Courier New" w:cs="Courier New"/>
          <w:bCs w:val="0"/>
          <w:color w:val="000000"/>
          <w:spacing w:val="0"/>
          <w:kern w:val="0"/>
          <w:sz w:val="16"/>
          <w:szCs w:val="16"/>
          <w14:ligatures w14:val="none"/>
        </w:rPr>
        <w:t>t</w:t>
      </w:r>
      <w:proofErr w:type="spellEnd"/>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3</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2.5</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8000FF"/>
          <w:spacing w:val="0"/>
          <w:kern w:val="0"/>
          <w:sz w:val="16"/>
          <w:szCs w:val="16"/>
          <w14:ligatures w14:val="none"/>
        </w:rPr>
        <w:t>sd</w:t>
      </w:r>
      <w:proofErr w:type="spellEnd"/>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default</w:t>
      </w:r>
    </w:p>
    <w:p w14:paraId="4650B38C" w14:textId="7945C386" w:rsidR="00EC715D" w:rsidRPr="00EC715D" w:rsidRDefault="00EC715D" w:rsidP="00EC715D">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spellStart"/>
      <w:r w:rsidRPr="00EC715D">
        <w:rPr>
          <w:rFonts w:ascii="Courier New" w:eastAsia="Times New Roman" w:hAnsi="Courier New" w:cs="Courier New"/>
          <w:bCs w:val="0"/>
          <w:color w:val="000000"/>
          <w:spacing w:val="0"/>
          <w:kern w:val="0"/>
          <w:sz w:val="16"/>
          <w:szCs w:val="16"/>
          <w14:ligatures w14:val="none"/>
        </w:rPr>
        <w:t>student_</w:t>
      </w:r>
      <w:proofErr w:type="gramStart"/>
      <w:r w:rsidRPr="00EC715D">
        <w:rPr>
          <w:rFonts w:ascii="Courier New" w:eastAsia="Times New Roman" w:hAnsi="Courier New" w:cs="Courier New"/>
          <w:bCs w:val="0"/>
          <w:color w:val="000000"/>
          <w:spacing w:val="0"/>
          <w:kern w:val="0"/>
          <w:sz w:val="16"/>
          <w:szCs w:val="16"/>
          <w14:ligatures w14:val="none"/>
        </w:rPr>
        <w:t>t</w:t>
      </w:r>
      <w:proofErr w:type="spellEnd"/>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3</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2.5</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8000FF"/>
          <w:spacing w:val="0"/>
          <w:kern w:val="0"/>
          <w:sz w:val="16"/>
          <w:szCs w:val="16"/>
          <w14:ligatures w14:val="none"/>
        </w:rPr>
        <w:t>sd</w:t>
      </w:r>
      <w:proofErr w:type="spellEnd"/>
      <w:r w:rsidRPr="00EC715D">
        <w:rPr>
          <w:rFonts w:ascii="Courier New" w:eastAsia="Times New Roman" w:hAnsi="Courier New" w:cs="Courier New"/>
          <w:bCs w:val="0"/>
          <w:color w:val="000000"/>
          <w:spacing w:val="0"/>
          <w:kern w:val="0"/>
          <w:sz w:val="16"/>
          <w:szCs w:val="16"/>
          <w14:ligatures w14:val="none"/>
        </w:rPr>
        <w:t xml:space="preserve">                                     variety                  </w:t>
      </w:r>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2104D58E" w14:textId="046AF03B" w:rsidR="00EC715D" w:rsidRPr="00EC715D" w:rsidRDefault="00EC715D" w:rsidP="00EC715D">
      <w:pPr>
        <w:shd w:val="clear" w:color="auto" w:fill="FFFFFF"/>
        <w:spacing w:after="0" w:line="240" w:lineRule="auto"/>
        <w:rPr>
          <w:rFonts w:eastAsia="Times New Roman"/>
          <w:bCs w:val="0"/>
          <w:spacing w:val="0"/>
          <w:kern w:val="0"/>
          <w:sz w:val="16"/>
          <w:szCs w:val="16"/>
          <w14:ligatures w14:val="none"/>
        </w:rPr>
      </w:pPr>
      <w:proofErr w:type="spellStart"/>
      <w:r w:rsidRPr="00EC715D">
        <w:rPr>
          <w:rFonts w:ascii="Courier New" w:eastAsia="Times New Roman" w:hAnsi="Courier New" w:cs="Courier New"/>
          <w:bCs w:val="0"/>
          <w:color w:val="000000"/>
          <w:spacing w:val="0"/>
          <w:kern w:val="0"/>
          <w:sz w:val="16"/>
          <w:szCs w:val="16"/>
          <w14:ligatures w14:val="none"/>
        </w:rPr>
        <w:t>student_</w:t>
      </w:r>
      <w:proofErr w:type="gramStart"/>
      <w:r w:rsidRPr="00EC715D">
        <w:rPr>
          <w:rFonts w:ascii="Courier New" w:eastAsia="Times New Roman" w:hAnsi="Courier New" w:cs="Courier New"/>
          <w:bCs w:val="0"/>
          <w:color w:val="000000"/>
          <w:spacing w:val="0"/>
          <w:kern w:val="0"/>
          <w:sz w:val="16"/>
          <w:szCs w:val="16"/>
          <w14:ligatures w14:val="none"/>
        </w:rPr>
        <w:t>t</w:t>
      </w:r>
      <w:proofErr w:type="spellEnd"/>
      <w:r w:rsidRPr="00EC715D">
        <w:rPr>
          <w:rFonts w:ascii="Courier New" w:eastAsia="Times New Roman" w:hAnsi="Courier New" w:cs="Courier New"/>
          <w:b/>
          <w:color w:val="000080"/>
          <w:spacing w:val="0"/>
          <w:kern w:val="0"/>
          <w:sz w:val="16"/>
          <w:szCs w:val="16"/>
          <w14:ligatures w14:val="none"/>
        </w:rPr>
        <w:t>(</w:t>
      </w:r>
      <w:proofErr w:type="gramEnd"/>
      <w:r w:rsidRPr="00EC715D">
        <w:rPr>
          <w:rFonts w:ascii="Courier New" w:eastAsia="Times New Roman" w:hAnsi="Courier New" w:cs="Courier New"/>
          <w:bCs w:val="0"/>
          <w:color w:val="FF8000"/>
          <w:spacing w:val="0"/>
          <w:kern w:val="0"/>
          <w:sz w:val="16"/>
          <w:szCs w:val="16"/>
          <w14:ligatures w14:val="none"/>
        </w:rPr>
        <w:t>3</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Cs w:val="0"/>
          <w:color w:val="FF8000"/>
          <w:spacing w:val="0"/>
          <w:kern w:val="0"/>
          <w:sz w:val="16"/>
          <w:szCs w:val="16"/>
          <w14:ligatures w14:val="none"/>
        </w:rPr>
        <w:t>2.5</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 xml:space="preserve">        </w:t>
      </w:r>
      <w:proofErr w:type="spellStart"/>
      <w:r w:rsidRPr="00EC715D">
        <w:rPr>
          <w:rFonts w:ascii="Courier New" w:eastAsia="Times New Roman" w:hAnsi="Courier New" w:cs="Courier New"/>
          <w:bCs w:val="0"/>
          <w:color w:val="8000FF"/>
          <w:spacing w:val="0"/>
          <w:kern w:val="0"/>
          <w:sz w:val="16"/>
          <w:szCs w:val="16"/>
          <w14:ligatures w14:val="none"/>
        </w:rPr>
        <w:t>sd</w:t>
      </w:r>
      <w:proofErr w:type="spellEnd"/>
      <w:r w:rsidRPr="00EC715D">
        <w:rPr>
          <w:rFonts w:ascii="Courier New" w:eastAsia="Times New Roman" w:hAnsi="Courier New" w:cs="Courier New"/>
          <w:bCs w:val="0"/>
          <w:color w:val="000000"/>
          <w:spacing w:val="0"/>
          <w:kern w:val="0"/>
          <w:sz w:val="16"/>
          <w:szCs w:val="16"/>
          <w14:ligatures w14:val="none"/>
        </w:rPr>
        <w:t xml:space="preserve">                           Intercept variety                  </w:t>
      </w:r>
      <w:r w:rsidRPr="00EC715D">
        <w:rPr>
          <w:rFonts w:ascii="Courier New" w:eastAsia="Times New Roman" w:hAnsi="Courier New" w:cs="Courier New"/>
          <w:bCs w:val="0"/>
          <w:color w:val="FF8000"/>
          <w:spacing w:val="0"/>
          <w:kern w:val="0"/>
          <w:sz w:val="16"/>
          <w:szCs w:val="16"/>
          <w14:ligatures w14:val="none"/>
        </w:rPr>
        <w:t>0</w:t>
      </w:r>
      <w:r w:rsidRPr="00EC715D">
        <w:rPr>
          <w:rFonts w:ascii="Courier New" w:eastAsia="Times New Roman" w:hAnsi="Courier New" w:cs="Courier New"/>
          <w:bCs w:val="0"/>
          <w:color w:val="000000"/>
          <w:spacing w:val="0"/>
          <w:kern w:val="0"/>
          <w:sz w:val="16"/>
          <w:szCs w:val="16"/>
          <w14:ligatures w14:val="none"/>
        </w:rPr>
        <w:t xml:space="preserve">    </w:t>
      </w:r>
      <w:r w:rsidRPr="00EC715D">
        <w:rPr>
          <w:rFonts w:ascii="Courier New" w:eastAsia="Times New Roman" w:hAnsi="Courier New" w:cs="Courier New"/>
          <w:b/>
          <w:color w:val="000080"/>
          <w:spacing w:val="0"/>
          <w:kern w:val="0"/>
          <w:sz w:val="16"/>
          <w:szCs w:val="16"/>
          <w14:ligatures w14:val="none"/>
        </w:rPr>
        <w:t>(</w:t>
      </w:r>
      <w:r w:rsidRPr="00EC715D">
        <w:rPr>
          <w:rFonts w:ascii="Courier New" w:eastAsia="Times New Roman" w:hAnsi="Courier New" w:cs="Courier New"/>
          <w:bCs w:val="0"/>
          <w:color w:val="000000"/>
          <w:spacing w:val="0"/>
          <w:kern w:val="0"/>
          <w:sz w:val="16"/>
          <w:szCs w:val="16"/>
          <w14:ligatures w14:val="none"/>
        </w:rPr>
        <w:t>vectorized</w:t>
      </w:r>
      <w:r w:rsidRPr="00EC715D">
        <w:rPr>
          <w:rFonts w:ascii="Courier New" w:eastAsia="Times New Roman" w:hAnsi="Courier New" w:cs="Courier New"/>
          <w:b/>
          <w:color w:val="000080"/>
          <w:spacing w:val="0"/>
          <w:kern w:val="0"/>
          <w:sz w:val="16"/>
          <w:szCs w:val="16"/>
          <w14:ligatures w14:val="none"/>
        </w:rPr>
        <w:t>)</w:t>
      </w:r>
    </w:p>
    <w:p w14:paraId="624A4D2E" w14:textId="77777777" w:rsidR="0035540D" w:rsidRPr="0035540D" w:rsidRDefault="0035540D" w:rsidP="0035540D">
      <w:pPr>
        <w:spacing w:before="240" w:after="0"/>
        <w:rPr>
          <w:u w:val="single"/>
        </w:rPr>
      </w:pPr>
      <w:r w:rsidRPr="0035540D">
        <w:rPr>
          <w:u w:val="single"/>
        </w:rPr>
        <w:t>INFERENCES</w:t>
      </w:r>
    </w:p>
    <w:p w14:paraId="4A0976DB" w14:textId="00844000" w:rsidR="005F428E" w:rsidRDefault="005F428E" w:rsidP="00CB10C3">
      <w:pPr>
        <w:pStyle w:val="ListParagraph"/>
        <w:numPr>
          <w:ilvl w:val="0"/>
          <w:numId w:val="1"/>
        </w:numPr>
      </w:pPr>
      <w:r w:rsidRPr="005F428E">
        <w:t>The model has assumed that the random effect intercept follows a Student's T distribution.</w:t>
      </w:r>
    </w:p>
    <w:p w14:paraId="693C3480"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
          <w:color w:val="000080"/>
          <w:spacing w:val="0"/>
          <w:kern w:val="0"/>
          <w:sz w:val="16"/>
          <w:szCs w:val="16"/>
          <w14:ligatures w14:val="none"/>
        </w:rPr>
        <w:t>&gt;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8000FF"/>
          <w:spacing w:val="0"/>
          <w:kern w:val="0"/>
          <w:sz w:val="16"/>
          <w:szCs w:val="16"/>
          <w14:ligatures w14:val="none"/>
        </w:rPr>
        <w:t>summary</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fit</w:t>
      </w:r>
      <w:r w:rsidRPr="0043436A">
        <w:rPr>
          <w:rFonts w:ascii="Courier New" w:eastAsia="Times New Roman" w:hAnsi="Courier New" w:cs="Courier New"/>
          <w:b/>
          <w:color w:val="000080"/>
          <w:spacing w:val="0"/>
          <w:kern w:val="0"/>
          <w:sz w:val="16"/>
          <w:szCs w:val="16"/>
          <w14:ligatures w14:val="none"/>
        </w:rPr>
        <w:t>)</w:t>
      </w:r>
    </w:p>
    <w:p w14:paraId="45B6F362"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 Family</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bernoulli</w:t>
      </w:r>
      <w:proofErr w:type="spellEnd"/>
      <w:r w:rsidRPr="0043436A">
        <w:rPr>
          <w:rFonts w:ascii="Courier New" w:eastAsia="Times New Roman" w:hAnsi="Courier New" w:cs="Courier New"/>
          <w:bCs w:val="0"/>
          <w:color w:val="000000"/>
          <w:spacing w:val="0"/>
          <w:kern w:val="0"/>
          <w:sz w:val="16"/>
          <w:szCs w:val="16"/>
          <w14:ligatures w14:val="none"/>
        </w:rPr>
        <w:t xml:space="preserve"> </w:t>
      </w:r>
    </w:p>
    <w:p w14:paraId="16A3CB20"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  Links</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mu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0080FF"/>
          <w:spacing w:val="0"/>
          <w:kern w:val="0"/>
          <w:sz w:val="16"/>
          <w:szCs w:val="16"/>
          <w14:ligatures w14:val="none"/>
        </w:rPr>
        <w:t>logit</w:t>
      </w:r>
      <w:r w:rsidRPr="0043436A">
        <w:rPr>
          <w:rFonts w:ascii="Courier New" w:eastAsia="Times New Roman" w:hAnsi="Courier New" w:cs="Courier New"/>
          <w:bCs w:val="0"/>
          <w:color w:val="000000"/>
          <w:spacing w:val="0"/>
          <w:kern w:val="0"/>
          <w:sz w:val="16"/>
          <w:szCs w:val="16"/>
          <w14:ligatures w14:val="none"/>
        </w:rPr>
        <w:t xml:space="preserve"> </w:t>
      </w:r>
    </w:p>
    <w:p w14:paraId="5E4CE1EB" w14:textId="77777777" w:rsid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Formula</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superior_rating</w:t>
      </w:r>
      <w:proofErr w:type="spellEnd"/>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price_log10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Rich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tannin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alcohol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
    <w:p w14:paraId="24B439E8" w14:textId="2635FEFF"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000000"/>
          <w:spacing w:val="0"/>
          <w:kern w:val="0"/>
          <w:sz w:val="16"/>
          <w:szCs w:val="16"/>
          <w14:ligatures w14:val="none"/>
        </w:rPr>
        <w:t xml:space="preserve">tfidf_tsne_1_norm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tfidf_tsne_2_norm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1</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variety</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
    <w:p w14:paraId="311E445C"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   Data</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wine_reviews</w:t>
      </w:r>
      <w:proofErr w:type="spellEnd"/>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Number of observations</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2500</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
    <w:p w14:paraId="71315768"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  Draws</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4</w:t>
      </w:r>
      <w:r w:rsidRPr="0043436A">
        <w:rPr>
          <w:rFonts w:ascii="Courier New" w:eastAsia="Times New Roman" w:hAnsi="Courier New" w:cs="Courier New"/>
          <w:bCs w:val="0"/>
          <w:color w:val="000000"/>
          <w:spacing w:val="0"/>
          <w:kern w:val="0"/>
          <w:sz w:val="16"/>
          <w:szCs w:val="16"/>
          <w14:ligatures w14:val="none"/>
        </w:rPr>
        <w:t xml:space="preserve"> chains, each </w:t>
      </w:r>
      <w:r w:rsidRPr="0043436A">
        <w:rPr>
          <w:rFonts w:ascii="Courier New" w:eastAsia="Times New Roman" w:hAnsi="Courier New" w:cs="Courier New"/>
          <w:bCs w:val="0"/>
          <w:color w:val="8000FF"/>
          <w:spacing w:val="0"/>
          <w:kern w:val="0"/>
          <w:sz w:val="16"/>
          <w:szCs w:val="16"/>
          <w14:ligatures w14:val="none"/>
        </w:rPr>
        <w:t>with</w:t>
      </w:r>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iter</w:t>
      </w:r>
      <w:proofErr w:type="spellEnd"/>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2000</w:t>
      </w:r>
      <w:r w:rsidRPr="0043436A">
        <w:rPr>
          <w:rFonts w:ascii="Courier New" w:eastAsia="Times New Roman" w:hAnsi="Courier New" w:cs="Courier New"/>
          <w:bCs w:val="0"/>
          <w:color w:val="000000"/>
          <w:spacing w:val="0"/>
          <w:kern w:val="0"/>
          <w:sz w:val="16"/>
          <w:szCs w:val="16"/>
          <w14:ligatures w14:val="none"/>
        </w:rPr>
        <w:t xml:space="preserve">; warmup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1000</w:t>
      </w:r>
      <w:r w:rsidRPr="0043436A">
        <w:rPr>
          <w:rFonts w:ascii="Courier New" w:eastAsia="Times New Roman" w:hAnsi="Courier New" w:cs="Courier New"/>
          <w:bCs w:val="0"/>
          <w:color w:val="000000"/>
          <w:spacing w:val="0"/>
          <w:kern w:val="0"/>
          <w:sz w:val="16"/>
          <w:szCs w:val="16"/>
          <w14:ligatures w14:val="none"/>
        </w:rPr>
        <w:t xml:space="preserve">; thin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roofErr w:type="gramStart"/>
      <w:r w:rsidRPr="0043436A">
        <w:rPr>
          <w:rFonts w:ascii="Courier New" w:eastAsia="Times New Roman" w:hAnsi="Courier New" w:cs="Courier New"/>
          <w:bCs w:val="0"/>
          <w:color w:val="FF8000"/>
          <w:spacing w:val="0"/>
          <w:kern w:val="0"/>
          <w:sz w:val="16"/>
          <w:szCs w:val="16"/>
          <w14:ligatures w14:val="none"/>
        </w:rPr>
        <w:t>1</w:t>
      </w:r>
      <w:r w:rsidRPr="0043436A">
        <w:rPr>
          <w:rFonts w:ascii="Courier New" w:eastAsia="Times New Roman" w:hAnsi="Courier New" w:cs="Courier New"/>
          <w:bCs w:val="0"/>
          <w:color w:val="000000"/>
          <w:spacing w:val="0"/>
          <w:kern w:val="0"/>
          <w:sz w:val="16"/>
          <w:szCs w:val="16"/>
          <w14:ligatures w14:val="none"/>
        </w:rPr>
        <w:t>;</w:t>
      </w:r>
      <w:proofErr w:type="gramEnd"/>
    </w:p>
    <w:p w14:paraId="0CF336C2"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         total post</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warmup draws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4000</w:t>
      </w:r>
    </w:p>
    <w:p w14:paraId="69885B42"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
    <w:p w14:paraId="2F21E851"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Multilevel Hyperparameters</w:t>
      </w:r>
      <w:r w:rsidRPr="0043436A">
        <w:rPr>
          <w:rFonts w:ascii="Courier New" w:eastAsia="Times New Roman" w:hAnsi="Courier New" w:cs="Courier New"/>
          <w:b/>
          <w:color w:val="000080"/>
          <w:spacing w:val="0"/>
          <w:kern w:val="0"/>
          <w:sz w:val="16"/>
          <w:szCs w:val="16"/>
          <w14:ligatures w14:val="none"/>
        </w:rPr>
        <w:t>:</w:t>
      </w:r>
    </w:p>
    <w:p w14:paraId="42DA3023"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variety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Number of </w:t>
      </w:r>
      <w:r w:rsidRPr="0043436A">
        <w:rPr>
          <w:rFonts w:ascii="Courier New" w:eastAsia="Times New Roman" w:hAnsi="Courier New" w:cs="Courier New"/>
          <w:bCs w:val="0"/>
          <w:color w:val="8000FF"/>
          <w:spacing w:val="0"/>
          <w:kern w:val="0"/>
          <w:sz w:val="16"/>
          <w:szCs w:val="16"/>
          <w14:ligatures w14:val="none"/>
        </w:rPr>
        <w:t>levels</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35</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p>
    <w:p w14:paraId="477577D8"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              Estimate </w:t>
      </w:r>
      <w:proofErr w:type="spellStart"/>
      <w:r w:rsidRPr="0043436A">
        <w:rPr>
          <w:rFonts w:ascii="Courier New" w:eastAsia="Times New Roman" w:hAnsi="Courier New" w:cs="Courier New"/>
          <w:bCs w:val="0"/>
          <w:color w:val="000000"/>
          <w:spacing w:val="0"/>
          <w:kern w:val="0"/>
          <w:sz w:val="16"/>
          <w:szCs w:val="16"/>
          <w14:ligatures w14:val="none"/>
        </w:rPr>
        <w:t>Est.Error</w:t>
      </w:r>
      <w:proofErr w:type="spellEnd"/>
      <w:r w:rsidRPr="0043436A">
        <w:rPr>
          <w:rFonts w:ascii="Courier New" w:eastAsia="Times New Roman" w:hAnsi="Courier New" w:cs="Courier New"/>
          <w:bCs w:val="0"/>
          <w:color w:val="000000"/>
          <w:spacing w:val="0"/>
          <w:kern w:val="0"/>
          <w:sz w:val="16"/>
          <w:szCs w:val="16"/>
          <w14:ligatures w14:val="none"/>
        </w:rPr>
        <w:t xml:space="preserve"> l</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95</w:t>
      </w:r>
      <w:r w:rsidRPr="0043436A">
        <w:rPr>
          <w:rFonts w:ascii="Courier New" w:eastAsia="Times New Roman" w:hAnsi="Courier New" w:cs="Courier New"/>
          <w:bCs w:val="0"/>
          <w:color w:val="804000"/>
          <w:spacing w:val="0"/>
          <w:kern w:val="0"/>
          <w:sz w:val="16"/>
          <w:szCs w:val="16"/>
          <w14:ligatures w14:val="none"/>
        </w:rPr>
        <w:t>% CI u-95%</w:t>
      </w:r>
      <w:r w:rsidRPr="0043436A">
        <w:rPr>
          <w:rFonts w:ascii="Courier New" w:eastAsia="Times New Roman" w:hAnsi="Courier New" w:cs="Courier New"/>
          <w:bCs w:val="0"/>
          <w:color w:val="000000"/>
          <w:spacing w:val="0"/>
          <w:kern w:val="0"/>
          <w:sz w:val="16"/>
          <w:szCs w:val="16"/>
          <w14:ligatures w14:val="none"/>
        </w:rPr>
        <w:t xml:space="preserve"> CI </w:t>
      </w:r>
      <w:proofErr w:type="spellStart"/>
      <w:r w:rsidRPr="0043436A">
        <w:rPr>
          <w:rFonts w:ascii="Courier New" w:eastAsia="Times New Roman" w:hAnsi="Courier New" w:cs="Courier New"/>
          <w:bCs w:val="0"/>
          <w:color w:val="000000"/>
          <w:spacing w:val="0"/>
          <w:kern w:val="0"/>
          <w:sz w:val="16"/>
          <w:szCs w:val="16"/>
          <w14:ligatures w14:val="none"/>
        </w:rPr>
        <w:t>Rhat</w:t>
      </w:r>
      <w:proofErr w:type="spellEnd"/>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Bulk_ESS</w:t>
      </w:r>
      <w:proofErr w:type="spellEnd"/>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Tail_ESS</w:t>
      </w:r>
      <w:proofErr w:type="spellEnd"/>
    </w:p>
    <w:p w14:paraId="00837E1A"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roofErr w:type="spellStart"/>
      <w:proofErr w:type="gramStart"/>
      <w:r w:rsidRPr="0043436A">
        <w:rPr>
          <w:rFonts w:ascii="Courier New" w:eastAsia="Times New Roman" w:hAnsi="Courier New" w:cs="Courier New"/>
          <w:bCs w:val="0"/>
          <w:color w:val="8000FF"/>
          <w:spacing w:val="0"/>
          <w:kern w:val="0"/>
          <w:sz w:val="16"/>
          <w:szCs w:val="16"/>
          <w14:ligatures w14:val="none"/>
        </w:rPr>
        <w:t>sd</w:t>
      </w:r>
      <w:proofErr w:type="spellEnd"/>
      <w:r w:rsidRPr="0043436A">
        <w:rPr>
          <w:rFonts w:ascii="Courier New" w:eastAsia="Times New Roman" w:hAnsi="Courier New" w:cs="Courier New"/>
          <w:b/>
          <w:color w:val="000080"/>
          <w:spacing w:val="0"/>
          <w:kern w:val="0"/>
          <w:sz w:val="16"/>
          <w:szCs w:val="16"/>
          <w14:ligatures w14:val="none"/>
        </w:rPr>
        <w:t>(</w:t>
      </w:r>
      <w:proofErr w:type="gramEnd"/>
      <w:r w:rsidRPr="0043436A">
        <w:rPr>
          <w:rFonts w:ascii="Courier New" w:eastAsia="Times New Roman" w:hAnsi="Courier New" w:cs="Courier New"/>
          <w:bCs w:val="0"/>
          <w:color w:val="000000"/>
          <w:spacing w:val="0"/>
          <w:kern w:val="0"/>
          <w:sz w:val="16"/>
          <w:szCs w:val="16"/>
          <w14:ligatures w14:val="none"/>
        </w:rPr>
        <w:t>Intercept</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0.73</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0.16</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0.48</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1.09</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1072</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1630</w:t>
      </w:r>
    </w:p>
    <w:p w14:paraId="4F895CBF"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
    <w:p w14:paraId="63B7F928"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Regression Coefficients</w:t>
      </w:r>
      <w:r w:rsidRPr="0043436A">
        <w:rPr>
          <w:rFonts w:ascii="Courier New" w:eastAsia="Times New Roman" w:hAnsi="Courier New" w:cs="Courier New"/>
          <w:b/>
          <w:color w:val="000080"/>
          <w:spacing w:val="0"/>
          <w:kern w:val="0"/>
          <w:sz w:val="16"/>
          <w:szCs w:val="16"/>
          <w14:ligatures w14:val="none"/>
        </w:rPr>
        <w:t>:</w:t>
      </w:r>
    </w:p>
    <w:p w14:paraId="23DE5CCF"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                                    Estimate </w:t>
      </w:r>
      <w:proofErr w:type="spellStart"/>
      <w:r w:rsidRPr="0043436A">
        <w:rPr>
          <w:rFonts w:ascii="Courier New" w:eastAsia="Times New Roman" w:hAnsi="Courier New" w:cs="Courier New"/>
          <w:bCs w:val="0"/>
          <w:color w:val="000000"/>
          <w:spacing w:val="0"/>
          <w:kern w:val="0"/>
          <w:sz w:val="16"/>
          <w:szCs w:val="16"/>
          <w14:ligatures w14:val="none"/>
        </w:rPr>
        <w:t>Est.Error</w:t>
      </w:r>
      <w:proofErr w:type="spellEnd"/>
      <w:r w:rsidRPr="0043436A">
        <w:rPr>
          <w:rFonts w:ascii="Courier New" w:eastAsia="Times New Roman" w:hAnsi="Courier New" w:cs="Courier New"/>
          <w:bCs w:val="0"/>
          <w:color w:val="000000"/>
          <w:spacing w:val="0"/>
          <w:kern w:val="0"/>
          <w:sz w:val="16"/>
          <w:szCs w:val="16"/>
          <w14:ligatures w14:val="none"/>
        </w:rPr>
        <w:t xml:space="preserve"> l</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95</w:t>
      </w:r>
      <w:r w:rsidRPr="0043436A">
        <w:rPr>
          <w:rFonts w:ascii="Courier New" w:eastAsia="Times New Roman" w:hAnsi="Courier New" w:cs="Courier New"/>
          <w:bCs w:val="0"/>
          <w:color w:val="804000"/>
          <w:spacing w:val="0"/>
          <w:kern w:val="0"/>
          <w:sz w:val="16"/>
          <w:szCs w:val="16"/>
          <w14:ligatures w14:val="none"/>
        </w:rPr>
        <w:t>% CI u-95%</w:t>
      </w:r>
      <w:r w:rsidRPr="0043436A">
        <w:rPr>
          <w:rFonts w:ascii="Courier New" w:eastAsia="Times New Roman" w:hAnsi="Courier New" w:cs="Courier New"/>
          <w:bCs w:val="0"/>
          <w:color w:val="000000"/>
          <w:spacing w:val="0"/>
          <w:kern w:val="0"/>
          <w:sz w:val="16"/>
          <w:szCs w:val="16"/>
          <w14:ligatures w14:val="none"/>
        </w:rPr>
        <w:t xml:space="preserve"> CI </w:t>
      </w:r>
      <w:proofErr w:type="spellStart"/>
      <w:r w:rsidRPr="0043436A">
        <w:rPr>
          <w:rFonts w:ascii="Courier New" w:eastAsia="Times New Roman" w:hAnsi="Courier New" w:cs="Courier New"/>
          <w:bCs w:val="0"/>
          <w:color w:val="000000"/>
          <w:spacing w:val="0"/>
          <w:kern w:val="0"/>
          <w:sz w:val="16"/>
          <w:szCs w:val="16"/>
          <w14:ligatures w14:val="none"/>
        </w:rPr>
        <w:t>Rhat</w:t>
      </w:r>
      <w:proofErr w:type="spellEnd"/>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Bulk_ESS</w:t>
      </w:r>
      <w:proofErr w:type="spellEnd"/>
      <w:r w:rsidRPr="0043436A">
        <w:rPr>
          <w:rFonts w:ascii="Courier New" w:eastAsia="Times New Roman" w:hAnsi="Courier New" w:cs="Courier New"/>
          <w:bCs w:val="0"/>
          <w:color w:val="000000"/>
          <w:spacing w:val="0"/>
          <w:kern w:val="0"/>
          <w:sz w:val="16"/>
          <w:szCs w:val="16"/>
          <w14:ligatures w14:val="none"/>
        </w:rPr>
        <w:t xml:space="preserve"> </w:t>
      </w:r>
      <w:proofErr w:type="spellStart"/>
      <w:r w:rsidRPr="0043436A">
        <w:rPr>
          <w:rFonts w:ascii="Courier New" w:eastAsia="Times New Roman" w:hAnsi="Courier New" w:cs="Courier New"/>
          <w:bCs w:val="0"/>
          <w:color w:val="000000"/>
          <w:spacing w:val="0"/>
          <w:kern w:val="0"/>
          <w:sz w:val="16"/>
          <w:szCs w:val="16"/>
          <w14:ligatures w14:val="none"/>
        </w:rPr>
        <w:t>Tail_ESS</w:t>
      </w:r>
      <w:proofErr w:type="spellEnd"/>
    </w:p>
    <w:p w14:paraId="249B2C8B"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Intercept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12.76</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0.78</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14.30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11.23</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3327</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3134</w:t>
      </w:r>
    </w:p>
    <w:p w14:paraId="7008A4F0"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price_log10                             </w:t>
      </w:r>
      <w:r w:rsidRPr="0043436A">
        <w:rPr>
          <w:rFonts w:ascii="Courier New" w:eastAsia="Times New Roman" w:hAnsi="Courier New" w:cs="Courier New"/>
          <w:bCs w:val="0"/>
          <w:color w:val="FF8000"/>
          <w:spacing w:val="0"/>
          <w:kern w:val="0"/>
          <w:sz w:val="16"/>
          <w:szCs w:val="16"/>
          <w14:ligatures w14:val="none"/>
        </w:rPr>
        <w:t>5.63</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0.28</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5.08</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6.19</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3924</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2924</w:t>
      </w:r>
    </w:p>
    <w:p w14:paraId="16AC803A"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Rich                                    </w:t>
      </w:r>
      <w:r w:rsidRPr="0043436A">
        <w:rPr>
          <w:rFonts w:ascii="Courier New" w:eastAsia="Times New Roman" w:hAnsi="Courier New" w:cs="Courier New"/>
          <w:bCs w:val="0"/>
          <w:color w:val="FF8000"/>
          <w:spacing w:val="0"/>
          <w:kern w:val="0"/>
          <w:sz w:val="16"/>
          <w:szCs w:val="16"/>
          <w14:ligatures w14:val="none"/>
        </w:rPr>
        <w:t>0.83</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0.12</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0.59</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1.06</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4334</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2747</w:t>
      </w:r>
    </w:p>
    <w:p w14:paraId="72C0006B"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tannin                                  </w:t>
      </w:r>
      <w:r w:rsidRPr="0043436A">
        <w:rPr>
          <w:rFonts w:ascii="Courier New" w:eastAsia="Times New Roman" w:hAnsi="Courier New" w:cs="Courier New"/>
          <w:bCs w:val="0"/>
          <w:color w:val="FF8000"/>
          <w:spacing w:val="0"/>
          <w:kern w:val="0"/>
          <w:sz w:val="16"/>
          <w:szCs w:val="16"/>
          <w14:ligatures w14:val="none"/>
        </w:rPr>
        <w:t>2.24</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0.69</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0.92</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3.58</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4741</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3080</w:t>
      </w:r>
    </w:p>
    <w:p w14:paraId="4ADCF06C"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alcohol                                 </w:t>
      </w:r>
      <w:r w:rsidRPr="0043436A">
        <w:rPr>
          <w:rFonts w:ascii="Courier New" w:eastAsia="Times New Roman" w:hAnsi="Courier New" w:cs="Courier New"/>
          <w:bCs w:val="0"/>
          <w:color w:val="FF8000"/>
          <w:spacing w:val="0"/>
          <w:kern w:val="0"/>
          <w:sz w:val="16"/>
          <w:szCs w:val="16"/>
          <w14:ligatures w14:val="none"/>
        </w:rPr>
        <w:t>2.72</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0.57</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1.59</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3.83</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4981</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3197</w:t>
      </w:r>
    </w:p>
    <w:p w14:paraId="19003A46"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tfidf_tsne_1_norm                       </w:t>
      </w:r>
      <w:r w:rsidRPr="0043436A">
        <w:rPr>
          <w:rFonts w:ascii="Courier New" w:eastAsia="Times New Roman" w:hAnsi="Courier New" w:cs="Courier New"/>
          <w:bCs w:val="0"/>
          <w:color w:val="FF8000"/>
          <w:spacing w:val="0"/>
          <w:kern w:val="0"/>
          <w:sz w:val="16"/>
          <w:szCs w:val="16"/>
          <w14:ligatures w14:val="none"/>
        </w:rPr>
        <w:t>0.57</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0.82</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1.08</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2.16</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2202</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2447</w:t>
      </w:r>
    </w:p>
    <w:p w14:paraId="38C85D81"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tfidf_tsne_2_norm                       </w:t>
      </w:r>
      <w:r w:rsidRPr="0043436A">
        <w:rPr>
          <w:rFonts w:ascii="Courier New" w:eastAsia="Times New Roman" w:hAnsi="Courier New" w:cs="Courier New"/>
          <w:bCs w:val="0"/>
          <w:color w:val="FF8000"/>
          <w:spacing w:val="0"/>
          <w:kern w:val="0"/>
          <w:sz w:val="16"/>
          <w:szCs w:val="16"/>
          <w14:ligatures w14:val="none"/>
        </w:rPr>
        <w:t>3.01</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0.77</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1.50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4.52</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2160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2616</w:t>
      </w:r>
    </w:p>
    <w:p w14:paraId="79B8020A"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tfidf_tsne_1_</w:t>
      </w:r>
      <w:proofErr w:type="gramStart"/>
      <w:r w:rsidRPr="0043436A">
        <w:rPr>
          <w:rFonts w:ascii="Courier New" w:eastAsia="Times New Roman" w:hAnsi="Courier New" w:cs="Courier New"/>
          <w:bCs w:val="0"/>
          <w:color w:val="000000"/>
          <w:spacing w:val="0"/>
          <w:kern w:val="0"/>
          <w:sz w:val="16"/>
          <w:szCs w:val="16"/>
          <w14:ligatures w14:val="none"/>
        </w:rPr>
        <w:t>norm</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tfidf</w:t>
      </w:r>
      <w:proofErr w:type="gramEnd"/>
      <w:r w:rsidRPr="0043436A">
        <w:rPr>
          <w:rFonts w:ascii="Courier New" w:eastAsia="Times New Roman" w:hAnsi="Courier New" w:cs="Courier New"/>
          <w:bCs w:val="0"/>
          <w:color w:val="000000"/>
          <w:spacing w:val="0"/>
          <w:kern w:val="0"/>
          <w:sz w:val="16"/>
          <w:szCs w:val="16"/>
          <w14:ligatures w14:val="none"/>
        </w:rPr>
        <w:t xml:space="preserve">_tsne_2_norm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1.26</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1.46</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FF8000"/>
          <w:spacing w:val="0"/>
          <w:kern w:val="0"/>
          <w:sz w:val="16"/>
          <w:szCs w:val="16"/>
          <w14:ligatures w14:val="none"/>
        </w:rPr>
        <w:t>4.06</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1.58</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1.00</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2134</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2481</w:t>
      </w:r>
    </w:p>
    <w:p w14:paraId="23333438"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p>
    <w:p w14:paraId="7E67021C"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Draws were sampled using </w:t>
      </w:r>
      <w:proofErr w:type="gramStart"/>
      <w:r w:rsidRPr="0043436A">
        <w:rPr>
          <w:rFonts w:ascii="Courier New" w:eastAsia="Times New Roman" w:hAnsi="Courier New" w:cs="Courier New"/>
          <w:bCs w:val="0"/>
          <w:color w:val="000000"/>
          <w:spacing w:val="0"/>
          <w:kern w:val="0"/>
          <w:sz w:val="16"/>
          <w:szCs w:val="16"/>
          <w14:ligatures w14:val="none"/>
        </w:rPr>
        <w:t>sampling</w:t>
      </w:r>
      <w:r w:rsidRPr="0043436A">
        <w:rPr>
          <w:rFonts w:ascii="Courier New" w:eastAsia="Times New Roman" w:hAnsi="Courier New" w:cs="Courier New"/>
          <w:b/>
          <w:color w:val="000080"/>
          <w:spacing w:val="0"/>
          <w:kern w:val="0"/>
          <w:sz w:val="16"/>
          <w:szCs w:val="16"/>
          <w14:ligatures w14:val="none"/>
        </w:rPr>
        <w:t>(</w:t>
      </w:r>
      <w:proofErr w:type="gramEnd"/>
      <w:r w:rsidRPr="0043436A">
        <w:rPr>
          <w:rFonts w:ascii="Courier New" w:eastAsia="Times New Roman" w:hAnsi="Courier New" w:cs="Courier New"/>
          <w:bCs w:val="0"/>
          <w:color w:val="000000"/>
          <w:spacing w:val="0"/>
          <w:kern w:val="0"/>
          <w:sz w:val="16"/>
          <w:szCs w:val="16"/>
          <w14:ligatures w14:val="none"/>
        </w:rPr>
        <w:t>NUTS</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For each parameter, </w:t>
      </w:r>
      <w:proofErr w:type="spellStart"/>
      <w:r w:rsidRPr="0043436A">
        <w:rPr>
          <w:rFonts w:ascii="Courier New" w:eastAsia="Times New Roman" w:hAnsi="Courier New" w:cs="Courier New"/>
          <w:bCs w:val="0"/>
          <w:color w:val="000000"/>
          <w:spacing w:val="0"/>
          <w:kern w:val="0"/>
          <w:sz w:val="16"/>
          <w:szCs w:val="16"/>
          <w14:ligatures w14:val="none"/>
        </w:rPr>
        <w:t>Bulk_ESS</w:t>
      </w:r>
      <w:proofErr w:type="spellEnd"/>
    </w:p>
    <w:p w14:paraId="50C8EE19" w14:textId="77777777" w:rsidR="0043436A" w:rsidRPr="0043436A" w:rsidRDefault="0043436A" w:rsidP="0043436A">
      <w:pPr>
        <w:shd w:val="clear" w:color="auto" w:fill="FFFFFF"/>
        <w:spacing w:after="0" w:line="240" w:lineRule="auto"/>
        <w:rPr>
          <w:rFonts w:ascii="Courier New" w:eastAsia="Times New Roman" w:hAnsi="Courier New" w:cs="Courier New"/>
          <w:bCs w:val="0"/>
          <w:color w:val="000000"/>
          <w:spacing w:val="0"/>
          <w:kern w:val="0"/>
          <w:sz w:val="16"/>
          <w:szCs w:val="16"/>
          <w14:ligatures w14:val="none"/>
        </w:rPr>
      </w:pPr>
      <w:r w:rsidRPr="0043436A">
        <w:rPr>
          <w:rFonts w:ascii="Courier New" w:eastAsia="Times New Roman" w:hAnsi="Courier New" w:cs="Courier New"/>
          <w:bCs w:val="0"/>
          <w:color w:val="000000"/>
          <w:spacing w:val="0"/>
          <w:kern w:val="0"/>
          <w:sz w:val="16"/>
          <w:szCs w:val="16"/>
          <w14:ligatures w14:val="none"/>
        </w:rPr>
        <w:t xml:space="preserve">and </w:t>
      </w:r>
      <w:proofErr w:type="spellStart"/>
      <w:r w:rsidRPr="0043436A">
        <w:rPr>
          <w:rFonts w:ascii="Courier New" w:eastAsia="Times New Roman" w:hAnsi="Courier New" w:cs="Courier New"/>
          <w:bCs w:val="0"/>
          <w:color w:val="000000"/>
          <w:spacing w:val="0"/>
          <w:kern w:val="0"/>
          <w:sz w:val="16"/>
          <w:szCs w:val="16"/>
          <w14:ligatures w14:val="none"/>
        </w:rPr>
        <w:t>Tail_ESS</w:t>
      </w:r>
      <w:proofErr w:type="spellEnd"/>
      <w:r w:rsidRPr="0043436A">
        <w:rPr>
          <w:rFonts w:ascii="Courier New" w:eastAsia="Times New Roman" w:hAnsi="Courier New" w:cs="Courier New"/>
          <w:bCs w:val="0"/>
          <w:color w:val="000000"/>
          <w:spacing w:val="0"/>
          <w:kern w:val="0"/>
          <w:sz w:val="16"/>
          <w:szCs w:val="16"/>
          <w14:ligatures w14:val="none"/>
        </w:rPr>
        <w:t xml:space="preserve"> are effective </w:t>
      </w:r>
      <w:r w:rsidRPr="0043436A">
        <w:rPr>
          <w:rFonts w:ascii="Courier New" w:eastAsia="Times New Roman" w:hAnsi="Courier New" w:cs="Courier New"/>
          <w:bCs w:val="0"/>
          <w:color w:val="8000FF"/>
          <w:spacing w:val="0"/>
          <w:kern w:val="0"/>
          <w:sz w:val="16"/>
          <w:szCs w:val="16"/>
          <w14:ligatures w14:val="none"/>
        </w:rPr>
        <w:t>sample</w:t>
      </w:r>
      <w:r w:rsidRPr="0043436A">
        <w:rPr>
          <w:rFonts w:ascii="Courier New" w:eastAsia="Times New Roman" w:hAnsi="Courier New" w:cs="Courier New"/>
          <w:bCs w:val="0"/>
          <w:color w:val="000000"/>
          <w:spacing w:val="0"/>
          <w:kern w:val="0"/>
          <w:sz w:val="16"/>
          <w:szCs w:val="16"/>
          <w14:ligatures w14:val="none"/>
        </w:rPr>
        <w:t xml:space="preserve"> size measures, and </w:t>
      </w:r>
      <w:proofErr w:type="spellStart"/>
      <w:r w:rsidRPr="0043436A">
        <w:rPr>
          <w:rFonts w:ascii="Courier New" w:eastAsia="Times New Roman" w:hAnsi="Courier New" w:cs="Courier New"/>
          <w:bCs w:val="0"/>
          <w:color w:val="000000"/>
          <w:spacing w:val="0"/>
          <w:kern w:val="0"/>
          <w:sz w:val="16"/>
          <w:szCs w:val="16"/>
          <w14:ligatures w14:val="none"/>
        </w:rPr>
        <w:t>Rhat</w:t>
      </w:r>
      <w:proofErr w:type="spellEnd"/>
      <w:r w:rsidRPr="0043436A">
        <w:rPr>
          <w:rFonts w:ascii="Courier New" w:eastAsia="Times New Roman" w:hAnsi="Courier New" w:cs="Courier New"/>
          <w:bCs w:val="0"/>
          <w:color w:val="000000"/>
          <w:spacing w:val="0"/>
          <w:kern w:val="0"/>
          <w:sz w:val="16"/>
          <w:szCs w:val="16"/>
          <w14:ligatures w14:val="none"/>
        </w:rPr>
        <w:t xml:space="preserve"> is the </w:t>
      </w:r>
      <w:proofErr w:type="gramStart"/>
      <w:r w:rsidRPr="0043436A">
        <w:rPr>
          <w:rFonts w:ascii="Courier New" w:eastAsia="Times New Roman" w:hAnsi="Courier New" w:cs="Courier New"/>
          <w:bCs w:val="0"/>
          <w:color w:val="000000"/>
          <w:spacing w:val="0"/>
          <w:kern w:val="0"/>
          <w:sz w:val="16"/>
          <w:szCs w:val="16"/>
          <w14:ligatures w14:val="none"/>
        </w:rPr>
        <w:t>potential</w:t>
      </w:r>
      <w:proofErr w:type="gramEnd"/>
    </w:p>
    <w:p w14:paraId="47630DB9" w14:textId="77777777" w:rsidR="0043436A" w:rsidRPr="0043436A" w:rsidRDefault="0043436A" w:rsidP="0043436A">
      <w:pPr>
        <w:shd w:val="clear" w:color="auto" w:fill="FFFFFF"/>
        <w:spacing w:after="0" w:line="240" w:lineRule="auto"/>
        <w:rPr>
          <w:rFonts w:eastAsia="Times New Roman"/>
          <w:bCs w:val="0"/>
          <w:spacing w:val="0"/>
          <w:kern w:val="0"/>
          <w:sz w:val="16"/>
          <w:szCs w:val="16"/>
          <w14:ligatures w14:val="none"/>
        </w:rPr>
      </w:pPr>
      <w:r w:rsidRPr="0043436A">
        <w:rPr>
          <w:rFonts w:ascii="Courier New" w:eastAsia="Times New Roman" w:hAnsi="Courier New" w:cs="Courier New"/>
          <w:bCs w:val="0"/>
          <w:color w:val="8000FF"/>
          <w:spacing w:val="0"/>
          <w:kern w:val="0"/>
          <w:sz w:val="16"/>
          <w:szCs w:val="16"/>
          <w14:ligatures w14:val="none"/>
        </w:rPr>
        <w:t>scale</w:t>
      </w:r>
      <w:r w:rsidRPr="0043436A">
        <w:rPr>
          <w:rFonts w:ascii="Courier New" w:eastAsia="Times New Roman" w:hAnsi="Courier New" w:cs="Courier New"/>
          <w:bCs w:val="0"/>
          <w:color w:val="000000"/>
          <w:spacing w:val="0"/>
          <w:kern w:val="0"/>
          <w:sz w:val="16"/>
          <w:szCs w:val="16"/>
          <w14:ligatures w14:val="none"/>
        </w:rPr>
        <w:t xml:space="preserve"> reduction </w:t>
      </w:r>
      <w:r w:rsidRPr="0043436A">
        <w:rPr>
          <w:rFonts w:ascii="Courier New" w:eastAsia="Times New Roman" w:hAnsi="Courier New" w:cs="Courier New"/>
          <w:bCs w:val="0"/>
          <w:color w:val="8000FF"/>
          <w:spacing w:val="0"/>
          <w:kern w:val="0"/>
          <w:sz w:val="16"/>
          <w:szCs w:val="16"/>
          <w14:ligatures w14:val="none"/>
        </w:rPr>
        <w:t>factor</w:t>
      </w:r>
      <w:r w:rsidRPr="0043436A">
        <w:rPr>
          <w:rFonts w:ascii="Courier New" w:eastAsia="Times New Roman" w:hAnsi="Courier New" w:cs="Courier New"/>
          <w:bCs w:val="0"/>
          <w:color w:val="000000"/>
          <w:spacing w:val="0"/>
          <w:kern w:val="0"/>
          <w:sz w:val="16"/>
          <w:szCs w:val="16"/>
          <w14:ligatures w14:val="none"/>
        </w:rPr>
        <w:t xml:space="preserve"> on </w:t>
      </w:r>
      <w:r w:rsidRPr="0043436A">
        <w:rPr>
          <w:rFonts w:ascii="Courier New" w:eastAsia="Times New Roman" w:hAnsi="Courier New" w:cs="Courier New"/>
          <w:bCs w:val="0"/>
          <w:color w:val="8000FF"/>
          <w:spacing w:val="0"/>
          <w:kern w:val="0"/>
          <w:sz w:val="16"/>
          <w:szCs w:val="16"/>
          <w14:ligatures w14:val="none"/>
        </w:rPr>
        <w:t>split</w:t>
      </w:r>
      <w:r w:rsidRPr="0043436A">
        <w:rPr>
          <w:rFonts w:ascii="Courier New" w:eastAsia="Times New Roman" w:hAnsi="Courier New" w:cs="Courier New"/>
          <w:bCs w:val="0"/>
          <w:color w:val="000000"/>
          <w:spacing w:val="0"/>
          <w:kern w:val="0"/>
          <w:sz w:val="16"/>
          <w:szCs w:val="16"/>
          <w14:ligatures w14:val="none"/>
        </w:rPr>
        <w:t xml:space="preserve"> chains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at convergence, </w:t>
      </w:r>
      <w:proofErr w:type="spellStart"/>
      <w:r w:rsidRPr="0043436A">
        <w:rPr>
          <w:rFonts w:ascii="Courier New" w:eastAsia="Times New Roman" w:hAnsi="Courier New" w:cs="Courier New"/>
          <w:bCs w:val="0"/>
          <w:color w:val="000000"/>
          <w:spacing w:val="0"/>
          <w:kern w:val="0"/>
          <w:sz w:val="16"/>
          <w:szCs w:val="16"/>
          <w14:ligatures w14:val="none"/>
        </w:rPr>
        <w:t>Rhat</w:t>
      </w:r>
      <w:proofErr w:type="spellEnd"/>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 xml:space="preserve"> </w:t>
      </w:r>
      <w:r w:rsidRPr="0043436A">
        <w:rPr>
          <w:rFonts w:ascii="Courier New" w:eastAsia="Times New Roman" w:hAnsi="Courier New" w:cs="Courier New"/>
          <w:bCs w:val="0"/>
          <w:color w:val="FF8000"/>
          <w:spacing w:val="0"/>
          <w:kern w:val="0"/>
          <w:sz w:val="16"/>
          <w:szCs w:val="16"/>
          <w14:ligatures w14:val="none"/>
        </w:rPr>
        <w:t>1</w:t>
      </w:r>
      <w:r w:rsidRPr="0043436A">
        <w:rPr>
          <w:rFonts w:ascii="Courier New" w:eastAsia="Times New Roman" w:hAnsi="Courier New" w:cs="Courier New"/>
          <w:b/>
          <w:color w:val="000080"/>
          <w:spacing w:val="0"/>
          <w:kern w:val="0"/>
          <w:sz w:val="16"/>
          <w:szCs w:val="16"/>
          <w14:ligatures w14:val="none"/>
        </w:rPr>
        <w:t>)</w:t>
      </w:r>
      <w:r w:rsidRPr="0043436A">
        <w:rPr>
          <w:rFonts w:ascii="Courier New" w:eastAsia="Times New Roman" w:hAnsi="Courier New" w:cs="Courier New"/>
          <w:bCs w:val="0"/>
          <w:color w:val="000000"/>
          <w:spacing w:val="0"/>
          <w:kern w:val="0"/>
          <w:sz w:val="16"/>
          <w:szCs w:val="16"/>
          <w14:ligatures w14:val="none"/>
        </w:rPr>
        <w:t>.</w:t>
      </w:r>
    </w:p>
    <w:p w14:paraId="4B7D0FE3" w14:textId="773E7D44" w:rsidR="00CB10C3" w:rsidRDefault="00454261" w:rsidP="00CB10C3">
      <w:pPr>
        <w:spacing w:before="240" w:after="0"/>
        <w:rPr>
          <w:u w:val="single"/>
        </w:rPr>
      </w:pPr>
      <w:r>
        <w:rPr>
          <w:u w:val="single"/>
        </w:rPr>
        <w:t>INFERENCES</w:t>
      </w:r>
    </w:p>
    <w:p w14:paraId="1E691794" w14:textId="2970125C" w:rsidR="0043436A" w:rsidRPr="00CB10C3" w:rsidRDefault="00CB10C3" w:rsidP="002410C9">
      <w:pPr>
        <w:pStyle w:val="ListParagraph"/>
        <w:numPr>
          <w:ilvl w:val="0"/>
          <w:numId w:val="1"/>
        </w:numPr>
        <w:spacing w:after="0"/>
        <w:rPr>
          <w:u w:val="single"/>
        </w:rPr>
      </w:pPr>
      <w:r w:rsidRPr="00CB10C3">
        <w:t>The posterior estimate of the standard deviation for the random intercepts (0.73 with an uncertainty of 0.16) suggests some, but not necessarily a vast amount of, variability in the log-odds of a wine being rated as "superior" across different varieties. This indicates that there might be some varieties that tend to receive consistently higher or lower ratings compared to the average. However, it's important to remember that this variability is on the log-odds scale. When translated back to the probability scale (by exponentiating), a standard deviation of 0.73 can translate to a noticeable difference in the probability of a "superior" rating between varieties.</w:t>
      </w:r>
    </w:p>
    <w:p w14:paraId="09D002ED" w14:textId="1C3C8F3D" w:rsidR="00CB10C3" w:rsidRDefault="00CB10C3" w:rsidP="00CB10C3">
      <w:pPr>
        <w:pStyle w:val="ListParagraph"/>
        <w:numPr>
          <w:ilvl w:val="0"/>
          <w:numId w:val="1"/>
        </w:numPr>
        <w:spacing w:before="240" w:after="0"/>
      </w:pPr>
      <w:proofErr w:type="spellStart"/>
      <w:r w:rsidRPr="00CB10C3">
        <w:t>Rhat</w:t>
      </w:r>
      <w:proofErr w:type="spellEnd"/>
      <w:r w:rsidRPr="00CB10C3">
        <w:t xml:space="preserve"> being 1 throughout, suggests that MCMC chains have converged well.</w:t>
      </w:r>
    </w:p>
    <w:p w14:paraId="45B297A2" w14:textId="18F01CD5" w:rsidR="00CB10C3" w:rsidRDefault="00CB10C3" w:rsidP="00CB10C3">
      <w:pPr>
        <w:pStyle w:val="ListParagraph"/>
        <w:numPr>
          <w:ilvl w:val="0"/>
          <w:numId w:val="1"/>
        </w:numPr>
        <w:spacing w:before="240" w:after="0"/>
      </w:pPr>
      <w:r w:rsidRPr="00CB10C3">
        <w:t>Since ESS values are all much &gt; 100, autocorrelation may be considered as being low enough to be acceptable.</w:t>
      </w:r>
    </w:p>
    <w:p w14:paraId="56E0C70A" w14:textId="49ADEEC3" w:rsidR="00CB10C3" w:rsidRPr="00CB10C3" w:rsidRDefault="00CB10C3" w:rsidP="00CB10C3">
      <w:pPr>
        <w:pStyle w:val="ListParagraph"/>
        <w:numPr>
          <w:ilvl w:val="0"/>
          <w:numId w:val="1"/>
        </w:numPr>
        <w:spacing w:before="240" w:after="0"/>
        <w:rPr>
          <w:color w:val="A6A6A6" w:themeColor="background1" w:themeShade="A6"/>
        </w:rPr>
      </w:pPr>
      <w:r w:rsidRPr="00CB10C3">
        <w:rPr>
          <w:color w:val="A6A6A6" w:themeColor="background1" w:themeShade="A6"/>
        </w:rPr>
        <w:t>Of all the fixed effects in the model, the variable price_log10 has the highest average effect on the log-odds of a wine being rated as "superior". Thus, it is likely a good estimator of whether a wine was rated highly or not.</w:t>
      </w:r>
    </w:p>
    <w:p w14:paraId="47479AEE" w14:textId="0D1F045A" w:rsidR="00CB10C3" w:rsidRPr="00CB10C3" w:rsidRDefault="00CB10C3" w:rsidP="00CB10C3">
      <w:pPr>
        <w:pStyle w:val="ListParagraph"/>
        <w:numPr>
          <w:ilvl w:val="0"/>
          <w:numId w:val="1"/>
        </w:numPr>
        <w:spacing w:before="240" w:after="0"/>
        <w:rPr>
          <w:color w:val="A6A6A6" w:themeColor="background1" w:themeShade="A6"/>
        </w:rPr>
      </w:pPr>
      <w:r w:rsidRPr="00CB10C3">
        <w:rPr>
          <w:color w:val="A6A6A6" w:themeColor="background1" w:themeShade="A6"/>
        </w:rPr>
        <w:t>A one-unit increase in price (log transformed) is associated with an increase in the log-odds of being "superior" by an estimated 5.63 units, with a 95% credible interval of 5.08 to 6.19. This suggests a positive association between price (on a log scale) and being rated as "superior".</w:t>
      </w:r>
    </w:p>
    <w:p w14:paraId="127E02A0" w14:textId="13701372" w:rsidR="00CB10C3" w:rsidRDefault="00CB10C3" w:rsidP="00CB10C3">
      <w:pPr>
        <w:pStyle w:val="ListParagraph"/>
        <w:numPr>
          <w:ilvl w:val="0"/>
          <w:numId w:val="1"/>
        </w:numPr>
        <w:spacing w:before="240" w:after="0"/>
      </w:pPr>
      <w:r w:rsidRPr="00CB10C3">
        <w:t>The interaction term (tfidf_tsne_1_norm: tfidf_tsne_2_norm) has a negative coefficient and a wide credible interval, hinting at a complex relationship between the two transformed text features and the probability of a "superior" rating. This supports how the clusters observed upon plotting these 2 variables were really mixed.</w:t>
      </w:r>
    </w:p>
    <w:p w14:paraId="056F8463" w14:textId="0088D151" w:rsidR="00CB10C3" w:rsidRDefault="00CB10C3" w:rsidP="00CB10C3">
      <w:pPr>
        <w:pStyle w:val="ListParagraph"/>
        <w:numPr>
          <w:ilvl w:val="0"/>
          <w:numId w:val="1"/>
        </w:numPr>
        <w:spacing w:before="240" w:after="0"/>
      </w:pPr>
      <w:r w:rsidRPr="00CB10C3">
        <w:t>The model predicts a very low log-odds (-12.76) of a wine being rated as "superior" when all other factors are zero. This hints at a baseline tendency for wines to not get rated as being "superior". That said, the presence of the random intercept for "variety" with a considerable standard deviation (as indicated by the estimate and uncertainty) highlights the importance of variety-specific effects and suggests that some wine varieties might still have a higher chance of being rated "superior" compared to others.</w:t>
      </w:r>
    </w:p>
    <w:p w14:paraId="00C91A0D" w14:textId="0E465858" w:rsidR="00CB10C3" w:rsidRDefault="00CB10C3" w:rsidP="00CB10C3">
      <w:pPr>
        <w:pStyle w:val="ListParagraph"/>
        <w:numPr>
          <w:ilvl w:val="0"/>
          <w:numId w:val="1"/>
        </w:numPr>
        <w:spacing w:before="240" w:after="0"/>
      </w:pPr>
      <w:r w:rsidRPr="00CB10C3">
        <w:lastRenderedPageBreak/>
        <w:t xml:space="preserve">Both derived features, </w:t>
      </w:r>
      <w:r w:rsidR="00D652E2" w:rsidRPr="00CB10C3">
        <w:t>alcohol,</w:t>
      </w:r>
      <w:r w:rsidRPr="00CB10C3">
        <w:t xml:space="preserve"> and tannin, appear to be good predictors of superior ratings. The model estimates that a one-unit increase in alcohol content is associated with an increase of approximately 2.72 units in the log-odds of being rated "superior" (with some uncertainty). Similarly, a one-unit increase in tannin is associated with an increase of about 2.24 in the log-odds.  Exponentiating these coefficients (e.g., </w:t>
      </w:r>
      <m:oMath>
        <m:sSup>
          <m:sSupPr>
            <m:ctrlPr>
              <w:rPr>
                <w:rFonts w:ascii="Cambria Math" w:hAnsi="Cambria Math"/>
                <w:i/>
              </w:rPr>
            </m:ctrlPr>
          </m:sSupPr>
          <m:e>
            <m:r>
              <w:rPr>
                <w:rFonts w:ascii="Cambria Math" w:hAnsi="Cambria Math"/>
              </w:rPr>
              <m:t>e</m:t>
            </m:r>
          </m:e>
          <m:sup>
            <m:r>
              <w:rPr>
                <w:rFonts w:ascii="Cambria Math" w:hAnsi="Cambria Math"/>
              </w:rPr>
              <m:t>2.72</m:t>
            </m:r>
          </m:sup>
        </m:sSup>
        <m:r>
          <w:rPr>
            <w:rFonts w:ascii="Cambria Math" w:hAnsi="Cambria Math"/>
          </w:rPr>
          <m:t>=15.18</m:t>
        </m:r>
      </m:oMath>
      <w:r w:rsidRPr="00CB10C3">
        <w:t>), translates to a potentially substantial increase in the probability of a wine being rated "superior" with higher alcohol content.  The fact that these derived features have a larger effect size compared to the single indicator "Rich" reinforces the value of having engineered features to represent key wine judgement criteria while incorporating more than one wine characteristic.</w:t>
      </w:r>
    </w:p>
    <w:p w14:paraId="6A1D9F21" w14:textId="07B00342" w:rsidR="00454261" w:rsidRDefault="00454261" w:rsidP="00CB10C3">
      <w:pPr>
        <w:pStyle w:val="ListParagraph"/>
        <w:numPr>
          <w:ilvl w:val="0"/>
          <w:numId w:val="1"/>
        </w:numPr>
        <w:spacing w:before="240" w:after="0"/>
        <w:rPr>
          <w:color w:val="FF0000"/>
        </w:rPr>
      </w:pPr>
      <w:r w:rsidRPr="00454261">
        <w:rPr>
          <w:color w:val="FF0000"/>
        </w:rPr>
        <w:t>Plotting the distribution of the random intercepts across varieties might help get a better sense of the variability.</w:t>
      </w:r>
    </w:p>
    <w:p w14:paraId="313843E9" w14:textId="43594FF9" w:rsidR="00720E73" w:rsidRDefault="00BA51AE" w:rsidP="00720E73">
      <w:pPr>
        <w:spacing w:before="240" w:after="0"/>
        <w:rPr>
          <w:color w:val="FF0000"/>
        </w:rPr>
      </w:pPr>
      <w:r>
        <w:rPr>
          <w:noProof/>
        </w:rPr>
        <w:drawing>
          <wp:inline distT="0" distB="0" distL="0" distR="0" wp14:anchorId="70BBFBB4" wp14:editId="6D7D789B">
            <wp:extent cx="6645910" cy="2682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2682875"/>
                    </a:xfrm>
                    <a:prstGeom prst="rect">
                      <a:avLst/>
                    </a:prstGeom>
                    <a:noFill/>
                    <a:ln>
                      <a:noFill/>
                    </a:ln>
                  </pic:spPr>
                </pic:pic>
              </a:graphicData>
            </a:graphic>
          </wp:inline>
        </w:drawing>
      </w:r>
    </w:p>
    <w:p w14:paraId="0693B53B" w14:textId="77777777" w:rsidR="002410C9" w:rsidRDefault="002410C9" w:rsidP="002410C9">
      <w:pPr>
        <w:spacing w:before="240" w:after="0"/>
        <w:rPr>
          <w:u w:val="single"/>
        </w:rPr>
      </w:pPr>
      <w:r>
        <w:rPr>
          <w:u w:val="single"/>
        </w:rPr>
        <w:t>INFERENCES</w:t>
      </w:r>
    </w:p>
    <w:p w14:paraId="31CD0A40" w14:textId="6F301CEF" w:rsidR="00BA51AE" w:rsidRPr="00A34A2B" w:rsidRDefault="002410C9" w:rsidP="002410C9">
      <w:pPr>
        <w:pStyle w:val="ListParagraph"/>
        <w:numPr>
          <w:ilvl w:val="0"/>
          <w:numId w:val="1"/>
        </w:numPr>
        <w:spacing w:after="0"/>
        <w:rPr>
          <w:u w:val="single"/>
        </w:rPr>
      </w:pPr>
      <w:r>
        <w:t>All trace plots appear akin to random noise. This suggests good mixing and random MCMC sampling with low bias covering most of the probable regions, evenly.</w:t>
      </w:r>
      <w:r w:rsidR="001C08CD">
        <w:t xml:space="preserve"> All chains arrived at the same random pattern indicating reliable convergence</w:t>
      </w:r>
      <w:r w:rsidR="00A34A2B">
        <w:t xml:space="preserve"> to stationarity suggesting that the target distribution was reached</w:t>
      </w:r>
      <w:r w:rsidR="001C08CD">
        <w:t>.</w:t>
      </w:r>
      <w:r w:rsidR="00AC7781">
        <w:t xml:space="preserve"> Thus, we can safely conclude that here, the parameter space has been sufficiently explored and that posterior distributions represent reliable estimates</w:t>
      </w:r>
      <w:r w:rsidR="00441A5F">
        <w:t>.</w:t>
      </w:r>
    </w:p>
    <w:p w14:paraId="4B0E7E87" w14:textId="2FCB00C1" w:rsidR="00A34A2B" w:rsidRDefault="006D39EB" w:rsidP="00AE4E51">
      <w:pPr>
        <w:pStyle w:val="ListParagraph"/>
        <w:numPr>
          <w:ilvl w:val="0"/>
          <w:numId w:val="1"/>
        </w:numPr>
        <w:spacing w:after="0"/>
      </w:pPr>
      <w:r>
        <w:t xml:space="preserve">The posterior distribution visualized results from the summary table obtained previously. For instance, based on the </w:t>
      </w:r>
      <w:r w:rsidR="00AE4E51">
        <w:t>credible interval</w:t>
      </w:r>
      <w:r>
        <w:t>, there is</w:t>
      </w:r>
      <w:r w:rsidR="00241E71" w:rsidRPr="00241E71">
        <w:t xml:space="preserve"> a 95% probability that the true value of the coefficient for price on a log scale</w:t>
      </w:r>
      <w:r>
        <w:t xml:space="preserve"> </w:t>
      </w:r>
      <w:r w:rsidR="00241E71" w:rsidRPr="00241E71">
        <w:t>lies within the range of 5.08 and 6.19</w:t>
      </w:r>
      <w:r>
        <w:t>, thereby suggesting a positive association between price and the log-odds of a "superior" rating.</w:t>
      </w:r>
      <w:r w:rsidR="00AE4E51">
        <w:t xml:space="preserve"> Converting from log scale to probability scale, here, a one unit increase in price would lead to an increase in the probability of wine being rated "superior" by a factor of anywhere between </w:t>
      </w:r>
      <m:oMath>
        <m:sSup>
          <m:sSupPr>
            <m:ctrlPr>
              <w:rPr>
                <w:rFonts w:ascii="Cambria Math" w:hAnsi="Cambria Math"/>
                <w:i/>
              </w:rPr>
            </m:ctrlPr>
          </m:sSupPr>
          <m:e>
            <m:r>
              <w:rPr>
                <w:rFonts w:ascii="Cambria Math" w:hAnsi="Cambria Math"/>
              </w:rPr>
              <m:t>e</m:t>
            </m:r>
          </m:e>
          <m:sup>
            <m:r>
              <w:rPr>
                <w:rFonts w:ascii="Cambria Math" w:hAnsi="Cambria Math"/>
              </w:rPr>
              <m:t>5.08</m:t>
            </m:r>
          </m:sup>
        </m:sSup>
        <m:r>
          <w:rPr>
            <w:rFonts w:ascii="Cambria Math" w:hAnsi="Cambria Math"/>
          </w:rPr>
          <m:t>≈161</m:t>
        </m:r>
      </m:oMath>
      <w:r w:rsidR="00AE4E51">
        <w:t xml:space="preserve"> and </w:t>
      </w:r>
      <m:oMath>
        <m:sSup>
          <m:sSupPr>
            <m:ctrlPr>
              <w:rPr>
                <w:rFonts w:ascii="Cambria Math" w:hAnsi="Cambria Math"/>
                <w:i/>
              </w:rPr>
            </m:ctrlPr>
          </m:sSupPr>
          <m:e>
            <m:r>
              <w:rPr>
                <w:rFonts w:ascii="Cambria Math" w:hAnsi="Cambria Math"/>
              </w:rPr>
              <m:t>e</m:t>
            </m:r>
          </m:e>
          <m:sup>
            <m:r>
              <w:rPr>
                <w:rFonts w:ascii="Cambria Math" w:hAnsi="Cambria Math"/>
              </w:rPr>
              <m:t>6.19</m:t>
            </m:r>
          </m:sup>
        </m:sSup>
        <m:r>
          <w:rPr>
            <w:rFonts w:ascii="Cambria Math" w:hAnsi="Cambria Math"/>
          </w:rPr>
          <m:t>≈488</m:t>
        </m:r>
      </m:oMath>
      <w:r w:rsidR="00AE4E51">
        <w:t xml:space="preserve"> times.</w:t>
      </w:r>
      <w:r w:rsidR="00874BD7">
        <w:t xml:space="preserve"> At first glance, these numbers seem super large. But upon deeper analysis, this is plausible because this increase of 161 – 488 is relative increase w.r.t some baseline and not absolute change. So, if the baseline probability of a wine being rated "superior" was low</w:t>
      </w:r>
      <w:r w:rsidR="000E5EB6">
        <w:t xml:space="preserve">, </w:t>
      </w:r>
      <w:r w:rsidR="00874BD7">
        <w:t xml:space="preserve">say 0.01, even a </w:t>
      </w:r>
      <w:r w:rsidR="0011511E">
        <w:t>180-fold</w:t>
      </w:r>
      <w:r w:rsidR="00874BD7">
        <w:t xml:space="preserve"> increase would only be a small absolute increase in probability </w:t>
      </w:r>
      <m:oMath>
        <m:r>
          <w:rPr>
            <w:rFonts w:ascii="Cambria Math" w:hAnsi="Cambria Math"/>
          </w:rPr>
          <m:t>=0.01×180=1.8%</m:t>
        </m:r>
      </m:oMath>
      <w:r w:rsidR="00874BD7">
        <w:rPr>
          <w:rFonts w:eastAsiaTheme="minorEastAsia"/>
        </w:rPr>
        <w:t>.</w:t>
      </w:r>
      <w:r w:rsidR="000E5EB6">
        <w:rPr>
          <w:rFonts w:eastAsiaTheme="minorEastAsia"/>
        </w:rPr>
        <w:t xml:space="preserve"> </w:t>
      </w:r>
      <w:r w:rsidR="000E5EB6">
        <w:t xml:space="preserve">Because the population parameter intercept was very negative (around -12) in the summary, it might be </w:t>
      </w:r>
      <w:r w:rsidR="002F3F54">
        <w:t>that</w:t>
      </w:r>
      <w:r w:rsidR="000E5EB6">
        <w:t xml:space="preserve"> baseline probability really is low.</w:t>
      </w:r>
    </w:p>
    <w:p w14:paraId="30C96BC1" w14:textId="52130D62" w:rsidR="00AC7781" w:rsidRDefault="00BF3AEF" w:rsidP="007F7A9B">
      <w:pPr>
        <w:pStyle w:val="ListParagraph"/>
        <w:numPr>
          <w:ilvl w:val="0"/>
          <w:numId w:val="1"/>
        </w:numPr>
        <w:spacing w:after="0"/>
      </w:pPr>
      <w:r>
        <w:t>Generally, i</w:t>
      </w:r>
      <w:r w:rsidR="007F7A9B">
        <w:t xml:space="preserve">f </w:t>
      </w:r>
      <w:r>
        <w:t>a</w:t>
      </w:r>
      <w:r w:rsidR="007F7A9B">
        <w:t xml:space="preserve"> distribution is centered away from </w:t>
      </w:r>
      <w:r>
        <w:t>0</w:t>
      </w:r>
      <w:r w:rsidR="007F7A9B">
        <w:t xml:space="preserve"> and the credible interval </w:t>
      </w:r>
      <w:r>
        <w:t>does not have</w:t>
      </w:r>
      <w:r w:rsidR="007F7A9B">
        <w:t xml:space="preserve"> </w:t>
      </w:r>
      <w:r>
        <w:t>0</w:t>
      </w:r>
      <w:r w:rsidR="007F7A9B">
        <w:t xml:space="preserve">, it suggests evidence for a non-zero effect of that variable. </w:t>
      </w:r>
      <w:r>
        <w:t>That is, t</w:t>
      </w:r>
      <w:r w:rsidR="007F7A9B">
        <w:t xml:space="preserve">he further the distribution is from </w:t>
      </w:r>
      <w:r>
        <w:t>0</w:t>
      </w:r>
      <w:r w:rsidR="007F7A9B">
        <w:t xml:space="preserve"> and the narrower the credible interval, the stronger the evidence</w:t>
      </w:r>
      <w:r>
        <w:t xml:space="preserve">. </w:t>
      </w:r>
      <w:sdt>
        <w:sdtPr>
          <w:id w:val="-991639260"/>
          <w:citation/>
        </w:sdtPr>
        <w:sdtContent>
          <w:r>
            <w:fldChar w:fldCharType="begin"/>
          </w:r>
          <w:r>
            <w:rPr>
              <w:lang w:val="en-GB"/>
            </w:rPr>
            <w:instrText xml:space="preserve"> CITATION jpa21 \l 2057 </w:instrText>
          </w:r>
          <w:r>
            <w:fldChar w:fldCharType="separate"/>
          </w:r>
          <w:r w:rsidRPr="00BF3AEF">
            <w:rPr>
              <w:noProof/>
              <w:lang w:val="en-GB"/>
            </w:rPr>
            <w:t>[1]</w:t>
          </w:r>
          <w:r>
            <w:fldChar w:fldCharType="end"/>
          </w:r>
        </w:sdtContent>
      </w:sdt>
      <w:sdt>
        <w:sdtPr>
          <w:id w:val="491456431"/>
          <w:citation/>
        </w:sdtPr>
        <w:sdtContent>
          <w:r>
            <w:fldChar w:fldCharType="begin"/>
          </w:r>
          <w:r>
            <w:rPr>
              <w:lang w:val="en-GB"/>
            </w:rPr>
            <w:instrText xml:space="preserve"> CITATION jso21 \l 2057 </w:instrText>
          </w:r>
          <w:r>
            <w:fldChar w:fldCharType="separate"/>
          </w:r>
          <w:r>
            <w:rPr>
              <w:noProof/>
              <w:lang w:val="en-GB"/>
            </w:rPr>
            <w:t xml:space="preserve"> </w:t>
          </w:r>
          <w:r w:rsidRPr="00BF3AEF">
            <w:rPr>
              <w:noProof/>
              <w:lang w:val="en-GB"/>
            </w:rPr>
            <w:t>[2]</w:t>
          </w:r>
          <w:r>
            <w:fldChar w:fldCharType="end"/>
          </w:r>
        </w:sdtContent>
      </w:sdt>
      <w:r w:rsidR="004E55FE">
        <w:t xml:space="preserve"> Bearing this in mind, it can be sees here that barring the joint effect of </w:t>
      </w:r>
      <w:r w:rsidR="004E55FE" w:rsidRPr="00CB10C3">
        <w:t>tfidf_tsne_1_norm</w:t>
      </w:r>
      <w:r w:rsidR="004E55FE">
        <w:t xml:space="preserve"> and</w:t>
      </w:r>
      <w:r w:rsidR="004E55FE" w:rsidRPr="00CB10C3">
        <w:t xml:space="preserve"> tfidf_tsne_2_norm</w:t>
      </w:r>
      <w:r w:rsidR="004E55FE">
        <w:t>, all others seem to</w:t>
      </w:r>
      <w:r w:rsidR="00B1068A">
        <w:t xml:space="preserve"> be having </w:t>
      </w:r>
      <w:r w:rsidR="00E15499">
        <w:t>significant</w:t>
      </w:r>
      <w:r w:rsidR="00B1068A">
        <w:t xml:space="preserve"> evidence</w:t>
      </w:r>
      <w:r w:rsidR="00E15499">
        <w:t xml:space="preserve"> against zero effect</w:t>
      </w:r>
      <w:r w:rsidR="004E55FE">
        <w:t>.</w:t>
      </w:r>
      <w:r w:rsidR="00EC19B6">
        <w:t xml:space="preserve"> That is, the chance that relationships (positive/negative) observed here between tannin content in wine, alcohol content, richness of the wine, its </w:t>
      </w:r>
      <w:r w:rsidR="0081641C">
        <w:t>price,</w:t>
      </w:r>
      <w:r w:rsidR="00EC19B6">
        <w:t xml:space="preserve"> and the log likelihood of it having an associated superior rating, is less likely to be due to random chance.</w:t>
      </w:r>
      <w:r w:rsidR="00506E9F">
        <w:t xml:space="preserve"> Of the predictors tried, the best ones (effect least due to chance</w:t>
      </w:r>
      <w:r w:rsidR="00C5477D">
        <w:t xml:space="preserve"> = more likely to be a real effect</w:t>
      </w:r>
      <w:r w:rsidR="00506E9F">
        <w:t xml:space="preserve">) seem to be the price of the wine, its alcohol content and </w:t>
      </w:r>
      <w:r w:rsidR="00C1701A">
        <w:t>quantity</w:t>
      </w:r>
      <w:r w:rsidR="00506E9F">
        <w:t xml:space="preserve"> of tannins in it.</w:t>
      </w:r>
    </w:p>
    <w:p w14:paraId="31318911" w14:textId="39DA0BEA" w:rsidR="004C56E5" w:rsidRDefault="00D45D36" w:rsidP="004C56E5">
      <w:pPr>
        <w:spacing w:after="0"/>
      </w:pPr>
      <w:r>
        <w:rPr>
          <w:noProof/>
        </w:rPr>
        <w:lastRenderedPageBreak/>
        <w:drawing>
          <wp:inline distT="0" distB="0" distL="0" distR="0" wp14:anchorId="7D07DFF4" wp14:editId="37FC0EE7">
            <wp:extent cx="6645910" cy="3477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477260"/>
                    </a:xfrm>
                    <a:prstGeom prst="rect">
                      <a:avLst/>
                    </a:prstGeom>
                  </pic:spPr>
                </pic:pic>
              </a:graphicData>
            </a:graphic>
          </wp:inline>
        </w:drawing>
      </w:r>
    </w:p>
    <w:p w14:paraId="6B286FB3" w14:textId="77777777" w:rsidR="004C56E5" w:rsidRDefault="004C56E5" w:rsidP="004C56E5">
      <w:pPr>
        <w:spacing w:before="240" w:after="0"/>
        <w:rPr>
          <w:u w:val="single"/>
        </w:rPr>
      </w:pPr>
      <w:r>
        <w:rPr>
          <w:u w:val="single"/>
        </w:rPr>
        <w:t>INFERENCES</w:t>
      </w:r>
    </w:p>
    <w:p w14:paraId="1A40897A" w14:textId="2D16D275" w:rsidR="004C56E5" w:rsidRDefault="004C56E5" w:rsidP="004C56E5">
      <w:pPr>
        <w:pStyle w:val="ListParagraph"/>
        <w:numPr>
          <w:ilvl w:val="0"/>
          <w:numId w:val="2"/>
        </w:numPr>
        <w:spacing w:after="0"/>
      </w:pPr>
      <w:r>
        <w:t xml:space="preserve">Each box in the plot represents the distribution of posterior draws for a specific </w:t>
      </w:r>
      <w:r>
        <w:t>wine</w:t>
      </w:r>
      <w:r>
        <w:t xml:space="preserve"> variety</w:t>
      </w:r>
      <w:r>
        <w:t>.</w:t>
      </w:r>
    </w:p>
    <w:p w14:paraId="609417F7" w14:textId="7DC0083D" w:rsidR="000F02E7" w:rsidRDefault="000F02E7" w:rsidP="003173C5">
      <w:pPr>
        <w:pStyle w:val="ListParagraph"/>
        <w:numPr>
          <w:ilvl w:val="0"/>
          <w:numId w:val="2"/>
        </w:numPr>
        <w:spacing w:after="0"/>
      </w:pPr>
      <w:r>
        <w:t xml:space="preserve">Had the intercepts been directly plotted on the y axis, this would have </w:t>
      </w:r>
      <w:r w:rsidR="00D45D36">
        <w:t xml:space="preserve">indicated </w:t>
      </w:r>
      <w:r w:rsidR="00D45D36">
        <w:t>the</w:t>
      </w:r>
      <w:r w:rsidR="00D45D36">
        <w:t xml:space="preserve"> per-variety</w:t>
      </w:r>
      <w:r w:rsidR="00D45D36">
        <w:t xml:space="preserve"> baseline log-odds of a wine being rated "superior" after accounting for the fixed effects in the model due to the predictor variables.</w:t>
      </w:r>
      <w:r w:rsidR="00D45D36">
        <w:t xml:space="preserve"> Since that might be harder to readily infer from, the log-odds </w:t>
      </w:r>
      <m:oMath>
        <m:r>
          <w:rPr>
            <w:rFonts w:ascii="Cambria Math" w:hAnsi="Cambria Math"/>
          </w:rPr>
          <m:t>(x)</m:t>
        </m:r>
      </m:oMath>
      <w:r w:rsidR="00D45D36">
        <w:t xml:space="preserve"> were converted to probabilities prior to plotting using the formula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5948C8">
        <w:rPr>
          <w:rFonts w:eastAsiaTheme="minorEastAsia"/>
        </w:rPr>
        <w:t>.</w:t>
      </w:r>
      <w:r w:rsidR="003173C5">
        <w:rPr>
          <w:rFonts w:eastAsiaTheme="minorEastAsia"/>
        </w:rPr>
        <w:t xml:space="preserve"> Thus now, the y-axis indicates the </w:t>
      </w:r>
      <w:r w:rsidR="003173C5">
        <w:t xml:space="preserve">baseline </w:t>
      </w:r>
      <w:r w:rsidR="003173C5">
        <w:t xml:space="preserve">probability that a wine of a particular variety gets </w:t>
      </w:r>
      <w:r w:rsidR="003173C5">
        <w:t>rated</w:t>
      </w:r>
      <w:r w:rsidR="003173C5">
        <w:t xml:space="preserve"> as</w:t>
      </w:r>
      <w:r w:rsidR="003173C5">
        <w:t xml:space="preserve"> "superior" after accounting for the fixed effects in the model due to the predictor variables.</w:t>
      </w:r>
    </w:p>
    <w:p w14:paraId="30B8D76C" w14:textId="0BFF9104" w:rsidR="0036124A" w:rsidRDefault="0036124A" w:rsidP="004C56E5">
      <w:pPr>
        <w:pStyle w:val="ListParagraph"/>
        <w:numPr>
          <w:ilvl w:val="0"/>
          <w:numId w:val="2"/>
        </w:numPr>
        <w:spacing w:after="0"/>
      </w:pPr>
      <w:r>
        <w:t xml:space="preserve">The median line of each boxplot </w:t>
      </w:r>
      <w:r>
        <w:t>indicates the central tendency of the effect of that variety on the intercept.</w:t>
      </w:r>
    </w:p>
    <w:p w14:paraId="5C7522AA" w14:textId="12EC9F06" w:rsidR="00D4160D" w:rsidRDefault="00D4160D" w:rsidP="00D4160D">
      <w:pPr>
        <w:pStyle w:val="ListParagraph"/>
        <w:numPr>
          <w:ilvl w:val="0"/>
          <w:numId w:val="2"/>
        </w:numPr>
        <w:spacing w:after="0"/>
      </w:pPr>
      <w:r>
        <w:t>The box represents the interquartile range (IQR) of the distribution</w:t>
      </w:r>
      <w:r>
        <w:t xml:space="preserve"> which contains the</w:t>
      </w:r>
      <w:r>
        <w:t xml:space="preserve"> middle 50% of the posterior draws</w:t>
      </w:r>
      <w:r>
        <w:t xml:space="preserve">. The </w:t>
      </w:r>
      <w:r>
        <w:t xml:space="preserve">bottom edge of the box </w:t>
      </w:r>
      <w:r>
        <w:t xml:space="preserve">marks the </w:t>
      </w:r>
      <w:r>
        <w:t>first quartile (Q1</w:t>
      </w:r>
      <w:proofErr w:type="gramStart"/>
      <w:r>
        <w:t>)</w:t>
      </w:r>
      <w:proofErr w:type="gramEnd"/>
      <w:r>
        <w:t xml:space="preserve"> and the top edge </w:t>
      </w:r>
      <w:r>
        <w:t>marks t</w:t>
      </w:r>
      <w:r>
        <w:t>he third quartile (Q3).</w:t>
      </w:r>
    </w:p>
    <w:p w14:paraId="73DFB389" w14:textId="4034FEB3" w:rsidR="000B7649" w:rsidRDefault="000B7649" w:rsidP="000B7649">
      <w:pPr>
        <w:pStyle w:val="ListParagraph"/>
        <w:numPr>
          <w:ilvl w:val="0"/>
          <w:numId w:val="2"/>
        </w:numPr>
        <w:spacing w:after="0"/>
      </w:pPr>
      <w:r>
        <w:t xml:space="preserve">The whiskers </w:t>
      </w:r>
      <w:r>
        <w:t>extend</w:t>
      </w:r>
      <w:r>
        <w:t xml:space="preserve"> from the box towards the tails of the distribution</w:t>
      </w:r>
      <w:r>
        <w:t xml:space="preserve"> such that</w:t>
      </w:r>
      <w:r>
        <w:t xml:space="preserve"> </w:t>
      </w:r>
      <w:r>
        <w:t xml:space="preserve">they extend to </w:t>
      </w:r>
      <w:r>
        <w:t xml:space="preserve">the most extreme data points </w:t>
      </w:r>
      <w:r>
        <w:t xml:space="preserve">that lie </w:t>
      </w:r>
      <w:r>
        <w:t xml:space="preserve">within </w:t>
      </w:r>
      <m:oMath>
        <m:r>
          <w:rPr>
            <w:rFonts w:ascii="Cambria Math" w:hAnsi="Cambria Math"/>
          </w:rPr>
          <m:t>1.5</m:t>
        </m:r>
        <m:r>
          <w:rPr>
            <w:rFonts w:ascii="Cambria Math" w:hAnsi="Cambria Math"/>
          </w:rPr>
          <m:t>×</m:t>
        </m:r>
        <m:r>
          <w:rPr>
            <w:rFonts w:ascii="Cambria Math" w:hAnsi="Cambria Math"/>
          </w:rPr>
          <m:t>IQR</m:t>
        </m:r>
      </m:oMath>
      <w:r>
        <w:t xml:space="preserve"> from the quartiles. Values </w:t>
      </w:r>
      <w:r>
        <w:t xml:space="preserve">outside this, are </w:t>
      </w:r>
      <w:r>
        <w:t>considered outliers.</w:t>
      </w:r>
    </w:p>
    <w:p w14:paraId="0A89021E" w14:textId="77777777" w:rsidR="008743CF" w:rsidRDefault="008552A0" w:rsidP="00900BC8">
      <w:pPr>
        <w:pStyle w:val="ListParagraph"/>
        <w:numPr>
          <w:ilvl w:val="0"/>
          <w:numId w:val="2"/>
        </w:numPr>
        <w:spacing w:after="0"/>
      </w:pPr>
      <w:r>
        <w:t xml:space="preserve">The </w:t>
      </w:r>
      <w:r w:rsidR="00900BC8">
        <w:t>3</w:t>
      </w:r>
      <w:r>
        <w:t xml:space="preserve"> wine varieties at the leftmost end of the figure (“</w:t>
      </w:r>
      <w:r w:rsidRPr="008552A0">
        <w:t>Gamay</w:t>
      </w:r>
      <w:r>
        <w:t>”, “</w:t>
      </w:r>
      <w:r w:rsidRPr="008552A0">
        <w:t>Cabernet Franc</w:t>
      </w:r>
      <w:r>
        <w:t>”, “</w:t>
      </w:r>
      <w:r w:rsidRPr="008552A0">
        <w:t>Red Blend</w:t>
      </w:r>
      <w:r>
        <w:t xml:space="preserve">”) are the ones with </w:t>
      </w:r>
      <w:r w:rsidR="008743CF">
        <w:t>the lowest probability of</w:t>
      </w:r>
      <w:r>
        <w:t xml:space="preserve"> </w:t>
      </w:r>
      <w:r w:rsidR="008743CF">
        <w:t xml:space="preserve">having wines </w:t>
      </w:r>
      <w:r>
        <w:t xml:space="preserve">be rated </w:t>
      </w:r>
      <w:r w:rsidR="008743CF">
        <w:t>as superior</w:t>
      </w:r>
      <w:r>
        <w:t xml:space="preserve"> with minimal variance (more </w:t>
      </w:r>
      <w:r w:rsidR="00900BC8">
        <w:t>certainty</w:t>
      </w:r>
      <w:r>
        <w:t>).</w:t>
      </w:r>
      <w:r w:rsidR="00900BC8">
        <w:t xml:space="preserve"> </w:t>
      </w:r>
    </w:p>
    <w:p w14:paraId="2815E9F6" w14:textId="77777777" w:rsidR="002A2B73" w:rsidRDefault="008743CF" w:rsidP="00900BC8">
      <w:pPr>
        <w:pStyle w:val="ListParagraph"/>
        <w:numPr>
          <w:ilvl w:val="0"/>
          <w:numId w:val="2"/>
        </w:numPr>
        <w:spacing w:after="0"/>
      </w:pPr>
      <w:r>
        <w:t>V</w:t>
      </w:r>
      <w:r w:rsidR="00900BC8">
        <w:t xml:space="preserve">arieties before </w:t>
      </w:r>
      <w:r>
        <w:t>the “Pg” variety (“</w:t>
      </w:r>
      <w:r w:rsidRPr="008743CF">
        <w:t>Petit Manseng</w:t>
      </w:r>
      <w:r>
        <w:t>”),</w:t>
      </w:r>
      <w:r w:rsidR="00900BC8">
        <w:t xml:space="preserve"> all have median intercept value below/very close to 0</w:t>
      </w:r>
      <w:r>
        <w:t>.5</w:t>
      </w:r>
      <w:r w:rsidR="00900BC8">
        <w:t>, meaning that</w:t>
      </w:r>
      <w:r w:rsidR="002A2B73">
        <w:t xml:space="preserve"> </w:t>
      </w:r>
      <w:r w:rsidR="00900BC8">
        <w:t xml:space="preserve">consequently suggests that the odds of these varieties of wines being rated high enough to be ranked as superior is low. </w:t>
      </w:r>
    </w:p>
    <w:p w14:paraId="593C669C" w14:textId="7D9BE972" w:rsidR="00755F6E" w:rsidRDefault="00900BC8" w:rsidP="00900BC8">
      <w:pPr>
        <w:pStyle w:val="ListParagraph"/>
        <w:numPr>
          <w:ilvl w:val="0"/>
          <w:numId w:val="2"/>
        </w:numPr>
        <w:spacing w:after="0"/>
      </w:pPr>
      <w:r>
        <w:t>The wine variety with the highest odds of being rated as superior is “</w:t>
      </w:r>
      <w:r w:rsidRPr="00900BC8">
        <w:t>Sylvaner</w:t>
      </w:r>
      <w:r>
        <w:t>” on the extreme right of the figure. It’s five number summary values as well as that of neighboring varieties (“</w:t>
      </w:r>
      <w:r w:rsidRPr="00900BC8">
        <w:t>Sparkling Blend</w:t>
      </w:r>
      <w:r>
        <w:t>”, “</w:t>
      </w:r>
      <w:r w:rsidRPr="00900BC8">
        <w:t>Cabernet Sauvignon</w:t>
      </w:r>
      <w:r>
        <w:t>”, “</w:t>
      </w:r>
      <w:r w:rsidRPr="00900BC8">
        <w:t>Pinot Blanc</w:t>
      </w:r>
      <w:r>
        <w:t>”</w:t>
      </w:r>
      <w:r w:rsidR="002A2B73">
        <w:t>, …, “</w:t>
      </w:r>
      <w:proofErr w:type="spellStart"/>
      <w:r w:rsidR="002A2B73" w:rsidRPr="002A2B73">
        <w:t>Tannat</w:t>
      </w:r>
      <w:proofErr w:type="spellEnd"/>
      <w:r w:rsidR="002A2B73" w:rsidRPr="002A2B73">
        <w:t>-Cabernet</w:t>
      </w:r>
      <w:r w:rsidR="002A2B73">
        <w:t>”</w:t>
      </w:r>
      <w:r>
        <w:t xml:space="preserve">) </w:t>
      </w:r>
      <w:r w:rsidR="008647D7">
        <w:t xml:space="preserve">are all higher than 50% probability and thus </w:t>
      </w:r>
      <w:r>
        <w:t xml:space="preserve">have discernably higher odds of being ranked as superior </w:t>
      </w:r>
      <w:r w:rsidR="00FD4085">
        <w:t>to</w:t>
      </w:r>
      <w:r>
        <w:t xml:space="preserve"> the varieties associated with </w:t>
      </w:r>
      <w:r w:rsidR="002A2B73">
        <w:t>the</w:t>
      </w:r>
      <w:r>
        <w:t xml:space="preserve"> boxplots at the extreme left end.</w:t>
      </w:r>
      <w:r w:rsidR="00FD4085">
        <w:t xml:space="preserve"> </w:t>
      </w:r>
      <w:r w:rsidR="00621F7C">
        <w:t xml:space="preserve">Thus, one may conclude that if one was to try wine of the </w:t>
      </w:r>
      <w:r w:rsidR="00621F7C">
        <w:t>“</w:t>
      </w:r>
      <w:r w:rsidR="00621F7C" w:rsidRPr="00900BC8">
        <w:t>Sylvaner</w:t>
      </w:r>
      <w:r w:rsidR="00621F7C">
        <w:t>”</w:t>
      </w:r>
      <w:r w:rsidR="00621F7C">
        <w:t xml:space="preserve">, </w:t>
      </w:r>
      <w:r w:rsidR="00621F7C">
        <w:t>(“</w:t>
      </w:r>
      <w:r w:rsidR="00621F7C" w:rsidRPr="00900BC8">
        <w:t>Sparkling Blend</w:t>
      </w:r>
      <w:r w:rsidR="00621F7C">
        <w:t>”, “</w:t>
      </w:r>
      <w:r w:rsidR="00621F7C" w:rsidRPr="00900BC8">
        <w:t>Cabernet Sauvignon</w:t>
      </w:r>
      <w:r w:rsidR="00621F7C">
        <w:t>”,</w:t>
      </w:r>
      <w:r w:rsidR="00621F7C">
        <w:t xml:space="preserve"> or</w:t>
      </w:r>
      <w:r w:rsidR="00621F7C">
        <w:t xml:space="preserve"> “</w:t>
      </w:r>
      <w:r w:rsidR="00621F7C" w:rsidRPr="00900BC8">
        <w:t>Pinot Blanc</w:t>
      </w:r>
      <w:r w:rsidR="00621F7C">
        <w:t>”</w:t>
      </w:r>
      <w:r w:rsidR="00621F7C">
        <w:t xml:space="preserve"> variety, it’s very likely that this was a highly rated wine. </w:t>
      </w:r>
      <w:r w:rsidR="00755F6E">
        <w:t>Overall, the results show that some wine varieties do indeed get ranked high more often than some others with few having very low odds of being ranked as superior.</w:t>
      </w:r>
    </w:p>
    <w:p w14:paraId="300E7BD7" w14:textId="1D9F6A11" w:rsidR="008552A0" w:rsidRDefault="004C3EE7" w:rsidP="004F3350">
      <w:pPr>
        <w:pStyle w:val="ListParagraph"/>
        <w:numPr>
          <w:ilvl w:val="0"/>
          <w:numId w:val="2"/>
        </w:numPr>
        <w:spacing w:after="0"/>
      </w:pPr>
      <w:r>
        <w:t xml:space="preserve">That said, wine ranking is based on extremely subjective views. This likely explains the relatively wide spread of distributions in most cases. It is also possible that opinions on some variety, especially the ones in the middle of the image </w:t>
      </w:r>
      <w:r w:rsidR="005D2F0E">
        <w:t xml:space="preserve">with some of the largest spreads, </w:t>
      </w:r>
      <w:r>
        <w:t>like “</w:t>
      </w:r>
      <w:r w:rsidRPr="004C3EE7">
        <w:t>White Blend</w:t>
      </w:r>
      <w:r>
        <w:t>” and “</w:t>
      </w:r>
      <w:r w:rsidRPr="004C3EE7">
        <w:t>Syrah</w:t>
      </w:r>
      <w:r>
        <w:t xml:space="preserve">” are very divided with both ardent fans and </w:t>
      </w:r>
      <w:r w:rsidR="00C65656">
        <w:t>tough critics.</w:t>
      </w:r>
      <w:r>
        <w:t xml:space="preserve"> </w:t>
      </w:r>
    </w:p>
    <w:p w14:paraId="3FF3ED1F" w14:textId="7B66900B" w:rsidR="004F3350" w:rsidRDefault="00443970" w:rsidP="00444913">
      <w:pPr>
        <w:spacing w:after="0"/>
        <w:jc w:val="center"/>
      </w:pPr>
      <w:r>
        <w:rPr>
          <w:noProof/>
        </w:rPr>
        <w:lastRenderedPageBreak/>
        <w:drawing>
          <wp:inline distT="0" distB="0" distL="0" distR="0" wp14:anchorId="26520663" wp14:editId="45CC42E6">
            <wp:extent cx="6415677" cy="2277059"/>
            <wp:effectExtent l="0" t="0" r="444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2158" cy="2293556"/>
                    </a:xfrm>
                    <a:prstGeom prst="rect">
                      <a:avLst/>
                    </a:prstGeom>
                    <a:noFill/>
                  </pic:spPr>
                </pic:pic>
              </a:graphicData>
            </a:graphic>
          </wp:inline>
        </w:drawing>
      </w:r>
    </w:p>
    <w:p w14:paraId="13E2FD8D" w14:textId="3CFB924E" w:rsidR="00900465" w:rsidRDefault="00444913" w:rsidP="00444913">
      <w:pPr>
        <w:spacing w:after="0"/>
        <w:jc w:val="center"/>
      </w:pPr>
      <w:r>
        <w:rPr>
          <w:noProof/>
        </w:rPr>
        <w:drawing>
          <wp:inline distT="0" distB="0" distL="0" distR="0" wp14:anchorId="3D56BA1C" wp14:editId="3A7A5CE7">
            <wp:extent cx="6394862" cy="226967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8357" cy="2295756"/>
                    </a:xfrm>
                    <a:prstGeom prst="rect">
                      <a:avLst/>
                    </a:prstGeom>
                    <a:noFill/>
                  </pic:spPr>
                </pic:pic>
              </a:graphicData>
            </a:graphic>
          </wp:inline>
        </w:drawing>
      </w:r>
    </w:p>
    <w:p w14:paraId="5C51DCCA" w14:textId="77777777" w:rsidR="008E1E38" w:rsidRDefault="008E1E38" w:rsidP="008E1E38">
      <w:pPr>
        <w:spacing w:before="240" w:after="0"/>
        <w:rPr>
          <w:u w:val="single"/>
        </w:rPr>
      </w:pPr>
      <w:r>
        <w:rPr>
          <w:u w:val="single"/>
        </w:rPr>
        <w:t>INFERENCES</w:t>
      </w:r>
    </w:p>
    <w:p w14:paraId="58FB532E" w14:textId="30367749" w:rsidR="001526F7" w:rsidRDefault="008E1E38" w:rsidP="00C11DCB">
      <w:pPr>
        <w:pStyle w:val="ListParagraph"/>
        <w:numPr>
          <w:ilvl w:val="0"/>
          <w:numId w:val="2"/>
        </w:numPr>
        <w:spacing w:after="0"/>
      </w:pPr>
      <w:r>
        <w:t>Comparing the proportion of wines that were rated superior as per observed data and the baseline posterior probability of wines getting rated as superior based on the random effects intercept</w:t>
      </w:r>
      <w:r w:rsidR="001526F7">
        <w:t>, there seems to be an interesting effect. Many varieties that had a higher proportion of superior rated wines in the observed data was assigned a lower baseline probability after fitting the hierarchical logistic regression model. Some varieties like “</w:t>
      </w:r>
      <w:r w:rsidR="001526F7" w:rsidRPr="001526F7">
        <w:t>Cabernet Sauvignon</w:t>
      </w:r>
      <w:r w:rsidR="001526F7">
        <w:t>”</w:t>
      </w:r>
      <w:r w:rsidR="00900465">
        <w:t xml:space="preserve"> (Sn)</w:t>
      </w:r>
      <w:r w:rsidR="001526F7">
        <w:t xml:space="preserve"> that had 9 associated data points in the data set with none of them being ranked superior, have been associated with high baseline log-odds of getting ranked as superior.</w:t>
      </w:r>
      <w:r w:rsidR="00642B72">
        <w:t xml:space="preserve"> This is likely because, the comparison here is apples to oranges. </w:t>
      </w:r>
      <w:r w:rsidR="00C11DCB">
        <w:t xml:space="preserve">In the figure, the right plot </w:t>
      </w:r>
      <w:r w:rsidR="00C11DCB" w:rsidRPr="00C11DCB">
        <w:t>shows observed proportion of "superior" wines for each variety in the data</w:t>
      </w:r>
      <w:r w:rsidR="00C11DCB">
        <w:t xml:space="preserve">, but the left plot shows </w:t>
      </w:r>
      <w:r w:rsidR="00C11DCB">
        <w:t>the baseline probability</w:t>
      </w:r>
      <w:r w:rsidR="00C11DCB">
        <w:t xml:space="preserve"> </w:t>
      </w:r>
      <w:r w:rsidR="00C11DCB">
        <w:t>(converted from log-odds) of a wine being rated "superior" for each variety based on the model's estimates</w:t>
      </w:r>
      <w:r w:rsidR="00C11DCB">
        <w:t xml:space="preserve"> such that the </w:t>
      </w:r>
      <w:r w:rsidR="00C11DCB" w:rsidRPr="00C11DCB">
        <w:t>x-axis reflects the grape variety's influence on the intercept (baseline log-odds) after accounting for fixed effects in the model.</w:t>
      </w:r>
    </w:p>
    <w:p w14:paraId="4E75B88F" w14:textId="580528CE" w:rsidR="00E51035" w:rsidRPr="00241E71" w:rsidRDefault="001526F7" w:rsidP="004F3350">
      <w:pPr>
        <w:pStyle w:val="ListParagraph"/>
        <w:numPr>
          <w:ilvl w:val="0"/>
          <w:numId w:val="2"/>
        </w:numPr>
        <w:spacing w:after="0"/>
      </w:pPr>
      <w:r>
        <w:t xml:space="preserve"> </w:t>
      </w:r>
    </w:p>
    <w:sectPr w:rsidR="00E51035" w:rsidRPr="00241E71" w:rsidSect="00EC71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2CE"/>
    <w:multiLevelType w:val="hybridMultilevel"/>
    <w:tmpl w:val="5C42BFBE"/>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461EA9"/>
    <w:multiLevelType w:val="hybridMultilevel"/>
    <w:tmpl w:val="2EDE5FB6"/>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62305046">
    <w:abstractNumId w:val="1"/>
  </w:num>
  <w:num w:numId="2" w16cid:durableId="48077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E0"/>
    <w:rsid w:val="000905FD"/>
    <w:rsid w:val="000B7649"/>
    <w:rsid w:val="000C04E8"/>
    <w:rsid w:val="000D35CA"/>
    <w:rsid w:val="000E5EB6"/>
    <w:rsid w:val="000F02E7"/>
    <w:rsid w:val="0011511E"/>
    <w:rsid w:val="001526F7"/>
    <w:rsid w:val="001C08CD"/>
    <w:rsid w:val="001E2C3E"/>
    <w:rsid w:val="00235E51"/>
    <w:rsid w:val="002410C9"/>
    <w:rsid w:val="00241E71"/>
    <w:rsid w:val="002A2B73"/>
    <w:rsid w:val="002F3F54"/>
    <w:rsid w:val="003173C5"/>
    <w:rsid w:val="00341A97"/>
    <w:rsid w:val="0035540D"/>
    <w:rsid w:val="0036124A"/>
    <w:rsid w:val="00372811"/>
    <w:rsid w:val="003B4004"/>
    <w:rsid w:val="003C4CB7"/>
    <w:rsid w:val="003C7A81"/>
    <w:rsid w:val="0043436A"/>
    <w:rsid w:val="00441A5F"/>
    <w:rsid w:val="00443970"/>
    <w:rsid w:val="00444913"/>
    <w:rsid w:val="004512D5"/>
    <w:rsid w:val="00454261"/>
    <w:rsid w:val="004C3EE7"/>
    <w:rsid w:val="004C56E5"/>
    <w:rsid w:val="004E55FE"/>
    <w:rsid w:val="004F3350"/>
    <w:rsid w:val="00506E9F"/>
    <w:rsid w:val="005948C8"/>
    <w:rsid w:val="005D2F0E"/>
    <w:rsid w:val="005F428E"/>
    <w:rsid w:val="00621F7C"/>
    <w:rsid w:val="00642B72"/>
    <w:rsid w:val="006D39EB"/>
    <w:rsid w:val="00720E73"/>
    <w:rsid w:val="00731B9C"/>
    <w:rsid w:val="00733398"/>
    <w:rsid w:val="00755F6E"/>
    <w:rsid w:val="007A54FC"/>
    <w:rsid w:val="007F7A9B"/>
    <w:rsid w:val="0081641C"/>
    <w:rsid w:val="008552A0"/>
    <w:rsid w:val="008647D7"/>
    <w:rsid w:val="008743CF"/>
    <w:rsid w:val="00874BD7"/>
    <w:rsid w:val="008A2B7E"/>
    <w:rsid w:val="008E1E38"/>
    <w:rsid w:val="00900465"/>
    <w:rsid w:val="00900BC8"/>
    <w:rsid w:val="0098615F"/>
    <w:rsid w:val="009D5CCF"/>
    <w:rsid w:val="00A225B0"/>
    <w:rsid w:val="00A34A2B"/>
    <w:rsid w:val="00A62AE0"/>
    <w:rsid w:val="00A97D50"/>
    <w:rsid w:val="00AB598A"/>
    <w:rsid w:val="00AC7781"/>
    <w:rsid w:val="00AE4D28"/>
    <w:rsid w:val="00AE4E51"/>
    <w:rsid w:val="00B1068A"/>
    <w:rsid w:val="00B534BE"/>
    <w:rsid w:val="00BA51AE"/>
    <w:rsid w:val="00BF3AEF"/>
    <w:rsid w:val="00C11DCB"/>
    <w:rsid w:val="00C1701A"/>
    <w:rsid w:val="00C52D32"/>
    <w:rsid w:val="00C5477D"/>
    <w:rsid w:val="00C65656"/>
    <w:rsid w:val="00CB10C3"/>
    <w:rsid w:val="00D4160D"/>
    <w:rsid w:val="00D45D36"/>
    <w:rsid w:val="00D652E2"/>
    <w:rsid w:val="00DC1234"/>
    <w:rsid w:val="00DC25AB"/>
    <w:rsid w:val="00E15499"/>
    <w:rsid w:val="00E51035"/>
    <w:rsid w:val="00EC19B6"/>
    <w:rsid w:val="00EC715D"/>
    <w:rsid w:val="00F852EA"/>
    <w:rsid w:val="00FD4085"/>
    <w:rsid w:val="00FE54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3E08"/>
  <w15:chartTrackingRefBased/>
  <w15:docId w15:val="{79ABA1F3-C877-4E3E-B15E-475E8F30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pacing w:val="-10"/>
        <w:kern w:val="28"/>
        <w:sz w:val="22"/>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81">
    <w:name w:val="sc81"/>
    <w:basedOn w:val="DefaultParagraphFont"/>
    <w:rsid w:val="00EC715D"/>
    <w:rPr>
      <w:rFonts w:ascii="Courier New" w:hAnsi="Courier New" w:cs="Courier New" w:hint="default"/>
      <w:b/>
      <w:bCs w:val="0"/>
      <w:color w:val="000080"/>
      <w:sz w:val="20"/>
      <w:szCs w:val="20"/>
    </w:rPr>
  </w:style>
  <w:style w:type="character" w:customStyle="1" w:styleId="sc0">
    <w:name w:val="sc0"/>
    <w:basedOn w:val="DefaultParagraphFont"/>
    <w:rsid w:val="00EC715D"/>
    <w:rPr>
      <w:rFonts w:ascii="Courier New" w:hAnsi="Courier New" w:cs="Courier New" w:hint="default"/>
      <w:color w:val="000000"/>
      <w:sz w:val="20"/>
      <w:szCs w:val="20"/>
    </w:rPr>
  </w:style>
  <w:style w:type="character" w:customStyle="1" w:styleId="sc9">
    <w:name w:val="sc9"/>
    <w:basedOn w:val="DefaultParagraphFont"/>
    <w:rsid w:val="00EC715D"/>
    <w:rPr>
      <w:rFonts w:ascii="Courier New" w:hAnsi="Courier New" w:cs="Courier New" w:hint="default"/>
      <w:color w:val="000000"/>
      <w:sz w:val="20"/>
      <w:szCs w:val="20"/>
    </w:rPr>
  </w:style>
  <w:style w:type="character" w:customStyle="1" w:styleId="sc31">
    <w:name w:val="sc31"/>
    <w:basedOn w:val="DefaultParagraphFont"/>
    <w:rsid w:val="00EC715D"/>
    <w:rPr>
      <w:rFonts w:ascii="Courier New" w:hAnsi="Courier New" w:cs="Courier New" w:hint="default"/>
      <w:color w:val="8000FF"/>
      <w:sz w:val="20"/>
      <w:szCs w:val="20"/>
    </w:rPr>
  </w:style>
  <w:style w:type="character" w:customStyle="1" w:styleId="sc51">
    <w:name w:val="sc51"/>
    <w:basedOn w:val="DefaultParagraphFont"/>
    <w:rsid w:val="00EC715D"/>
    <w:rPr>
      <w:rFonts w:ascii="Courier New" w:hAnsi="Courier New" w:cs="Courier New" w:hint="default"/>
      <w:color w:val="FF8000"/>
      <w:sz w:val="20"/>
      <w:szCs w:val="20"/>
    </w:rPr>
  </w:style>
  <w:style w:type="character" w:customStyle="1" w:styleId="sc41">
    <w:name w:val="sc41"/>
    <w:basedOn w:val="DefaultParagraphFont"/>
    <w:rsid w:val="0043436A"/>
    <w:rPr>
      <w:rFonts w:ascii="Courier New" w:hAnsi="Courier New" w:cs="Courier New" w:hint="default"/>
      <w:color w:val="0080FF"/>
      <w:sz w:val="20"/>
      <w:szCs w:val="20"/>
    </w:rPr>
  </w:style>
  <w:style w:type="character" w:customStyle="1" w:styleId="sc101">
    <w:name w:val="sc101"/>
    <w:basedOn w:val="DefaultParagraphFont"/>
    <w:rsid w:val="0043436A"/>
    <w:rPr>
      <w:rFonts w:ascii="Courier New" w:hAnsi="Courier New" w:cs="Courier New" w:hint="default"/>
      <w:color w:val="804000"/>
      <w:sz w:val="20"/>
      <w:szCs w:val="20"/>
    </w:rPr>
  </w:style>
  <w:style w:type="paragraph" w:styleId="ListParagraph">
    <w:name w:val="List Paragraph"/>
    <w:basedOn w:val="Normal"/>
    <w:uiPriority w:val="34"/>
    <w:qFormat/>
    <w:rsid w:val="00CB10C3"/>
    <w:pPr>
      <w:ind w:left="720"/>
      <w:contextualSpacing/>
    </w:pPr>
  </w:style>
  <w:style w:type="character" w:styleId="PlaceholderText">
    <w:name w:val="Placeholder Text"/>
    <w:basedOn w:val="DefaultParagraphFont"/>
    <w:uiPriority w:val="99"/>
    <w:semiHidden/>
    <w:rsid w:val="00874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43867">
      <w:bodyDiv w:val="1"/>
      <w:marLeft w:val="0"/>
      <w:marRight w:val="0"/>
      <w:marTop w:val="0"/>
      <w:marBottom w:val="0"/>
      <w:divBdr>
        <w:top w:val="none" w:sz="0" w:space="0" w:color="auto"/>
        <w:left w:val="none" w:sz="0" w:space="0" w:color="auto"/>
        <w:bottom w:val="none" w:sz="0" w:space="0" w:color="auto"/>
        <w:right w:val="none" w:sz="0" w:space="0" w:color="auto"/>
      </w:divBdr>
      <w:divsChild>
        <w:div w:id="663246194">
          <w:marLeft w:val="0"/>
          <w:marRight w:val="0"/>
          <w:marTop w:val="0"/>
          <w:marBottom w:val="0"/>
          <w:divBdr>
            <w:top w:val="none" w:sz="0" w:space="0" w:color="auto"/>
            <w:left w:val="none" w:sz="0" w:space="0" w:color="auto"/>
            <w:bottom w:val="none" w:sz="0" w:space="0" w:color="auto"/>
            <w:right w:val="none" w:sz="0" w:space="0" w:color="auto"/>
          </w:divBdr>
          <w:divsChild>
            <w:div w:id="159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040">
      <w:bodyDiv w:val="1"/>
      <w:marLeft w:val="0"/>
      <w:marRight w:val="0"/>
      <w:marTop w:val="0"/>
      <w:marBottom w:val="0"/>
      <w:divBdr>
        <w:top w:val="none" w:sz="0" w:space="0" w:color="auto"/>
        <w:left w:val="none" w:sz="0" w:space="0" w:color="auto"/>
        <w:bottom w:val="none" w:sz="0" w:space="0" w:color="auto"/>
        <w:right w:val="none" w:sz="0" w:space="0" w:color="auto"/>
      </w:divBdr>
    </w:div>
    <w:div w:id="757100531">
      <w:bodyDiv w:val="1"/>
      <w:marLeft w:val="0"/>
      <w:marRight w:val="0"/>
      <w:marTop w:val="0"/>
      <w:marBottom w:val="0"/>
      <w:divBdr>
        <w:top w:val="none" w:sz="0" w:space="0" w:color="auto"/>
        <w:left w:val="none" w:sz="0" w:space="0" w:color="auto"/>
        <w:bottom w:val="none" w:sz="0" w:space="0" w:color="auto"/>
        <w:right w:val="none" w:sz="0" w:space="0" w:color="auto"/>
      </w:divBdr>
    </w:div>
    <w:div w:id="888763076">
      <w:bodyDiv w:val="1"/>
      <w:marLeft w:val="0"/>
      <w:marRight w:val="0"/>
      <w:marTop w:val="0"/>
      <w:marBottom w:val="0"/>
      <w:divBdr>
        <w:top w:val="none" w:sz="0" w:space="0" w:color="auto"/>
        <w:left w:val="none" w:sz="0" w:space="0" w:color="auto"/>
        <w:bottom w:val="none" w:sz="0" w:space="0" w:color="auto"/>
        <w:right w:val="none" w:sz="0" w:space="0" w:color="auto"/>
      </w:divBdr>
    </w:div>
    <w:div w:id="1062681906">
      <w:bodyDiv w:val="1"/>
      <w:marLeft w:val="0"/>
      <w:marRight w:val="0"/>
      <w:marTop w:val="0"/>
      <w:marBottom w:val="0"/>
      <w:divBdr>
        <w:top w:val="none" w:sz="0" w:space="0" w:color="auto"/>
        <w:left w:val="none" w:sz="0" w:space="0" w:color="auto"/>
        <w:bottom w:val="none" w:sz="0" w:space="0" w:color="auto"/>
        <w:right w:val="none" w:sz="0" w:space="0" w:color="auto"/>
      </w:divBdr>
      <w:divsChild>
        <w:div w:id="712077064">
          <w:marLeft w:val="0"/>
          <w:marRight w:val="0"/>
          <w:marTop w:val="0"/>
          <w:marBottom w:val="0"/>
          <w:divBdr>
            <w:top w:val="none" w:sz="0" w:space="0" w:color="auto"/>
            <w:left w:val="none" w:sz="0" w:space="0" w:color="auto"/>
            <w:bottom w:val="none" w:sz="0" w:space="0" w:color="auto"/>
            <w:right w:val="none" w:sz="0" w:space="0" w:color="auto"/>
          </w:divBdr>
        </w:div>
      </w:divsChild>
    </w:div>
    <w:div w:id="1652901430">
      <w:bodyDiv w:val="1"/>
      <w:marLeft w:val="0"/>
      <w:marRight w:val="0"/>
      <w:marTop w:val="0"/>
      <w:marBottom w:val="0"/>
      <w:divBdr>
        <w:top w:val="none" w:sz="0" w:space="0" w:color="auto"/>
        <w:left w:val="none" w:sz="0" w:space="0" w:color="auto"/>
        <w:bottom w:val="none" w:sz="0" w:space="0" w:color="auto"/>
        <w:right w:val="none" w:sz="0" w:space="0" w:color="auto"/>
      </w:divBdr>
      <w:divsChild>
        <w:div w:id="153032174">
          <w:marLeft w:val="0"/>
          <w:marRight w:val="0"/>
          <w:marTop w:val="0"/>
          <w:marBottom w:val="0"/>
          <w:divBdr>
            <w:top w:val="none" w:sz="0" w:space="0" w:color="auto"/>
            <w:left w:val="none" w:sz="0" w:space="0" w:color="auto"/>
            <w:bottom w:val="none" w:sz="0" w:space="0" w:color="auto"/>
            <w:right w:val="none" w:sz="0" w:space="0" w:color="auto"/>
          </w:divBdr>
        </w:div>
      </w:divsChild>
    </w:div>
    <w:div w:id="1710295455">
      <w:bodyDiv w:val="1"/>
      <w:marLeft w:val="0"/>
      <w:marRight w:val="0"/>
      <w:marTop w:val="0"/>
      <w:marBottom w:val="0"/>
      <w:divBdr>
        <w:top w:val="none" w:sz="0" w:space="0" w:color="auto"/>
        <w:left w:val="none" w:sz="0" w:space="0" w:color="auto"/>
        <w:bottom w:val="none" w:sz="0" w:space="0" w:color="auto"/>
        <w:right w:val="none" w:sz="0" w:space="0" w:color="auto"/>
      </w:divBdr>
    </w:div>
    <w:div w:id="1943339396">
      <w:bodyDiv w:val="1"/>
      <w:marLeft w:val="0"/>
      <w:marRight w:val="0"/>
      <w:marTop w:val="0"/>
      <w:marBottom w:val="0"/>
      <w:divBdr>
        <w:top w:val="none" w:sz="0" w:space="0" w:color="auto"/>
        <w:left w:val="none" w:sz="0" w:space="0" w:color="auto"/>
        <w:bottom w:val="none" w:sz="0" w:space="0" w:color="auto"/>
        <w:right w:val="none" w:sz="0" w:space="0" w:color="auto"/>
      </w:divBdr>
    </w:div>
    <w:div w:id="196360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jpa21</b:Tag>
    <b:SourceType>InternetSite</b:SourceType>
    <b:Guid>{6DCCEBFF-4B28-430B-BC23-86357A690512}</b:Guid>
    <b:Author>
      <b:Author>
        <b:NameList>
          <b:Person>
            <b:Last>jpalm</b:Last>
          </b:Person>
        </b:NameList>
      </b:Author>
    </b:Author>
    <b:Title>Exclusion of 0 in 95% Credible Interval</b:Title>
    <b:ProductionCompany>StackExchange</b:ProductionCompany>
    <b:Year>2021</b:Year>
    <b:Month>July</b:Month>
    <b:Day>2</b:Day>
    <b:YearAccessed>2024</b:YearAccessed>
    <b:MonthAccessed>April</b:MonthAccessed>
    <b:DayAccessed>5</b:DayAccessed>
    <b:URL>https://stats.stackexchange.com/questions/533023/exclusion-of-0-in-95-credible-interval</b:URL>
    <b:RefOrder>1</b:RefOrder>
  </b:Source>
  <b:Source>
    <b:Tag>jso21</b:Tag>
    <b:SourceType>InternetSite</b:SourceType>
    <b:Guid>{2E03F971-195A-4ED5-807E-6A7740971CFC}</b:Guid>
    <b:Author>
      <b:Author>
        <b:Corporate>jsocolar et al.</b:Corporate>
      </b:Author>
    </b:Author>
    <b:Title>Bayesian credible intervals: Significant compared to what?</b:Title>
    <b:ProductionCompany>Stan</b:ProductionCompany>
    <b:Year>2021</b:Year>
    <b:Month>May</b:Month>
    <b:YearAccessed>2024</b:YearAccessed>
    <b:MonthAccessed>April</b:MonthAccessed>
    <b:DayAccessed>5</b:DayAccessed>
    <b:URL>https://discourse.mc-stan.org/t/bayesian-credible-intervals-significant-compared-to-what/22700</b:URL>
    <b:RefOrder>2</b:RefOrder>
  </b:Source>
</b:Sources>
</file>

<file path=customXml/itemProps1.xml><?xml version="1.0" encoding="utf-8"?>
<ds:datastoreItem xmlns:ds="http://schemas.openxmlformats.org/officeDocument/2006/customXml" ds:itemID="{79F2FA9E-55CB-4334-8C7B-D128575E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73</cp:revision>
  <dcterms:created xsi:type="dcterms:W3CDTF">2024-05-05T02:42:00Z</dcterms:created>
  <dcterms:modified xsi:type="dcterms:W3CDTF">2024-05-05T17:00:00Z</dcterms:modified>
</cp:coreProperties>
</file>