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291A" w14:textId="08D0977C" w:rsidR="00372811" w:rsidRDefault="000C04E8" w:rsidP="001E2C3E">
      <w:pPr>
        <w:jc w:val="center"/>
        <w:rPr>
          <w:b/>
          <w:bCs w:val="0"/>
        </w:rPr>
      </w:pPr>
      <w:bookmarkStart w:id="0" w:name="_Hlk165865364"/>
      <w:bookmarkEnd w:id="0"/>
      <w:r>
        <w:rPr>
          <w:b/>
          <w:bCs w:val="0"/>
        </w:rPr>
        <w:t>INFERENCES</w:t>
      </w:r>
    </w:p>
    <w:p w14:paraId="19170C86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&gt;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prior_summary</w:t>
      </w:r>
      <w:proofErr w:type="spellEnd"/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fit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24482DAC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prior     </w:t>
      </w:r>
      <w:r w:rsidRPr="0025563A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class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      </w:t>
      </w:r>
      <w:proofErr w:type="spellStart"/>
      <w:r w:rsidRPr="0025563A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coef</w:t>
      </w:r>
      <w:proofErr w:type="spellEnd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group resp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dpar</w:t>
      </w:r>
      <w:proofErr w:type="spellEnd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nlpar</w:t>
      </w:r>
      <w:proofErr w:type="spellEnd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lb</w:t>
      </w:r>
      <w:proofErr w:type="spellEnd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ub</w:t>
      </w:r>
      <w:proofErr w:type="spellEnd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</w:t>
      </w:r>
      <w:r w:rsidRPr="0025563A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source</w:t>
      </w:r>
    </w:p>
    <w:p w14:paraId="000CF3C8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                                                                    user</w:t>
      </w:r>
    </w:p>
    <w:p w14:paraId="0BF10066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                      alcohol                           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37A8FA23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                         </w:t>
      </w:r>
      <w:r w:rsidRPr="0025563A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body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       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6890D0DF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                  price_log10                           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16A9DF91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             price_log10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25563A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body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       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0DF28E60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price_log10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tfidf_tsne_1_norm                           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2D4CC467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                         Rich                           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751780DA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                       tannin                           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21B71871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b             tfidf_tsne_1_norm                           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08317A99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student_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t</w:t>
      </w:r>
      <w:proofErr w:type="spellEnd"/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3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2.5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Intercept                                                                  default</w:t>
      </w:r>
    </w:p>
    <w:p w14:paraId="6D39075C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student_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t</w:t>
      </w:r>
      <w:proofErr w:type="spellEnd"/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3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2.5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spellStart"/>
      <w:r w:rsidRPr="0025563A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sd</w:t>
      </w:r>
      <w:proofErr w:type="spellEnd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                                   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default</w:t>
      </w:r>
    </w:p>
    <w:p w14:paraId="3FDC5513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student_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t</w:t>
      </w:r>
      <w:proofErr w:type="spellEnd"/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3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2.5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spellStart"/>
      <w:r w:rsidRPr="0025563A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sd</w:t>
      </w:r>
      <w:proofErr w:type="spellEnd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           variety                 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02B88F1A" w14:textId="77777777" w:rsidR="0025563A" w:rsidRPr="0025563A" w:rsidRDefault="0025563A" w:rsidP="0025563A">
      <w:pPr>
        <w:shd w:val="clear" w:color="auto" w:fill="FFFFFF"/>
        <w:spacing w:after="0" w:line="240" w:lineRule="auto"/>
        <w:rPr>
          <w:rFonts w:eastAsia="Times New Roman"/>
          <w:bCs w:val="0"/>
          <w:spacing w:val="0"/>
          <w:kern w:val="0"/>
          <w:sz w:val="16"/>
          <w:szCs w:val="16"/>
          <w14:ligatures w14:val="none"/>
        </w:rPr>
      </w:pP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student_</w:t>
      </w:r>
      <w:proofErr w:type="gramStart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t</w:t>
      </w:r>
      <w:proofErr w:type="spellEnd"/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3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2.5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</w:t>
      </w:r>
      <w:proofErr w:type="spellStart"/>
      <w:r w:rsidRPr="0025563A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sd</w:t>
      </w:r>
      <w:proofErr w:type="spellEnd"/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 Intercept variety                  </w:t>
      </w:r>
      <w:r w:rsidRPr="0025563A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25563A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vectorized</w:t>
      </w:r>
      <w:r w:rsidRPr="0025563A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0E6DBB10" w14:textId="4F3EE6CA" w:rsidR="00BE033F" w:rsidRPr="00BE033F" w:rsidRDefault="00BE033F" w:rsidP="00BE033F">
      <w:pPr>
        <w:spacing w:before="240" w:after="0"/>
        <w:rPr>
          <w:u w:val="single"/>
        </w:rPr>
      </w:pPr>
      <w:r>
        <w:rPr>
          <w:u w:val="single"/>
        </w:rPr>
        <w:t>INFERENCES</w:t>
      </w:r>
    </w:p>
    <w:p w14:paraId="394E1999" w14:textId="4B86D387" w:rsidR="00B20860" w:rsidRDefault="005F428E" w:rsidP="00BE033F">
      <w:pPr>
        <w:pStyle w:val="ListParagraph"/>
        <w:numPr>
          <w:ilvl w:val="0"/>
          <w:numId w:val="1"/>
        </w:numPr>
      </w:pPr>
      <w:r w:rsidRPr="005F428E">
        <w:t>The model has assumed that the random effect intercept follows a Student's T distribution.</w:t>
      </w:r>
    </w:p>
    <w:p w14:paraId="1A1DFB75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&gt;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summary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fit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0B447519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Family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bernoulli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</w:p>
    <w:p w14:paraId="5C4CFF65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Links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mu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0080FF"/>
          <w:spacing w:val="0"/>
          <w:kern w:val="0"/>
          <w:sz w:val="16"/>
          <w:szCs w:val="16"/>
          <w14:ligatures w14:val="none"/>
        </w:rPr>
        <w:t>logit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</w:p>
    <w:p w14:paraId="10EEB231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Formula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superior_rating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~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price_log10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tannin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alcohol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Rich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price_log10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*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body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price_log10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*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tfidf_tsne_1_norm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|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variety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</w:p>
    <w:p w14:paraId="3036B5E1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Data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wine_reviews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Number of observations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2500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</w:p>
    <w:p w14:paraId="3DEC356E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Draws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chains, each </w:t>
      </w: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with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iter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2000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; warmup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; thin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gramStart"/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;</w:t>
      </w:r>
      <w:proofErr w:type="gramEnd"/>
    </w:p>
    <w:p w14:paraId="29CA9BBF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total post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warmup draws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4000</w:t>
      </w:r>
    </w:p>
    <w:p w14:paraId="5CC5BF9C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</w:p>
    <w:p w14:paraId="2954999E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Multilevel Hyperparameters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</w:p>
    <w:p w14:paraId="2D9602FD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~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variety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Number of </w:t>
      </w: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levels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35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</w:p>
    <w:p w14:paraId="6EFD6D6A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Estimate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Est.Error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l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95</w:t>
      </w:r>
      <w:r w:rsidRPr="00B20860">
        <w:rPr>
          <w:rFonts w:ascii="Courier New" w:eastAsia="Times New Roman" w:hAnsi="Courier New" w:cs="Courier New"/>
          <w:bCs w:val="0"/>
          <w:color w:val="804000"/>
          <w:spacing w:val="0"/>
          <w:kern w:val="0"/>
          <w:sz w:val="16"/>
          <w:szCs w:val="16"/>
          <w14:ligatures w14:val="none"/>
        </w:rPr>
        <w:t>% CI u-95%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CI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Rhat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Bulk_ESS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Tail_ESS</w:t>
      </w:r>
      <w:proofErr w:type="spellEnd"/>
    </w:p>
    <w:p w14:paraId="0B5B5C9E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proofErr w:type="spellStart"/>
      <w:proofErr w:type="gramStart"/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sd</w:t>
      </w:r>
      <w:proofErr w:type="spellEnd"/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Intercept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0.65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0.15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0.41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0.98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1035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2102</w:t>
      </w:r>
    </w:p>
    <w:p w14:paraId="4AFCDC75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</w:p>
    <w:p w14:paraId="61A26425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Regression Coefficients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</w:p>
    <w:p w14:paraId="2DE8D202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          Estimate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Est.Error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l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95</w:t>
      </w:r>
      <w:r w:rsidRPr="00B20860">
        <w:rPr>
          <w:rFonts w:ascii="Courier New" w:eastAsia="Times New Roman" w:hAnsi="Courier New" w:cs="Courier New"/>
          <w:bCs w:val="0"/>
          <w:color w:val="804000"/>
          <w:spacing w:val="0"/>
          <w:kern w:val="0"/>
          <w:sz w:val="16"/>
          <w:szCs w:val="16"/>
          <w14:ligatures w14:val="none"/>
        </w:rPr>
        <w:t>% CI u-95%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CI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Rhat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Bulk_ESS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Tail_ESS</w:t>
      </w:r>
      <w:proofErr w:type="spellEnd"/>
    </w:p>
    <w:p w14:paraId="57CD6626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Intercept                    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10.55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1.84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14.08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6.88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2175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2400</w:t>
      </w:r>
    </w:p>
    <w:p w14:paraId="7DD4AE52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price_log10                 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4.96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1.19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2.57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7.27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2153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2356</w:t>
      </w:r>
    </w:p>
    <w:p w14:paraId="63307CEB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tannin                      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2.79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0.72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1.37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4.21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4438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2946</w:t>
      </w:r>
    </w:p>
    <w:p w14:paraId="56352A65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alcohol                     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2.72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0.60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1.49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3.92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4403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3301</w:t>
      </w:r>
    </w:p>
    <w:p w14:paraId="50A85B87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Rich                        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1.02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0.14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0.75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1.30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4389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2703</w:t>
      </w:r>
    </w:p>
    <w:p w14:paraId="65CC2707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body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    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0.97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2.83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4.75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6.51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2312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2370</w:t>
      </w:r>
    </w:p>
    <w:p w14:paraId="64022157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tfidf_tsne_1_norm             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4.40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1.77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7.95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0.98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2738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2637</w:t>
      </w:r>
    </w:p>
    <w:p w14:paraId="40C5F2BA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price_log</w:t>
      </w:r>
      <w:proofErr w:type="gram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10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body</w:t>
      </w:r>
      <w:proofErr w:type="gram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0.56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1.87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-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4.19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3.23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2266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2652</w:t>
      </w:r>
    </w:p>
    <w:p w14:paraId="04FDA789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price_log</w:t>
      </w:r>
      <w:proofErr w:type="gram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10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: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tfidf</w:t>
      </w:r>
      <w:proofErr w:type="gram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_tsne_1_norm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2.67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1.15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0.47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4.96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1.00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2802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2656</w:t>
      </w:r>
    </w:p>
    <w:p w14:paraId="1210DDB5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</w:p>
    <w:p w14:paraId="2C161F4E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Draws were sampled using </w:t>
      </w:r>
      <w:proofErr w:type="gram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sampling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proofErr w:type="gram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NUTS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. For each parameter,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Bulk_ESS</w:t>
      </w:r>
      <w:proofErr w:type="spellEnd"/>
    </w:p>
    <w:p w14:paraId="67BBAFCD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and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Tail_ESS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are effective </w:t>
      </w: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sample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size measures, and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Rhat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is the </w:t>
      </w:r>
      <w:proofErr w:type="gram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potential</w:t>
      </w:r>
      <w:proofErr w:type="gramEnd"/>
    </w:p>
    <w:p w14:paraId="26543BB8" w14:textId="77777777" w:rsidR="00B20860" w:rsidRPr="00B20860" w:rsidRDefault="00B20860" w:rsidP="00B20860">
      <w:pPr>
        <w:shd w:val="clear" w:color="auto" w:fill="FFFFFF"/>
        <w:spacing w:after="0" w:line="240" w:lineRule="auto"/>
        <w:rPr>
          <w:rFonts w:eastAsia="Times New Roman"/>
          <w:bCs w:val="0"/>
          <w:spacing w:val="0"/>
          <w:kern w:val="0"/>
          <w:sz w:val="16"/>
          <w:szCs w:val="16"/>
          <w14:ligatures w14:val="none"/>
        </w:rPr>
      </w:pP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scale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reduction </w:t>
      </w: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factor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on </w:t>
      </w:r>
      <w:r w:rsidRPr="00B20860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split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chains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at convergence, </w:t>
      </w:r>
      <w:proofErr w:type="spellStart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Rhat</w:t>
      </w:r>
      <w:proofErr w:type="spellEnd"/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B20860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</w:t>
      </w:r>
      <w:r w:rsidRPr="00B20860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B20860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.</w:t>
      </w:r>
    </w:p>
    <w:p w14:paraId="4B7D0FE3" w14:textId="773E7D44" w:rsidR="00CB10C3" w:rsidRDefault="00454261" w:rsidP="00CB10C3">
      <w:pPr>
        <w:spacing w:before="240" w:after="0"/>
        <w:rPr>
          <w:u w:val="single"/>
        </w:rPr>
      </w:pPr>
      <w:bookmarkStart w:id="1" w:name="_Hlk165899614"/>
      <w:r>
        <w:rPr>
          <w:u w:val="single"/>
        </w:rPr>
        <w:t>INFERENCES</w:t>
      </w:r>
    </w:p>
    <w:p w14:paraId="47479AEE" w14:textId="77D458E8" w:rsidR="00CB10C3" w:rsidRPr="004D0D2E" w:rsidRDefault="00CB10C3" w:rsidP="009741CE">
      <w:pPr>
        <w:pStyle w:val="ListParagraph"/>
        <w:numPr>
          <w:ilvl w:val="0"/>
          <w:numId w:val="1"/>
        </w:numPr>
        <w:spacing w:before="240" w:after="0"/>
      </w:pPr>
      <w:r w:rsidRPr="00E92793">
        <w:rPr>
          <w:i/>
          <w:iCs/>
          <w:color w:val="3333FF"/>
        </w:rPr>
        <w:t xml:space="preserve">Of all the fixed effects in the model, </w:t>
      </w:r>
      <m:oMath>
        <m:r>
          <w:rPr>
            <w:rFonts w:ascii="Cambria Math" w:hAnsi="Cambria Math"/>
            <w:color w:val="3333FF"/>
          </w:rPr>
          <m:t>price_log10</m:t>
        </m:r>
      </m:oMath>
      <w:r w:rsidRPr="00E92793">
        <w:rPr>
          <w:i/>
          <w:iCs/>
          <w:color w:val="3333FF"/>
        </w:rPr>
        <w:t xml:space="preserve"> has the highest average effect</w:t>
      </w:r>
      <w:r w:rsidRPr="00E92793">
        <w:rPr>
          <w:color w:val="FF0000"/>
        </w:rPr>
        <w:t xml:space="preserve"> </w:t>
      </w:r>
      <w:r w:rsidR="004157D8">
        <w:t>(</w:t>
      </w:r>
      <w:r w:rsidR="005B7FBC">
        <w:t xml:space="preserve">comparatively </w:t>
      </w:r>
      <w:r w:rsidR="004157D8">
        <w:t xml:space="preserve">highest coefficient of 4.96) </w:t>
      </w:r>
      <w:r w:rsidRPr="004D0D2E">
        <w:t>on the log-odds of a wine being rated as superior</w:t>
      </w:r>
      <w:r w:rsidR="005C160D">
        <w:t>. This was expected given high correlation with response variable from correlation matrix.</w:t>
      </w:r>
      <w:r w:rsidR="009741CE">
        <w:t xml:space="preserve"> What this means is that a</w:t>
      </w:r>
      <w:r w:rsidRPr="004D0D2E">
        <w:t xml:space="preserve"> one-unit increase in price (log transformed) is associated with an increase in the log-odds of </w:t>
      </w:r>
      <w:r w:rsidR="009741CE">
        <w:t xml:space="preserve">wine </w:t>
      </w:r>
      <w:r w:rsidRPr="004D0D2E">
        <w:t xml:space="preserve">being "superior" by </w:t>
      </w:r>
      <w:r w:rsidR="009741CE">
        <w:t>around 5</w:t>
      </w:r>
      <w:r w:rsidRPr="004D0D2E">
        <w:t xml:space="preserve"> units</w:t>
      </w:r>
      <w:r w:rsidR="009741CE">
        <w:t xml:space="preserve"> on average </w:t>
      </w:r>
      <w:r w:rsidR="003E2C42">
        <w:t xml:space="preserve">(estimate = 4.96) </w:t>
      </w:r>
      <w:r w:rsidR="009741CE">
        <w:t>give or take around 1.5 units</w:t>
      </w:r>
      <w:r w:rsidR="003E2C42">
        <w:t xml:space="preserve"> (</w:t>
      </w:r>
      <m:oMath>
        <m:r>
          <w:rPr>
            <w:rFonts w:ascii="Cambria Math" w:hAnsi="Cambria Math"/>
          </w:rPr>
          <m:t>σ=1.19)</m:t>
        </m:r>
      </m:oMath>
      <w:r w:rsidR="003E2C42">
        <w:rPr>
          <w:rFonts w:eastAsiaTheme="minorEastAsia"/>
        </w:rPr>
        <w:t>.</w:t>
      </w:r>
    </w:p>
    <w:p w14:paraId="127E02A0" w14:textId="7841BED4" w:rsidR="00CB10C3" w:rsidRDefault="00222E5D" w:rsidP="00CB10C3">
      <w:pPr>
        <w:pStyle w:val="ListParagraph"/>
        <w:numPr>
          <w:ilvl w:val="0"/>
          <w:numId w:val="1"/>
        </w:numPr>
        <w:spacing w:before="240" w:after="0"/>
      </w:pPr>
      <w:r>
        <w:t xml:space="preserve">The variable with next most noticeable effect is </w:t>
      </w:r>
      <m:oMath>
        <m:r>
          <w:rPr>
            <w:rFonts w:ascii="Cambria Math" w:hAnsi="Cambria Math"/>
          </w:rPr>
          <m:t>tfidf_tsne_1_norm</m:t>
        </m:r>
      </m:oMath>
      <w:r>
        <w:rPr>
          <w:rFonts w:eastAsiaTheme="minorEastAsia"/>
        </w:rPr>
        <w:t xml:space="preserve"> with a negative estimate suggesting a drop in log-odds of success (wine rated superior) with increase in predictor value.</w:t>
      </w:r>
      <w:r w:rsidR="00F175C2">
        <w:rPr>
          <w:rFonts w:eastAsiaTheme="minorEastAsia"/>
        </w:rPr>
        <w:t xml:space="preserve"> Next greatest effect (positive) is asserted by </w:t>
      </w:r>
      <w:r w:rsidR="00F175C2" w:rsidRPr="00CB10C3">
        <w:t>derived features, alcohol, and tannin. The model estimates that a one-unit increase in alcohol</w:t>
      </w:r>
      <w:r w:rsidR="00F175C2">
        <w:t>/tanning</w:t>
      </w:r>
      <w:r w:rsidR="00F175C2" w:rsidRPr="00CB10C3">
        <w:t xml:space="preserve"> content is associated with an increase of approximately </w:t>
      </w:r>
      <w:r w:rsidR="00F175C2">
        <w:t>3</w:t>
      </w:r>
      <w:r w:rsidR="00F175C2" w:rsidRPr="00CB10C3">
        <w:t xml:space="preserve"> units </w:t>
      </w:r>
      <w:r w:rsidR="00F175C2">
        <w:t xml:space="preserve">on average, </w:t>
      </w:r>
      <w:r w:rsidR="00F175C2" w:rsidRPr="00CB10C3">
        <w:t xml:space="preserve">in the log-odds of </w:t>
      </w:r>
      <w:r w:rsidR="00F175C2">
        <w:t xml:space="preserve">wine </w:t>
      </w:r>
      <w:r w:rsidR="00F175C2" w:rsidRPr="00CB10C3">
        <w:t>being rated "superior" (with</w:t>
      </w:r>
      <w:r w:rsidR="00F175C2">
        <w:t xml:space="preserve"> comparatively least</w:t>
      </w:r>
      <w:r w:rsidR="00F175C2" w:rsidRPr="00CB10C3">
        <w:t xml:space="preserve"> uncertainty</w:t>
      </w:r>
      <w:r w:rsidR="00F175C2">
        <w:t xml:space="preserve"> </w:t>
      </w:r>
      <m:oMath>
        <m:r>
          <w:rPr>
            <w:rFonts w:ascii="Cambria Math" w:eastAsiaTheme="minorEastAsia" w:hAnsi="Cambria Math"/>
          </w:rPr>
          <m:t>sigma≈</m:t>
        </m:r>
        <m:r>
          <w:rPr>
            <w:rFonts w:ascii="Cambria Math" w:hAnsi="Cambria Math"/>
          </w:rPr>
          <m:t>0.7</m:t>
        </m:r>
      </m:oMath>
      <w:r w:rsidR="00F175C2" w:rsidRPr="00CB10C3">
        <w:t xml:space="preserve">). The fact that </w:t>
      </w:r>
      <w:r w:rsidR="00F175C2" w:rsidRPr="00D0702D">
        <w:rPr>
          <w:color w:val="3333FF"/>
        </w:rPr>
        <w:t xml:space="preserve">these derived features have a larger effect size compared to the single indicator "Rich" reinforces the value of having </w:t>
      </w:r>
      <w:r w:rsidR="00706B79" w:rsidRPr="00D0702D">
        <w:rPr>
          <w:color w:val="3333FF"/>
        </w:rPr>
        <w:t>derived them</w:t>
      </w:r>
      <w:r w:rsidR="00F175C2" w:rsidRPr="00D0702D">
        <w:rPr>
          <w:color w:val="3333FF"/>
        </w:rPr>
        <w:t xml:space="preserve"> to represent key wine judgement criteria while incorporating more than one </w:t>
      </w:r>
      <w:r w:rsidR="00706B79" w:rsidRPr="00D0702D">
        <w:rPr>
          <w:color w:val="3333FF"/>
        </w:rPr>
        <w:t>indicator</w:t>
      </w:r>
      <w:r w:rsidR="00F175C2" w:rsidRPr="00CB10C3">
        <w:t>.</w:t>
      </w:r>
      <w:r w:rsidR="00E2563A">
        <w:t xml:space="preserve"> The interaction term of </w:t>
      </w:r>
      <m:oMath>
        <m:r>
          <w:rPr>
            <w:rFonts w:ascii="Cambria Math" w:hAnsi="Cambria Math"/>
          </w:rPr>
          <m:t>price_log10</m:t>
        </m:r>
      </m:oMath>
      <w:r w:rsidR="00E2563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body</m:t>
        </m:r>
      </m:oMath>
      <w:r w:rsidR="00E2563A">
        <w:rPr>
          <w:rFonts w:eastAsiaTheme="minorEastAsia"/>
        </w:rPr>
        <w:t xml:space="preserve"> however, had least effect (smallest </w:t>
      </w:r>
      <w:r w:rsidR="00E82AE8">
        <w:rPr>
          <w:rFonts w:eastAsiaTheme="minorEastAsia"/>
        </w:rPr>
        <w:t xml:space="preserve">coefficient </w:t>
      </w:r>
      <w:r w:rsidR="00E2563A">
        <w:rPr>
          <w:rFonts w:eastAsiaTheme="minorEastAsia"/>
        </w:rPr>
        <w:t>estimate).</w:t>
      </w:r>
    </w:p>
    <w:p w14:paraId="056F8463" w14:textId="4E9E1A2E" w:rsidR="00CB10C3" w:rsidRDefault="00CB10C3" w:rsidP="00CB10C3">
      <w:pPr>
        <w:pStyle w:val="ListParagraph"/>
        <w:numPr>
          <w:ilvl w:val="0"/>
          <w:numId w:val="1"/>
        </w:numPr>
        <w:spacing w:before="240" w:after="0"/>
      </w:pPr>
      <w:r w:rsidRPr="00CB10C3">
        <w:t>The model predicts a very low log-odds (</w:t>
      </w:r>
      <w:r w:rsidR="003513FF">
        <w:t xml:space="preserve">Intercept estimate = </w:t>
      </w:r>
      <w:r w:rsidRPr="00CB10C3">
        <w:t>-1</w:t>
      </w:r>
      <w:r w:rsidR="003513FF">
        <w:t>0</w:t>
      </w:r>
      <w:r w:rsidRPr="00CB10C3">
        <w:t>.</w:t>
      </w:r>
      <w:r w:rsidR="003513FF">
        <w:t>55</w:t>
      </w:r>
      <w:r w:rsidRPr="00CB10C3">
        <w:t xml:space="preserve">) of a wine being rated as "superior" when all other factors are zero. </w:t>
      </w:r>
      <w:r w:rsidRPr="00E92793">
        <w:rPr>
          <w:i/>
          <w:iCs/>
          <w:color w:val="3333FF"/>
        </w:rPr>
        <w:t>This hints at a baseline tendency for wines to not get rated as being "superior".</w:t>
      </w:r>
      <w:r w:rsidRPr="00E92793">
        <w:rPr>
          <w:color w:val="3333FF"/>
        </w:rPr>
        <w:t xml:space="preserve"> </w:t>
      </w:r>
      <w:r w:rsidRPr="00CB10C3">
        <w:t xml:space="preserve">That said, the presence of the random intercept for "variety" with a </w:t>
      </w:r>
      <w:r w:rsidR="003513FF">
        <w:t>quite high</w:t>
      </w:r>
      <w:r w:rsidRPr="00CB10C3">
        <w:t xml:space="preserve"> standard deviation (</w:t>
      </w:r>
      <w:r w:rsidR="003513FF">
        <w:t>1.84</w:t>
      </w:r>
      <w:r w:rsidRPr="00CB10C3">
        <w:t xml:space="preserve">) </w:t>
      </w:r>
      <w:r w:rsidR="003513FF">
        <w:t>gives clues about how</w:t>
      </w:r>
      <w:r w:rsidRPr="00CB10C3">
        <w:t xml:space="preserve"> </w:t>
      </w:r>
      <w:r w:rsidR="003513FF">
        <w:t xml:space="preserve">some </w:t>
      </w:r>
      <w:r w:rsidRPr="00CB10C3">
        <w:t xml:space="preserve">variety-specific effects </w:t>
      </w:r>
      <w:r w:rsidR="003513FF">
        <w:t>might be at play.</w:t>
      </w:r>
    </w:p>
    <w:bookmarkEnd w:id="1"/>
    <w:p w14:paraId="313843E9" w14:textId="064E174A" w:rsidR="00720E73" w:rsidRDefault="005E1248" w:rsidP="00720E73">
      <w:pPr>
        <w:spacing w:before="240" w:after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5EBD1FE3" wp14:editId="5135BED5">
            <wp:extent cx="6608054" cy="233228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893" cy="2357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9E7B6" w14:textId="5667EEFF" w:rsidR="003F385E" w:rsidRPr="003F385E" w:rsidRDefault="003F385E" w:rsidP="003F385E">
      <w:pPr>
        <w:spacing w:before="240" w:after="0"/>
        <w:rPr>
          <w:u w:val="single"/>
        </w:rPr>
      </w:pPr>
      <w:r>
        <w:rPr>
          <w:u w:val="single"/>
        </w:rPr>
        <w:t>INFERENCES</w:t>
      </w:r>
    </w:p>
    <w:p w14:paraId="4B0E7E87" w14:textId="045484E7" w:rsidR="00A34A2B" w:rsidRDefault="00AE4E51" w:rsidP="00AE4E51">
      <w:pPr>
        <w:pStyle w:val="ListParagraph"/>
        <w:numPr>
          <w:ilvl w:val="0"/>
          <w:numId w:val="1"/>
        </w:numPr>
        <w:spacing w:after="0"/>
      </w:pPr>
      <w:bookmarkStart w:id="2" w:name="_Hlk165900355"/>
      <w:r>
        <w:t>Converting from log scale to probability scale, here, a one unit increase in price</w:t>
      </w:r>
      <w:r w:rsidR="00497AA9">
        <w:t xml:space="preserve"> in the log scale</w:t>
      </w:r>
      <w:r>
        <w:t xml:space="preserve"> would lead to an increase in the probability of wine being rated "superior" by a factor of anywhere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2.57</m:t>
            </m:r>
          </m:sup>
        </m:sSup>
        <m:r>
          <w:rPr>
            <w:rFonts w:ascii="Cambria Math" w:hAnsi="Cambria Math"/>
          </w:rPr>
          <m:t>≈13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7.27</m:t>
            </m:r>
          </m:sup>
        </m:sSup>
        <m:r>
          <w:rPr>
            <w:rFonts w:ascii="Cambria Math" w:hAnsi="Cambria Math"/>
          </w:rPr>
          <m:t>≈1436</m:t>
        </m:r>
      </m:oMath>
      <w:r w:rsidR="009076D7">
        <w:rPr>
          <w:rFonts w:eastAsiaTheme="minorEastAsia"/>
        </w:rPr>
        <w:t xml:space="preserve"> </w:t>
      </w:r>
      <w:r>
        <w:t>times.</w:t>
      </w:r>
      <w:r w:rsidR="00874BD7">
        <w:t xml:space="preserve"> At first glance, these numbers seem super large. But upon deeper analysis, this is plausible because </w:t>
      </w:r>
      <w:r w:rsidR="00B804D8">
        <w:t>an</w:t>
      </w:r>
      <w:r w:rsidR="00874BD7">
        <w:t xml:space="preserve"> increase of </w:t>
      </w:r>
      <w:r w:rsidR="00B804D8">
        <w:t>13</w:t>
      </w:r>
      <w:r w:rsidR="00874BD7">
        <w:t xml:space="preserve"> – </w:t>
      </w:r>
      <m:oMath>
        <m:r>
          <w:rPr>
            <w:rFonts w:ascii="Cambria Math" w:hAnsi="Cambria Math"/>
          </w:rPr>
          <m:t>1436</m:t>
        </m:r>
      </m:oMath>
      <w:r w:rsidR="00B804D8">
        <w:rPr>
          <w:rFonts w:eastAsiaTheme="minorEastAsia"/>
        </w:rPr>
        <w:t xml:space="preserve"> </w:t>
      </w:r>
      <w:r w:rsidR="00874BD7">
        <w:t xml:space="preserve">is relative </w:t>
      </w:r>
      <w:r w:rsidR="00B804D8">
        <w:t>to</w:t>
      </w:r>
      <w:r w:rsidR="00874BD7">
        <w:t xml:space="preserve"> some baseline and not absolute change. So, if the baseline probability of a wine being rated "superior" was low</w:t>
      </w:r>
      <w:r w:rsidR="000E5EB6">
        <w:t xml:space="preserve">, </w:t>
      </w:r>
      <w:r w:rsidR="00874BD7">
        <w:t xml:space="preserve">say 0.01, even a </w:t>
      </w:r>
      <w:r w:rsidR="00B804D8">
        <w:t>1500</w:t>
      </w:r>
      <w:r w:rsidR="0011511E">
        <w:t>-fold</w:t>
      </w:r>
      <w:r w:rsidR="00874BD7">
        <w:t xml:space="preserve"> increase would only be a</w:t>
      </w:r>
      <w:r w:rsidR="009152EC">
        <w:t xml:space="preserve">n </w:t>
      </w:r>
      <w:r w:rsidR="00874BD7">
        <w:t xml:space="preserve">absolute increase in probability </w:t>
      </w:r>
      <m:oMath>
        <m:r>
          <w:rPr>
            <w:rFonts w:ascii="Cambria Math" w:hAnsi="Cambria Math"/>
          </w:rPr>
          <m:t>=0.01×1500=15%</m:t>
        </m:r>
      </m:oMath>
      <w:r w:rsidR="00874BD7">
        <w:rPr>
          <w:rFonts w:eastAsiaTheme="minorEastAsia"/>
        </w:rPr>
        <w:t>.</w:t>
      </w:r>
      <w:r w:rsidR="000E5EB6">
        <w:rPr>
          <w:rFonts w:eastAsiaTheme="minorEastAsia"/>
        </w:rPr>
        <w:t xml:space="preserve"> </w:t>
      </w:r>
      <w:r w:rsidR="000E5EB6">
        <w:t>Because the population parameter intercept was very negative (around -1</w:t>
      </w:r>
      <w:r w:rsidR="009152EC">
        <w:t>0</w:t>
      </w:r>
      <w:r w:rsidR="000E5EB6">
        <w:t xml:space="preserve">) in the summary, it might be </w:t>
      </w:r>
      <w:r w:rsidR="002F3F54">
        <w:t>that</w:t>
      </w:r>
      <w:r w:rsidR="000E5EB6">
        <w:t xml:space="preserve"> baseline probability really is low.</w:t>
      </w:r>
      <w:r w:rsidR="009152EC">
        <w:t xml:space="preserve"> </w:t>
      </w:r>
      <w:r w:rsidR="00863C8E">
        <w:t>Nevertheless,</w:t>
      </w:r>
      <w:r w:rsidR="009152EC">
        <w:t xml:space="preserve"> the wide gap (1436 – 13</w:t>
      </w:r>
      <w:r w:rsidR="009152E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=1423</m:t>
        </m:r>
      </m:oMath>
      <w:r w:rsidR="009152EC">
        <w:t xml:space="preserve">) indicates low precision. Perhaps per variety inferences are more precise. </w:t>
      </w:r>
    </w:p>
    <w:p w14:paraId="31318911" w14:textId="76E046AF" w:rsidR="004C56E5" w:rsidRDefault="00BF3AEF" w:rsidP="00C9070D">
      <w:pPr>
        <w:pStyle w:val="ListParagraph"/>
        <w:numPr>
          <w:ilvl w:val="0"/>
          <w:numId w:val="1"/>
        </w:numPr>
        <w:spacing w:after="0"/>
      </w:pPr>
      <w:r>
        <w:t>Generally, i</w:t>
      </w:r>
      <w:r w:rsidR="007F7A9B">
        <w:t xml:space="preserve">f </w:t>
      </w:r>
      <w:r>
        <w:t>a</w:t>
      </w:r>
      <w:r w:rsidR="007F7A9B">
        <w:t xml:space="preserve"> distribution is centered away from </w:t>
      </w:r>
      <w:r>
        <w:t>0</w:t>
      </w:r>
      <w:r w:rsidR="007F7A9B">
        <w:t xml:space="preserve"> and the credible interval </w:t>
      </w:r>
      <w:r>
        <w:t>does not have</w:t>
      </w:r>
      <w:r w:rsidR="007F7A9B">
        <w:t xml:space="preserve"> </w:t>
      </w:r>
      <w:r>
        <w:t>0</w:t>
      </w:r>
      <w:r w:rsidR="007F7A9B">
        <w:t xml:space="preserve">, it suggests evidence for a non-zero effect of that variable. </w:t>
      </w:r>
      <w:r>
        <w:t>That is, t</w:t>
      </w:r>
      <w:r w:rsidR="007F7A9B">
        <w:t xml:space="preserve">he further the distribution is from </w:t>
      </w:r>
      <w:r>
        <w:t>0</w:t>
      </w:r>
      <w:r w:rsidR="007F7A9B">
        <w:t xml:space="preserve"> and the narrower the credible interval, the stronger the evidence</w:t>
      </w:r>
      <w:r>
        <w:t xml:space="preserve">. </w:t>
      </w:r>
      <w:sdt>
        <w:sdtPr>
          <w:id w:val="-991639260"/>
          <w:citation/>
        </w:sdtPr>
        <w:sdtContent>
          <w:r>
            <w:fldChar w:fldCharType="begin"/>
          </w:r>
          <w:r w:rsidRPr="00863C8E">
            <w:rPr>
              <w:lang w:val="en-GB"/>
            </w:rPr>
            <w:instrText xml:space="preserve"> CITATION jpa21 \l 2057 </w:instrText>
          </w:r>
          <w:r>
            <w:fldChar w:fldCharType="separate"/>
          </w:r>
          <w:r w:rsidR="00863C8E" w:rsidRPr="00863C8E">
            <w:rPr>
              <w:noProof/>
              <w:lang w:val="en-GB"/>
            </w:rPr>
            <w:t>[1]</w:t>
          </w:r>
          <w:r>
            <w:fldChar w:fldCharType="end"/>
          </w:r>
        </w:sdtContent>
      </w:sdt>
      <w:sdt>
        <w:sdtPr>
          <w:id w:val="491456431"/>
          <w:citation/>
        </w:sdtPr>
        <w:sdtContent>
          <w:r>
            <w:fldChar w:fldCharType="begin"/>
          </w:r>
          <w:r w:rsidRPr="00863C8E">
            <w:rPr>
              <w:lang w:val="en-GB"/>
            </w:rPr>
            <w:instrText xml:space="preserve"> CITATION jso21 \l 2057 </w:instrText>
          </w:r>
          <w:r>
            <w:fldChar w:fldCharType="separate"/>
          </w:r>
          <w:r w:rsidR="00863C8E" w:rsidRPr="00863C8E">
            <w:rPr>
              <w:noProof/>
              <w:lang w:val="en-GB"/>
            </w:rPr>
            <w:t xml:space="preserve"> [2]</w:t>
          </w:r>
          <w:r>
            <w:fldChar w:fldCharType="end"/>
          </w:r>
        </w:sdtContent>
      </w:sdt>
      <w:r w:rsidR="004E55FE">
        <w:t xml:space="preserve"> Bearing this in mind, it can be see</w:t>
      </w:r>
      <w:r w:rsidR="00E92793">
        <w:t>n</w:t>
      </w:r>
      <w:r w:rsidR="004E55FE">
        <w:t xml:space="preserve"> here that barring </w:t>
      </w:r>
      <w:r w:rsidR="00863C8E">
        <w:t>interaction terms</w:t>
      </w:r>
      <w:r w:rsidR="004E55FE">
        <w:t>, all others seem to</w:t>
      </w:r>
      <w:r w:rsidR="00B1068A">
        <w:t xml:space="preserve"> be having </w:t>
      </w:r>
      <w:r w:rsidR="00863C8E">
        <w:t>fair</w:t>
      </w:r>
      <w:r w:rsidR="00B1068A">
        <w:t xml:space="preserve"> evidence</w:t>
      </w:r>
      <w:r w:rsidR="00E15499">
        <w:t xml:space="preserve"> against zero effect</w:t>
      </w:r>
      <w:r w:rsidR="004E55FE">
        <w:t>.</w:t>
      </w:r>
      <w:r w:rsidR="00EC19B6">
        <w:t xml:space="preserve"> That is, </w:t>
      </w:r>
      <w:r w:rsidR="00EC19B6" w:rsidRPr="00E92793">
        <w:rPr>
          <w:color w:val="3333FF"/>
        </w:rPr>
        <w:t xml:space="preserve">the chance that relationships </w:t>
      </w:r>
      <w:r w:rsidR="00EC19B6">
        <w:t xml:space="preserve">(positive/negative) </w:t>
      </w:r>
      <w:r w:rsidR="00EC19B6" w:rsidRPr="00E92793">
        <w:rPr>
          <w:color w:val="3333FF"/>
        </w:rPr>
        <w:t>observed here between wine</w:t>
      </w:r>
      <w:r w:rsidR="00863C8E" w:rsidRPr="00E92793">
        <w:rPr>
          <w:color w:val="3333FF"/>
        </w:rPr>
        <w:t xml:space="preserve"> </w:t>
      </w:r>
      <w:r w:rsidR="00E92793" w:rsidRPr="00E92793">
        <w:rPr>
          <w:color w:val="3333FF"/>
        </w:rPr>
        <w:t xml:space="preserve">characteristics </w:t>
      </w:r>
      <w:r w:rsidR="00E92793">
        <w:t>(</w:t>
      </w:r>
      <w:r w:rsidR="00EC19B6">
        <w:t>alcohol, richness</w:t>
      </w:r>
      <w:r w:rsidR="00863C8E">
        <w:t>, tanning,</w:t>
      </w:r>
      <w:r w:rsidR="00EC19B6">
        <w:t xml:space="preserve"> </w:t>
      </w:r>
      <w:r w:rsidR="0081641C">
        <w:t>price</w:t>
      </w:r>
      <w:r w:rsidR="00863C8E">
        <w:t xml:space="preserve">) </w:t>
      </w:r>
      <w:r w:rsidR="00863C8E" w:rsidRPr="00E92793">
        <w:rPr>
          <w:color w:val="3333FF"/>
        </w:rPr>
        <w:t xml:space="preserve">and </w:t>
      </w:r>
      <w:r w:rsidR="002327C3" w:rsidRPr="00E92793">
        <w:rPr>
          <w:color w:val="3333FF"/>
        </w:rPr>
        <w:t>its</w:t>
      </w:r>
      <w:r w:rsidR="00863C8E" w:rsidRPr="00E92793">
        <w:rPr>
          <w:color w:val="3333FF"/>
        </w:rPr>
        <w:t xml:space="preserve"> likelihood of being ranked as superior</w:t>
      </w:r>
      <w:r w:rsidR="00EC19B6" w:rsidRPr="00E92793">
        <w:rPr>
          <w:color w:val="3333FF"/>
        </w:rPr>
        <w:t>, is less likely to be due to random chance</w:t>
      </w:r>
      <w:r w:rsidR="00EC19B6">
        <w:t>.</w:t>
      </w:r>
      <w:r w:rsidR="00506E9F">
        <w:t xml:space="preserve"> </w:t>
      </w:r>
    </w:p>
    <w:bookmarkEnd w:id="2"/>
    <w:p w14:paraId="2604DE29" w14:textId="3031EA62" w:rsidR="003F6FE0" w:rsidRDefault="003F6FE0" w:rsidP="003F6FE0">
      <w:pPr>
        <w:spacing w:after="0"/>
      </w:pPr>
      <w:r>
        <w:rPr>
          <w:noProof/>
        </w:rPr>
        <w:drawing>
          <wp:inline distT="0" distB="0" distL="0" distR="0" wp14:anchorId="05F98381" wp14:editId="4A8BEFD8">
            <wp:extent cx="6645910" cy="3477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6FB3" w14:textId="77777777" w:rsidR="004C56E5" w:rsidRDefault="004C56E5" w:rsidP="004C56E5">
      <w:pPr>
        <w:spacing w:before="240" w:after="0"/>
        <w:rPr>
          <w:u w:val="single"/>
        </w:rPr>
      </w:pPr>
      <w:r>
        <w:rPr>
          <w:u w:val="single"/>
        </w:rPr>
        <w:t>INFERENCES</w:t>
      </w:r>
    </w:p>
    <w:p w14:paraId="73DFB389" w14:textId="409D2C4A" w:rsidR="000B7649" w:rsidRDefault="004C56E5" w:rsidP="006A28C6">
      <w:pPr>
        <w:pStyle w:val="ListParagraph"/>
        <w:numPr>
          <w:ilvl w:val="0"/>
          <w:numId w:val="2"/>
        </w:numPr>
        <w:spacing w:after="0"/>
      </w:pPr>
      <w:bookmarkStart w:id="3" w:name="_Hlk165900770"/>
      <w:r>
        <w:t>Each box in the plot represents the distribution of posterior draws for a specific wine variety.</w:t>
      </w:r>
      <w:r w:rsidR="006A28C6">
        <w:t xml:space="preserve"> </w:t>
      </w:r>
      <w:r w:rsidR="000F02E7">
        <w:t xml:space="preserve">Had the intercepts been directly plotted on the y axis, this would have </w:t>
      </w:r>
      <w:r w:rsidR="00D45D36">
        <w:t xml:space="preserve">indicated the per-variety baseline log-odds of a wine being rated "superior" after accounting for the fixed effects in the model due to the predictor variables. Since that might be harder to readily infer from, log-odds </w:t>
      </w:r>
      <m:oMath>
        <m:r>
          <w:rPr>
            <w:rFonts w:ascii="Cambria Math" w:hAnsi="Cambria Math"/>
          </w:rPr>
          <m:t>(x)</m:t>
        </m:r>
      </m:oMath>
      <w:r w:rsidR="00D45D36">
        <w:t xml:space="preserve"> were converted to probabilities </w:t>
      </w:r>
      <w:r w:rsidR="006A28C6">
        <w:t xml:space="preserve">via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5948C8" w:rsidRPr="006A28C6">
        <w:rPr>
          <w:rFonts w:eastAsiaTheme="minorEastAsia"/>
        </w:rPr>
        <w:t>.</w:t>
      </w:r>
      <w:r w:rsidR="003173C5" w:rsidRPr="006A28C6">
        <w:rPr>
          <w:rFonts w:eastAsiaTheme="minorEastAsia"/>
        </w:rPr>
        <w:t xml:space="preserve"> </w:t>
      </w:r>
      <w:r w:rsidR="006A28C6">
        <w:rPr>
          <w:rFonts w:eastAsiaTheme="minorEastAsia"/>
        </w:rPr>
        <w:t>N</w:t>
      </w:r>
      <w:r w:rsidR="003173C5" w:rsidRPr="006A28C6">
        <w:rPr>
          <w:rFonts w:eastAsiaTheme="minorEastAsia"/>
        </w:rPr>
        <w:t>ow, the y-axis indicates</w:t>
      </w:r>
      <w:r w:rsidR="006A28C6">
        <w:rPr>
          <w:rFonts w:eastAsiaTheme="minorEastAsia"/>
        </w:rPr>
        <w:t xml:space="preserve"> </w:t>
      </w:r>
      <w:r w:rsidR="003173C5">
        <w:t>baseline probability that a wine of a particular variety gets rated as "superior" after accounting for fixed effects in the model due to predictor variables.</w:t>
      </w:r>
      <w:r w:rsidR="006A28C6">
        <w:t xml:space="preserve"> </w:t>
      </w:r>
    </w:p>
    <w:p w14:paraId="0A89021E" w14:textId="24949A92" w:rsidR="008743CF" w:rsidRDefault="008552A0" w:rsidP="00900BC8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The </w:t>
      </w:r>
      <w:r w:rsidR="00900BC8">
        <w:t>3</w:t>
      </w:r>
      <w:r>
        <w:t xml:space="preserve"> wine varieties at the leftmost end of the figure) </w:t>
      </w:r>
      <w:r w:rsidR="00E92793">
        <w:t>(</w:t>
      </w:r>
      <w:r w:rsidR="00E92793" w:rsidRPr="00E92793">
        <w:t>Riesling</w:t>
      </w:r>
      <w:r w:rsidR="00E92793">
        <w:t xml:space="preserve">, </w:t>
      </w:r>
      <w:r w:rsidR="00E92793" w:rsidRPr="00E92793">
        <w:t>Gamay</w:t>
      </w:r>
      <w:r w:rsidR="00E92793">
        <w:t xml:space="preserve">, </w:t>
      </w:r>
      <w:r w:rsidR="00E92793" w:rsidRPr="00E92793">
        <w:t>Gewürztraminer</w:t>
      </w:r>
      <w:r w:rsidR="00E92793">
        <w:t xml:space="preserve">) </w:t>
      </w:r>
      <w:r>
        <w:t xml:space="preserve">are the ones with </w:t>
      </w:r>
      <w:r w:rsidR="008743CF">
        <w:t>the lowest probability of</w:t>
      </w:r>
      <w:r>
        <w:t xml:space="preserve"> </w:t>
      </w:r>
      <w:r w:rsidR="008743CF">
        <w:t xml:space="preserve">having wines </w:t>
      </w:r>
      <w:r>
        <w:t xml:space="preserve">be rated </w:t>
      </w:r>
      <w:r w:rsidR="008743CF">
        <w:t>as superior</w:t>
      </w:r>
      <w:r>
        <w:t xml:space="preserve"> with minimal variance (more </w:t>
      </w:r>
      <w:r w:rsidR="00900BC8">
        <w:t>certainty</w:t>
      </w:r>
      <w:r>
        <w:t>).</w:t>
      </w:r>
      <w:r w:rsidR="00900BC8">
        <w:t xml:space="preserve"> </w:t>
      </w:r>
    </w:p>
    <w:p w14:paraId="2815E9F6" w14:textId="730CA830" w:rsidR="002A2B73" w:rsidRDefault="008743CF" w:rsidP="00900BC8">
      <w:pPr>
        <w:pStyle w:val="ListParagraph"/>
        <w:numPr>
          <w:ilvl w:val="0"/>
          <w:numId w:val="2"/>
        </w:numPr>
        <w:spacing w:after="0"/>
      </w:pPr>
      <w:r>
        <w:t>V</w:t>
      </w:r>
      <w:r w:rsidR="00900BC8">
        <w:t xml:space="preserve">arieties before </w:t>
      </w:r>
      <w:r w:rsidR="00E92793">
        <w:t>Cn (</w:t>
      </w:r>
      <w:r w:rsidR="00E92793" w:rsidRPr="00E92793">
        <w:t>Cabernet Sauvignon</w:t>
      </w:r>
      <w:r>
        <w:t>),</w:t>
      </w:r>
      <w:r w:rsidR="00900BC8">
        <w:t xml:space="preserve"> all have median intercept value below/very close to 0</w:t>
      </w:r>
      <w:r>
        <w:t>.5</w:t>
      </w:r>
      <w:r w:rsidR="00900BC8">
        <w:t>, meaning that</w:t>
      </w:r>
      <w:r w:rsidR="002A2B73">
        <w:t xml:space="preserve"> </w:t>
      </w:r>
      <w:r w:rsidR="00900BC8">
        <w:t xml:space="preserve">consequently suggests that the odds of these varieties of wines being rated high enough to be ranked as superior is low. </w:t>
      </w:r>
    </w:p>
    <w:p w14:paraId="593C669C" w14:textId="4013C8F6" w:rsidR="00755F6E" w:rsidRDefault="00900BC8" w:rsidP="00900BC8">
      <w:pPr>
        <w:pStyle w:val="ListParagraph"/>
        <w:numPr>
          <w:ilvl w:val="0"/>
          <w:numId w:val="2"/>
        </w:numPr>
        <w:spacing w:after="0"/>
      </w:pPr>
      <w:r>
        <w:t>The wine variety with the highest odds of being rated as superior is “</w:t>
      </w:r>
      <w:r w:rsidR="001646B0">
        <w:t>Melon</w:t>
      </w:r>
      <w:r>
        <w:t xml:space="preserve">” on the extreme right of the figure. It’s </w:t>
      </w:r>
      <w:r w:rsidR="001646B0">
        <w:t xml:space="preserve">median, as </w:t>
      </w:r>
      <w:r>
        <w:t xml:space="preserve">well as that of neighboring varieties </w:t>
      </w:r>
      <w:r w:rsidR="001646B0">
        <w:t>(“</w:t>
      </w:r>
      <w:r w:rsidR="001646B0" w:rsidRPr="001646B0">
        <w:t>Rhône-style White Blend</w:t>
      </w:r>
      <w:r w:rsidR="001646B0">
        <w:t>”, “</w:t>
      </w:r>
      <w:r w:rsidR="001646B0" w:rsidRPr="001646B0">
        <w:t>Malbec-Merlot</w:t>
      </w:r>
      <w:r w:rsidR="001646B0">
        <w:t>”</w:t>
      </w:r>
      <w:r>
        <w:t>, “</w:t>
      </w:r>
      <w:r w:rsidR="001646B0" w:rsidRPr="001646B0">
        <w:t>Bordeaux-style White Blend</w:t>
      </w:r>
      <w:r>
        <w:t>”</w:t>
      </w:r>
      <w:r w:rsidR="002A2B73">
        <w:t>, …, “</w:t>
      </w:r>
      <w:r w:rsidR="001646B0" w:rsidRPr="001646B0">
        <w:t>Cabernet Sauvignon</w:t>
      </w:r>
      <w:r w:rsidR="002A2B73">
        <w:t>”</w:t>
      </w:r>
      <w:r>
        <w:t xml:space="preserve">) </w:t>
      </w:r>
      <w:r w:rsidR="00BE521E">
        <w:t xml:space="preserve">lie quite above the </w:t>
      </w:r>
      <w:r w:rsidR="008647D7">
        <w:t xml:space="preserve">50% probability and thus </w:t>
      </w:r>
      <w:r>
        <w:t xml:space="preserve">have discernably higher odds of being ranked as superior </w:t>
      </w:r>
      <w:r w:rsidR="00FD4085">
        <w:t>to</w:t>
      </w:r>
      <w:r>
        <w:t xml:space="preserve"> the varieties associated with </w:t>
      </w:r>
      <w:r w:rsidR="002A2B73">
        <w:t>the</w:t>
      </w:r>
      <w:r>
        <w:t xml:space="preserve"> boxplots at the extreme left end.</w:t>
      </w:r>
      <w:r w:rsidR="00FD4085">
        <w:t xml:space="preserve"> </w:t>
      </w:r>
      <w:r w:rsidR="00621F7C">
        <w:t xml:space="preserve">Thus, one may conclude that if one was to try </w:t>
      </w:r>
      <w:r w:rsidR="00044BA0">
        <w:t xml:space="preserve">a vine of the </w:t>
      </w:r>
      <w:r w:rsidR="00621F7C">
        <w:t>“</w:t>
      </w:r>
      <w:r w:rsidR="00622023">
        <w:t>Melon</w:t>
      </w:r>
      <w:r w:rsidR="00621F7C">
        <w:t>”</w:t>
      </w:r>
      <w:r w:rsidR="00622023">
        <w:t xml:space="preserve"> </w:t>
      </w:r>
      <w:r w:rsidR="00044BA0">
        <w:t xml:space="preserve">variety, </w:t>
      </w:r>
      <w:r w:rsidR="00621F7C">
        <w:t xml:space="preserve">it’s very likely that </w:t>
      </w:r>
      <w:r w:rsidR="00044BA0">
        <w:t>it</w:t>
      </w:r>
      <w:r w:rsidR="00621F7C">
        <w:t xml:space="preserve"> was highly rated. </w:t>
      </w:r>
      <w:r w:rsidR="00755F6E">
        <w:t xml:space="preserve">Overall, </w:t>
      </w:r>
      <w:r w:rsidR="00755F6E" w:rsidRPr="00B63CF5">
        <w:rPr>
          <w:color w:val="3333FF"/>
        </w:rPr>
        <w:t>some wine varieties</w:t>
      </w:r>
      <w:r w:rsidR="00755F6E">
        <w:t xml:space="preserve"> do indeed </w:t>
      </w:r>
      <w:r w:rsidR="00755F6E" w:rsidRPr="00B63CF5">
        <w:rPr>
          <w:color w:val="3333FF"/>
        </w:rPr>
        <w:t xml:space="preserve">get ranked high more often than others </w:t>
      </w:r>
      <w:r w:rsidR="00755F6E">
        <w:t>with few</w:t>
      </w:r>
      <w:r w:rsidR="00664098">
        <w:t>,</w:t>
      </w:r>
      <w:r w:rsidR="00755F6E">
        <w:t xml:space="preserve"> </w:t>
      </w:r>
      <w:r w:rsidR="00044BA0">
        <w:t xml:space="preserve">in this dataset, </w:t>
      </w:r>
      <w:r w:rsidR="00755F6E">
        <w:t>having low</w:t>
      </w:r>
      <w:r w:rsidR="00A4792C">
        <w:t>est</w:t>
      </w:r>
      <w:r w:rsidR="00755F6E">
        <w:t xml:space="preserve"> odds </w:t>
      </w:r>
      <w:r w:rsidR="00044BA0">
        <w:t>(</w:t>
      </w:r>
      <m:oMath>
        <m:r>
          <w:rPr>
            <w:rFonts w:ascii="Cambria Math" w:hAnsi="Cambria Math"/>
          </w:rPr>
          <m:t>&lt;40)</m:t>
        </m:r>
      </m:oMath>
      <w:r w:rsidR="00044BA0">
        <w:rPr>
          <w:rFonts w:eastAsiaTheme="minorEastAsia"/>
        </w:rPr>
        <w:t xml:space="preserve"> </w:t>
      </w:r>
      <w:r w:rsidR="00755F6E">
        <w:t>of being ranked as superior.</w:t>
      </w:r>
    </w:p>
    <w:p w14:paraId="300E7BD7" w14:textId="14D93049" w:rsidR="008552A0" w:rsidRDefault="004C3EE7" w:rsidP="004F3350">
      <w:pPr>
        <w:pStyle w:val="ListParagraph"/>
        <w:numPr>
          <w:ilvl w:val="0"/>
          <w:numId w:val="2"/>
        </w:numPr>
        <w:spacing w:after="0"/>
      </w:pPr>
      <w:r>
        <w:t xml:space="preserve">That said, wine ranking is </w:t>
      </w:r>
      <w:r w:rsidRPr="00B63CF5">
        <w:rPr>
          <w:color w:val="3333FF"/>
        </w:rPr>
        <w:t>based on extremely subjective views</w:t>
      </w:r>
      <w:r>
        <w:t xml:space="preserve">. This likely explains the relatively </w:t>
      </w:r>
      <w:r w:rsidRPr="00B63CF5">
        <w:rPr>
          <w:color w:val="3333FF"/>
        </w:rPr>
        <w:t>wide spread of distributions</w:t>
      </w:r>
      <w:r w:rsidR="00664098" w:rsidRPr="00B63CF5">
        <w:rPr>
          <w:color w:val="3333FF"/>
        </w:rPr>
        <w:t xml:space="preserve"> and ample outliers</w:t>
      </w:r>
      <w:r>
        <w:t xml:space="preserve"> in most cases.</w:t>
      </w:r>
    </w:p>
    <w:bookmarkEnd w:id="3"/>
    <w:p w14:paraId="0D3E50F0" w14:textId="0AEBE273" w:rsidR="00625AD1" w:rsidRDefault="008858AB" w:rsidP="00625AD1">
      <w:pPr>
        <w:spacing w:after="0"/>
      </w:pPr>
      <w:r>
        <w:rPr>
          <w:noProof/>
        </w:rPr>
        <w:drawing>
          <wp:inline distT="0" distB="0" distL="0" distR="0" wp14:anchorId="165B1817" wp14:editId="3FB7FAAE">
            <wp:extent cx="6639602" cy="159915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53" cy="16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25AD1">
        <w:rPr>
          <w:noProof/>
        </w:rPr>
        <w:drawing>
          <wp:inline distT="0" distB="0" distL="0" distR="0" wp14:anchorId="581E59D1" wp14:editId="2ACF7416">
            <wp:extent cx="6578815" cy="246921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061" cy="2489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2FD8D" w14:textId="14606F75" w:rsidR="00900465" w:rsidRDefault="00900465" w:rsidP="00444913">
      <w:pPr>
        <w:spacing w:after="0"/>
        <w:jc w:val="center"/>
      </w:pPr>
    </w:p>
    <w:p w14:paraId="5C51DCCA" w14:textId="77777777" w:rsidR="008E1E38" w:rsidRDefault="008E1E38" w:rsidP="008E1E38">
      <w:pPr>
        <w:spacing w:before="240" w:after="0"/>
        <w:rPr>
          <w:u w:val="single"/>
        </w:rPr>
      </w:pPr>
      <w:r>
        <w:rPr>
          <w:u w:val="single"/>
        </w:rPr>
        <w:t>INFERENCES</w:t>
      </w:r>
    </w:p>
    <w:p w14:paraId="4675D221" w14:textId="04F8F454" w:rsidR="009B756A" w:rsidRDefault="00AC34E2" w:rsidP="009B756A">
      <w:pPr>
        <w:pStyle w:val="ListParagraph"/>
        <w:numPr>
          <w:ilvl w:val="0"/>
          <w:numId w:val="2"/>
        </w:numPr>
        <w:spacing w:after="0"/>
      </w:pPr>
      <w:bookmarkStart w:id="4" w:name="_Hlk165901054"/>
      <w:r>
        <w:t xml:space="preserve">Here, </w:t>
      </w:r>
      <w:r w:rsidR="004B793A">
        <w:t xml:space="preserve">subplot 1 </w:t>
      </w:r>
      <w:r w:rsidR="009B756A">
        <w:t xml:space="preserve">shows </w:t>
      </w:r>
      <w:r w:rsidR="009B756A">
        <w:t xml:space="preserve">the </w:t>
      </w:r>
      <w:r w:rsidR="009B756A">
        <w:t>unadjusted relationship between price</w:t>
      </w:r>
      <w:r w:rsidR="009B756A">
        <w:t xml:space="preserve"> (y axis)</w:t>
      </w:r>
      <w:r w:rsidR="009B756A">
        <w:t xml:space="preserve"> and the observed probability of superior rating for each wine variety</w:t>
      </w:r>
      <w:r w:rsidR="009B756A">
        <w:t xml:space="preserve"> (x axis)</w:t>
      </w:r>
      <w:r w:rsidR="009B756A">
        <w:t>.</w:t>
      </w:r>
      <w:r w:rsidR="009B756A">
        <w:t xml:space="preserve"> Subplot 2 shows the </w:t>
      </w:r>
      <w:r w:rsidRPr="00AC34E2">
        <w:t xml:space="preserve">observed mean price </w:t>
      </w:r>
      <w:r w:rsidR="009B756A">
        <w:t xml:space="preserve">(y axis) </w:t>
      </w:r>
      <w:r w:rsidRPr="00AC34E2">
        <w:t>v/s baseline posterior probability</w:t>
      </w:r>
      <w:r w:rsidR="004B793A">
        <w:t xml:space="preserve"> (log odds exponentiated</w:t>
      </w:r>
      <w:r w:rsidR="00B805D3">
        <w:t xml:space="preserve">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9B756A">
        <w:rPr>
          <w:rFonts w:eastAsiaTheme="minorEastAsia"/>
        </w:rPr>
        <w:t xml:space="preserve"> on x axis</w:t>
      </w:r>
      <w:r w:rsidR="004B793A">
        <w:t>)</w:t>
      </w:r>
      <w:r w:rsidRPr="00AC34E2">
        <w:t xml:space="preserve"> of wines getting rated as superior </w:t>
      </w:r>
      <w:r>
        <w:t xml:space="preserve">per variety </w:t>
      </w:r>
      <w:r w:rsidRPr="00AC34E2">
        <w:t>after accounting for fixed effects</w:t>
      </w:r>
      <w:r w:rsidR="00B805D3">
        <w:t xml:space="preserve">. </w:t>
      </w:r>
    </w:p>
    <w:p w14:paraId="4E75B88F" w14:textId="154E56AB" w:rsidR="00E51035" w:rsidRDefault="009B756A" w:rsidP="009B756A">
      <w:pPr>
        <w:pStyle w:val="ListParagraph"/>
        <w:numPr>
          <w:ilvl w:val="0"/>
          <w:numId w:val="2"/>
        </w:numPr>
        <w:spacing w:after="0"/>
      </w:pPr>
      <w:r>
        <w:t>Overall, it</w:t>
      </w:r>
      <w:r w:rsidR="00CC2ED0">
        <w:t xml:space="preserve"> can be</w:t>
      </w:r>
      <w:r w:rsidR="00AC34E2">
        <w:t xml:space="preserve"> observe</w:t>
      </w:r>
      <w:r w:rsidR="00CC2ED0">
        <w:t>d</w:t>
      </w:r>
      <w:r w:rsidR="00AC34E2">
        <w:t xml:space="preserve"> that </w:t>
      </w:r>
      <w:r w:rsidR="00CC2ED0">
        <w:t>p</w:t>
      </w:r>
      <w:r w:rsidR="00AC34E2" w:rsidRPr="00AC34E2">
        <w:t>robability</w:t>
      </w:r>
      <w:r w:rsidR="00AC34E2" w:rsidRPr="00AC34E2">
        <w:t xml:space="preserve"> of </w:t>
      </w:r>
      <w:r w:rsidR="00CC2ED0">
        <w:t>many</w:t>
      </w:r>
      <w:r w:rsidR="00AC34E2" w:rsidRPr="00AC34E2">
        <w:t xml:space="preserve"> wines</w:t>
      </w:r>
      <w:r w:rsidR="00CC2ED0">
        <w:t>, especially ones with</w:t>
      </w:r>
      <w:r w:rsidR="00AC34E2" w:rsidRPr="00AC34E2">
        <w:t xml:space="preserve"> a high price </w:t>
      </w:r>
      <w:r w:rsidR="00CC2ED0">
        <w:t>(</w:t>
      </w:r>
      <w:r w:rsidR="00AC34E2" w:rsidRPr="00AC34E2">
        <w:t xml:space="preserve">in subplot 1 dropped in subplot 2. And many wines that had low </w:t>
      </w:r>
      <w:r w:rsidR="00CC2ED0" w:rsidRPr="00AC34E2">
        <w:t>probability</w:t>
      </w:r>
      <w:r w:rsidR="00AC34E2" w:rsidRPr="00AC34E2">
        <w:t xml:space="preserve"> </w:t>
      </w:r>
      <w:r w:rsidR="00CC2ED0">
        <w:t xml:space="preserve">and price </w:t>
      </w:r>
      <w:r w:rsidR="00AC34E2" w:rsidRPr="00AC34E2">
        <w:t>in subplot 1, showed increase from that value in subplot 2.</w:t>
      </w:r>
    </w:p>
    <w:p w14:paraId="62810AD4" w14:textId="7F800C43" w:rsidR="009B756A" w:rsidRDefault="009B756A" w:rsidP="009B756A">
      <w:pPr>
        <w:pStyle w:val="ListParagraph"/>
        <w:numPr>
          <w:ilvl w:val="0"/>
          <w:numId w:val="2"/>
        </w:numPr>
        <w:spacing w:after="0"/>
      </w:pPr>
      <w:r>
        <w:t>An interesting observation was that going from subplot 1 to subplot 2, probability of high-priced wines (</w:t>
      </w:r>
      <w:proofErr w:type="gramStart"/>
      <w:r>
        <w:t>e.g.</w:t>
      </w:r>
      <w:proofErr w:type="gramEnd"/>
      <w:r>
        <w:t xml:space="preserve"> Cd = </w:t>
      </w:r>
      <w:r w:rsidRPr="009B756A">
        <w:t>Champagne Blend</w:t>
      </w:r>
      <w:r>
        <w:t>) dropped while that of cheaper wines (e.g. Mn = Melon) increased.</w:t>
      </w:r>
      <w:r w:rsidR="00A81908">
        <w:t xml:space="preserve"> </w:t>
      </w:r>
      <w:r w:rsidR="00A81908">
        <w:t>Varieties like "Cn" (Cabernet Sauvignon) and "CB" (Chenin Blanc-Chardonnay) with 0% observed superior wines (subplot 1) might be assigned higher probabilities (55-60%) in subplot 2</w:t>
      </w:r>
      <w:r w:rsidR="00A81908">
        <w:t xml:space="preserve"> because </w:t>
      </w:r>
      <w:r w:rsidR="00A81908">
        <w:t xml:space="preserve">these varieties </w:t>
      </w:r>
      <w:r w:rsidR="00B63CF5">
        <w:t>may have other</w:t>
      </w:r>
      <w:r w:rsidR="00A81908">
        <w:t xml:space="preserve"> characteristics</w:t>
      </w:r>
      <w:r w:rsidR="00A81908">
        <w:t xml:space="preserve"> than price, that are generally associated with </w:t>
      </w:r>
      <w:r w:rsidR="00A81908">
        <w:t>superior wines.</w:t>
      </w:r>
      <w:r w:rsidR="00A81908">
        <w:t xml:space="preserve"> </w:t>
      </w:r>
      <w:r w:rsidR="00A81908">
        <w:t xml:space="preserve">This suggests that price might be partially responsible for observed probabilities and it’s possible that some varieties like </w:t>
      </w:r>
      <w:r w:rsidR="00A81908" w:rsidRPr="009B756A">
        <w:t>Cd = Champagne Blend</w:t>
      </w:r>
      <w:r w:rsidR="00A81908">
        <w:t xml:space="preserve"> </w:t>
      </w:r>
      <w:r w:rsidR="00A81908">
        <w:t>may be</w:t>
      </w:r>
      <w:r w:rsidR="00A81908">
        <w:t xml:space="preserve"> overprice</w:t>
      </w:r>
      <w:r w:rsidR="008E3E21">
        <w:t>d</w:t>
      </w:r>
      <w:r w:rsidR="0056003B">
        <w:t xml:space="preserve"> and that</w:t>
      </w:r>
      <w:r w:rsidR="00724F24">
        <w:t xml:space="preserve"> </w:t>
      </w:r>
      <w:r w:rsidR="00113C24" w:rsidRPr="00B63CF5">
        <w:rPr>
          <w:i/>
          <w:iCs/>
          <w:color w:val="3333FF"/>
        </w:rPr>
        <w:t>while in its true that</w:t>
      </w:r>
      <w:r w:rsidR="00724F24" w:rsidRPr="00B63CF5">
        <w:rPr>
          <w:i/>
          <w:iCs/>
          <w:color w:val="3333FF"/>
        </w:rPr>
        <w:t xml:space="preserve"> price is positively correlated with price</w:t>
      </w:r>
      <w:r w:rsidR="00113C24" w:rsidRPr="00B63CF5">
        <w:rPr>
          <w:i/>
          <w:iCs/>
          <w:color w:val="3333FF"/>
        </w:rPr>
        <w:t>,</w:t>
      </w:r>
      <w:r w:rsidR="0056003B" w:rsidRPr="00B63CF5">
        <w:rPr>
          <w:i/>
          <w:iCs/>
          <w:color w:val="3333FF"/>
        </w:rPr>
        <w:t xml:space="preserve"> high price does not necessarily mean </w:t>
      </w:r>
      <w:r w:rsidR="00F31A72" w:rsidRPr="00B63CF5">
        <w:rPr>
          <w:i/>
          <w:iCs/>
          <w:color w:val="3333FF"/>
        </w:rPr>
        <w:t>wine with great properties.</w:t>
      </w:r>
      <w:r w:rsidR="00724F24" w:rsidRPr="00B63CF5">
        <w:rPr>
          <w:i/>
          <w:iCs/>
          <w:color w:val="3333FF"/>
        </w:rPr>
        <w:t xml:space="preserve"> </w:t>
      </w:r>
      <w:r w:rsidR="00113C24" w:rsidRPr="00B63CF5">
        <w:rPr>
          <w:i/>
          <w:iCs/>
          <w:color w:val="3333FF"/>
        </w:rPr>
        <w:t>So, you don’t have to break the bank to have great wine. There are plenty of affordable options</w:t>
      </w:r>
      <w:r w:rsidR="00113C24" w:rsidRPr="00DF1F87">
        <w:rPr>
          <w:b/>
          <w:bCs w:val="0"/>
          <w:i/>
          <w:iCs/>
        </w:rPr>
        <w:t>.</w:t>
      </w:r>
      <w:r w:rsidR="00DE1DB8">
        <w:rPr>
          <w:b/>
          <w:bCs w:val="0"/>
        </w:rPr>
        <w:t xml:space="preserve"> </w:t>
      </w:r>
      <w:r w:rsidR="00DE1DB8">
        <w:t xml:space="preserve">Here, </w:t>
      </w:r>
      <w:r w:rsidR="00DE1DB8" w:rsidRPr="00B63CF5">
        <w:rPr>
          <w:i/>
          <w:iCs/>
          <w:color w:val="3333FF"/>
        </w:rPr>
        <w:t xml:space="preserve">the model recommends wine varieties like Melon (Mn), </w:t>
      </w:r>
      <w:r w:rsidR="00DE1DB8" w:rsidRPr="00B63CF5">
        <w:rPr>
          <w:i/>
          <w:iCs/>
          <w:color w:val="3333FF"/>
        </w:rPr>
        <w:t>Malbec-Merlot</w:t>
      </w:r>
      <w:r w:rsidR="00DE1DB8" w:rsidRPr="00B63CF5">
        <w:rPr>
          <w:i/>
          <w:iCs/>
          <w:color w:val="3333FF"/>
        </w:rPr>
        <w:t xml:space="preserve"> (MM) and </w:t>
      </w:r>
      <w:r w:rsidR="00DE1DB8" w:rsidRPr="00B63CF5">
        <w:rPr>
          <w:i/>
          <w:iCs/>
          <w:color w:val="3333FF"/>
        </w:rPr>
        <w:t>Rhône-style White Blend</w:t>
      </w:r>
      <w:r w:rsidR="00DE1DB8" w:rsidRPr="00B63CF5">
        <w:rPr>
          <w:i/>
          <w:iCs/>
          <w:color w:val="3333FF"/>
        </w:rPr>
        <w:t xml:space="preserve"> (RW) as great affordable wines</w:t>
      </w:r>
      <w:r w:rsidR="00DE1DB8">
        <w:t xml:space="preserve"> that may be better overall than some of the </w:t>
      </w:r>
      <w:r w:rsidR="0073671F">
        <w:t>high-priced</w:t>
      </w:r>
      <w:r w:rsidR="00DE1DB8">
        <w:t xml:space="preserve"> wine</w:t>
      </w:r>
      <w:r w:rsidR="00FF4041">
        <w:t xml:space="preserve">s based on </w:t>
      </w:r>
      <w:r w:rsidR="00631C62">
        <w:t xml:space="preserve">properties like </w:t>
      </w:r>
      <w:r w:rsidR="00BE7F6D">
        <w:t>(alcohol, tannins, body)</w:t>
      </w:r>
      <w:r w:rsidR="00FF4041">
        <w:t>.</w:t>
      </w:r>
    </w:p>
    <w:p w14:paraId="36A1CD4E" w14:textId="0F17ED7D" w:rsidR="004D2698" w:rsidRDefault="003629D6" w:rsidP="00882C81">
      <w:pPr>
        <w:pStyle w:val="ListParagraph"/>
        <w:numPr>
          <w:ilvl w:val="0"/>
          <w:numId w:val="2"/>
        </w:numPr>
        <w:spacing w:after="0"/>
      </w:pPr>
      <w:r>
        <w:t xml:space="preserve">Other extreme changes can be observed in the </w:t>
      </w:r>
      <w:r w:rsidR="004D2698">
        <w:t xml:space="preserve">probability of success associated with </w:t>
      </w:r>
      <w:r>
        <w:t xml:space="preserve">some </w:t>
      </w:r>
      <w:r w:rsidR="004D2698">
        <w:t>varieties</w:t>
      </w:r>
      <w:r>
        <w:t xml:space="preserve"> like</w:t>
      </w:r>
      <w:r w:rsidR="004D2698">
        <w:t xml:space="preserve"> Pg (</w:t>
      </w:r>
      <w:r w:rsidR="004D2698" w:rsidRPr="004D2698">
        <w:t>Petit Manseng</w:t>
      </w:r>
      <w:r w:rsidR="004D2698">
        <w:t>) and Tt (</w:t>
      </w:r>
      <w:proofErr w:type="spellStart"/>
      <w:r w:rsidR="004D2698" w:rsidRPr="004D2698">
        <w:t>Tannat</w:t>
      </w:r>
      <w:proofErr w:type="spellEnd"/>
      <w:r w:rsidR="004D2698">
        <w:t xml:space="preserve">) which had 100% of </w:t>
      </w:r>
      <w:r>
        <w:t>observed wines rated</w:t>
      </w:r>
      <w:r w:rsidR="004D2698">
        <w:t xml:space="preserve"> superior in subplot 1, </w:t>
      </w:r>
      <w:r>
        <w:t>but in</w:t>
      </w:r>
      <w:r w:rsidR="004D2698">
        <w:t xml:space="preserve"> subplot 2</w:t>
      </w:r>
      <w:r>
        <w:t xml:space="preserve"> this drastically dropped to </w:t>
      </w:r>
      <w:r>
        <w:lastRenderedPageBreak/>
        <w:t xml:space="preserve">probability of a little less than </w:t>
      </w:r>
      <m:oMath>
        <m:r>
          <w:rPr>
            <w:rFonts w:ascii="Cambria Math" w:hAnsi="Cambria Math"/>
          </w:rPr>
          <m:t>40%</m:t>
        </m:r>
      </m:oMath>
      <w:r w:rsidR="004D2698">
        <w:t xml:space="preserve">. </w:t>
      </w:r>
      <w:r w:rsidR="00814B26">
        <w:t>This is expected to be because t</w:t>
      </w:r>
      <w:r w:rsidR="00814B26">
        <w:t xml:space="preserve">he initial high rating might </w:t>
      </w:r>
      <w:r w:rsidR="00814B26">
        <w:t>have been</w:t>
      </w:r>
      <w:r w:rsidR="00814B26">
        <w:t xml:space="preserve"> partly due to a </w:t>
      </w:r>
      <w:r w:rsidR="00814B26">
        <w:t>small</w:t>
      </w:r>
      <w:r w:rsidR="00814B26">
        <w:t xml:space="preserve"> sample size</w:t>
      </w:r>
      <w:r w:rsidR="00814B26">
        <w:t xml:space="preserve"> </w:t>
      </w:r>
      <w:r w:rsidR="00814B26">
        <w:t xml:space="preserve">or specific preferences of the raters for those </w:t>
      </w:r>
      <w:proofErr w:type="gramStart"/>
      <w:r w:rsidR="00814B26">
        <w:t>particular wines</w:t>
      </w:r>
      <w:proofErr w:type="gramEnd"/>
      <w:r w:rsidR="00814B26">
        <w:t>.</w:t>
      </w:r>
      <w:r w:rsidR="00814B26">
        <w:t xml:space="preserve"> </w:t>
      </w:r>
      <w:r w:rsidR="00814B26">
        <w:t xml:space="preserve">By accounting for these factors, the model might </w:t>
      </w:r>
      <w:r w:rsidR="00814B26">
        <w:t xml:space="preserve">have </w:t>
      </w:r>
      <w:r w:rsidR="00814B26">
        <w:t>adjust</w:t>
      </w:r>
      <w:r w:rsidR="00814B26">
        <w:t>ed</w:t>
      </w:r>
      <w:r w:rsidR="00814B26">
        <w:t xml:space="preserve"> the probability downwards to a more general level for </w:t>
      </w:r>
      <w:r w:rsidR="00814B26">
        <w:t>these</w:t>
      </w:r>
      <w:r w:rsidR="00814B26">
        <w:t xml:space="preserve"> variet</w:t>
      </w:r>
      <w:r w:rsidR="00814B26">
        <w:t>ies</w:t>
      </w:r>
      <w:r w:rsidR="00814B26">
        <w:t>.</w:t>
      </w:r>
    </w:p>
    <w:bookmarkEnd w:id="4"/>
    <w:p w14:paraId="10676312" w14:textId="25ADCCC1" w:rsidR="00FF58B6" w:rsidRDefault="00267B0A" w:rsidP="00FF58B6">
      <w:pPr>
        <w:spacing w:after="0"/>
        <w:jc w:val="center"/>
      </w:pPr>
      <w:r>
        <w:rPr>
          <w:noProof/>
        </w:rPr>
        <w:drawing>
          <wp:inline distT="0" distB="0" distL="0" distR="0" wp14:anchorId="3FFFB2CE" wp14:editId="06FAF647">
            <wp:extent cx="5369953" cy="177034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42" cy="1777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9B6D1" w14:textId="77777777" w:rsidR="00FF58B6" w:rsidRDefault="00FF58B6" w:rsidP="00FF58B6">
      <w:pPr>
        <w:spacing w:before="240" w:after="0"/>
        <w:rPr>
          <w:u w:val="single"/>
        </w:rPr>
      </w:pPr>
      <w:r>
        <w:rPr>
          <w:u w:val="single"/>
        </w:rPr>
        <w:t>INFERENCES</w:t>
      </w:r>
    </w:p>
    <w:p w14:paraId="2752B822" w14:textId="472859D6" w:rsidR="00FF58B6" w:rsidRDefault="00FF58B6" w:rsidP="00FF58B6">
      <w:pPr>
        <w:pStyle w:val="ListParagraph"/>
        <w:numPr>
          <w:ilvl w:val="0"/>
          <w:numId w:val="3"/>
        </w:numPr>
        <w:spacing w:after="0"/>
      </w:pPr>
      <w:bookmarkStart w:id="5" w:name="_Hlk165902007"/>
      <w:r>
        <w:t xml:space="preserve">The probability of wine being rated as superior is affected by the variety of wine. This chance is low </w:t>
      </w:r>
      <w:r w:rsidR="00267B0A">
        <w:t xml:space="preserve">(a little above </w:t>
      </w:r>
      <w:r>
        <w:t>3</w:t>
      </w:r>
      <w:r w:rsidR="00267B0A">
        <w:t>0</w:t>
      </w:r>
      <w:r>
        <w:t xml:space="preserve">%) if the wine variety was Gr = </w:t>
      </w:r>
      <w:r w:rsidR="00267B0A" w:rsidRPr="00267B0A">
        <w:t>Grenache</w:t>
      </w:r>
      <w:r w:rsidR="00267B0A">
        <w:t xml:space="preserve">, which increases to a little around 80% if the variety is Melon. </w:t>
      </w:r>
      <w:r w:rsidR="002C168A">
        <w:t xml:space="preserve">We </w:t>
      </w:r>
      <w:proofErr w:type="gramStart"/>
      <w:r w:rsidR="002C168A">
        <w:t>can</w:t>
      </w:r>
      <w:proofErr w:type="gramEnd"/>
      <w:r w:rsidR="002C168A">
        <w:t xml:space="preserve"> however, see that there I significant amounts of uncertainty in all cases also comparatively lower for varieties Re (</w:t>
      </w:r>
      <w:r w:rsidR="002C168A" w:rsidRPr="002C168A">
        <w:t>Rosé</w:t>
      </w:r>
      <w:r w:rsidR="002C168A">
        <w:t xml:space="preserve">) and </w:t>
      </w:r>
      <w:r w:rsidR="002C168A">
        <w:t xml:space="preserve">Gr </w:t>
      </w:r>
      <w:r w:rsidR="002C168A">
        <w:t>(</w:t>
      </w:r>
      <w:r w:rsidR="002C168A" w:rsidRPr="00267B0A">
        <w:t>Grenache</w:t>
      </w:r>
      <w:r w:rsidR="002C168A">
        <w:t>).</w:t>
      </w:r>
    </w:p>
    <w:bookmarkEnd w:id="5"/>
    <w:p w14:paraId="5FC8D9E6" w14:textId="6662D3FD" w:rsidR="004C714C" w:rsidRDefault="004C714C" w:rsidP="004C714C">
      <w:pPr>
        <w:spacing w:after="0"/>
        <w:jc w:val="center"/>
      </w:pPr>
      <w:r>
        <w:rPr>
          <w:noProof/>
        </w:rPr>
        <w:drawing>
          <wp:inline distT="0" distB="0" distL="0" distR="0" wp14:anchorId="21E64C0F" wp14:editId="545417DB">
            <wp:extent cx="5792670" cy="19064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74" cy="19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EA314" w14:textId="77777777" w:rsidR="009260C3" w:rsidRDefault="009260C3" w:rsidP="009260C3">
      <w:pPr>
        <w:spacing w:before="240" w:after="0"/>
        <w:rPr>
          <w:u w:val="single"/>
        </w:rPr>
      </w:pPr>
      <w:r>
        <w:rPr>
          <w:u w:val="single"/>
        </w:rPr>
        <w:t>INFERENCES</w:t>
      </w:r>
    </w:p>
    <w:p w14:paraId="6043065D" w14:textId="274E9B54" w:rsidR="009260C3" w:rsidRDefault="009260C3" w:rsidP="009260C3">
      <w:pPr>
        <w:pStyle w:val="ListParagraph"/>
        <w:numPr>
          <w:ilvl w:val="0"/>
          <w:numId w:val="3"/>
        </w:numPr>
        <w:spacing w:after="0"/>
      </w:pPr>
      <w:bookmarkStart w:id="6" w:name="_Hlk165902086"/>
      <w:r>
        <w:t xml:space="preserve">In both cases, the F1 score is lower than accuracy suggesting that </w:t>
      </w:r>
      <w:r>
        <w:t>there might be an imbalance between precision and recall.</w:t>
      </w:r>
    </w:p>
    <w:p w14:paraId="43839EB7" w14:textId="24681A25" w:rsidR="009260C3" w:rsidRDefault="009260C3" w:rsidP="009260C3">
      <w:pPr>
        <w:pStyle w:val="ListParagraph"/>
        <w:numPr>
          <w:ilvl w:val="0"/>
          <w:numId w:val="3"/>
        </w:numPr>
        <w:spacing w:after="0"/>
      </w:pPr>
      <w:r>
        <w:t>There is some overfitting given than accuracy and F1 scores on the testing set are lower than on the training set.</w:t>
      </w:r>
    </w:p>
    <w:p w14:paraId="2F453A42" w14:textId="1B2F8E05" w:rsidR="006F6CFD" w:rsidRDefault="009260C3" w:rsidP="006F6CFD">
      <w:pPr>
        <w:pStyle w:val="ListParagraph"/>
        <w:numPr>
          <w:ilvl w:val="0"/>
          <w:numId w:val="3"/>
        </w:numPr>
        <w:spacing w:after="0"/>
      </w:pPr>
      <w:r>
        <w:t xml:space="preserve">Overall, the model is </w:t>
      </w:r>
      <w:r>
        <w:t>overfitting the training data.</w:t>
      </w:r>
      <w:r>
        <w:t xml:space="preserve"> </w:t>
      </w:r>
      <w:r>
        <w:t>It performs well on data it has already seen but struggles to generalize to unseen data in the test set. This can lead to unreliable predictions on new data.</w:t>
      </w:r>
      <w:r w:rsidR="006F6CFD">
        <w:t xml:space="preserve"> Improvements and alternate approaches should be explored to improve prediction performance.</w:t>
      </w:r>
    </w:p>
    <w:bookmarkEnd w:id="6"/>
    <w:p w14:paraId="2746706F" w14:textId="77777777" w:rsidR="004C714C" w:rsidRPr="00241E71" w:rsidRDefault="004C714C" w:rsidP="004C714C">
      <w:pPr>
        <w:spacing w:after="0"/>
      </w:pPr>
    </w:p>
    <w:sectPr w:rsidR="004C714C" w:rsidRPr="00241E71" w:rsidSect="00EC7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2CE"/>
    <w:multiLevelType w:val="hybridMultilevel"/>
    <w:tmpl w:val="5C42BFB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D67E86"/>
    <w:multiLevelType w:val="hybridMultilevel"/>
    <w:tmpl w:val="A1549F8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461EA9"/>
    <w:multiLevelType w:val="hybridMultilevel"/>
    <w:tmpl w:val="2EDE5FB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2305046">
    <w:abstractNumId w:val="2"/>
  </w:num>
  <w:num w:numId="2" w16cid:durableId="480778298">
    <w:abstractNumId w:val="0"/>
  </w:num>
  <w:num w:numId="3" w16cid:durableId="1257858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E0"/>
    <w:rsid w:val="00044BA0"/>
    <w:rsid w:val="0005620F"/>
    <w:rsid w:val="000905FD"/>
    <w:rsid w:val="000B7649"/>
    <w:rsid w:val="000C04E8"/>
    <w:rsid w:val="000D35CA"/>
    <w:rsid w:val="000E5EB6"/>
    <w:rsid w:val="000F02E7"/>
    <w:rsid w:val="00113C24"/>
    <w:rsid w:val="0011511E"/>
    <w:rsid w:val="001215D1"/>
    <w:rsid w:val="001526F7"/>
    <w:rsid w:val="001646B0"/>
    <w:rsid w:val="001C08CD"/>
    <w:rsid w:val="001E2C3E"/>
    <w:rsid w:val="00222E5D"/>
    <w:rsid w:val="002327C3"/>
    <w:rsid w:val="00235E51"/>
    <w:rsid w:val="002410C9"/>
    <w:rsid w:val="00241E71"/>
    <w:rsid w:val="0025563A"/>
    <w:rsid w:val="00267B0A"/>
    <w:rsid w:val="00273D87"/>
    <w:rsid w:val="002A2B73"/>
    <w:rsid w:val="002C168A"/>
    <w:rsid w:val="002F3F54"/>
    <w:rsid w:val="003173C5"/>
    <w:rsid w:val="00337512"/>
    <w:rsid w:val="00341A97"/>
    <w:rsid w:val="003513FF"/>
    <w:rsid w:val="0035540D"/>
    <w:rsid w:val="0036124A"/>
    <w:rsid w:val="003629D6"/>
    <w:rsid w:val="00372811"/>
    <w:rsid w:val="003B4004"/>
    <w:rsid w:val="003C4CB7"/>
    <w:rsid w:val="003C7A81"/>
    <w:rsid w:val="003E2C42"/>
    <w:rsid w:val="003F385E"/>
    <w:rsid w:val="003F6FE0"/>
    <w:rsid w:val="00403693"/>
    <w:rsid w:val="004157D8"/>
    <w:rsid w:val="0043436A"/>
    <w:rsid w:val="00441A5F"/>
    <w:rsid w:val="00443970"/>
    <w:rsid w:val="00444913"/>
    <w:rsid w:val="004512D5"/>
    <w:rsid w:val="00454261"/>
    <w:rsid w:val="00497AA9"/>
    <w:rsid w:val="004A666F"/>
    <w:rsid w:val="004B793A"/>
    <w:rsid w:val="004C3EE7"/>
    <w:rsid w:val="004C56E5"/>
    <w:rsid w:val="004C714C"/>
    <w:rsid w:val="004D0D2E"/>
    <w:rsid w:val="004D2698"/>
    <w:rsid w:val="004E55FE"/>
    <w:rsid w:val="004F3350"/>
    <w:rsid w:val="00506E9F"/>
    <w:rsid w:val="0056003B"/>
    <w:rsid w:val="005948C8"/>
    <w:rsid w:val="005B7FBC"/>
    <w:rsid w:val="005C160D"/>
    <w:rsid w:val="005D2F0E"/>
    <w:rsid w:val="005E1248"/>
    <w:rsid w:val="005F428E"/>
    <w:rsid w:val="00620956"/>
    <w:rsid w:val="00621F7C"/>
    <w:rsid w:val="00622023"/>
    <w:rsid w:val="00625AD1"/>
    <w:rsid w:val="00631C62"/>
    <w:rsid w:val="00642B72"/>
    <w:rsid w:val="00664098"/>
    <w:rsid w:val="0067057C"/>
    <w:rsid w:val="006A28C6"/>
    <w:rsid w:val="006D39EB"/>
    <w:rsid w:val="006F6CFD"/>
    <w:rsid w:val="00706B79"/>
    <w:rsid w:val="00720E73"/>
    <w:rsid w:val="00724F24"/>
    <w:rsid w:val="00731B9C"/>
    <w:rsid w:val="00733398"/>
    <w:rsid w:val="0073671F"/>
    <w:rsid w:val="00755F6E"/>
    <w:rsid w:val="007A54FC"/>
    <w:rsid w:val="007F7A9B"/>
    <w:rsid w:val="008049DD"/>
    <w:rsid w:val="00814B26"/>
    <w:rsid w:val="0081641C"/>
    <w:rsid w:val="008552A0"/>
    <w:rsid w:val="00856779"/>
    <w:rsid w:val="00863C8E"/>
    <w:rsid w:val="008647D7"/>
    <w:rsid w:val="008743CF"/>
    <w:rsid w:val="00874BD7"/>
    <w:rsid w:val="00882C81"/>
    <w:rsid w:val="008858AB"/>
    <w:rsid w:val="008A2B7E"/>
    <w:rsid w:val="008E1E38"/>
    <w:rsid w:val="008E3E21"/>
    <w:rsid w:val="00900465"/>
    <w:rsid w:val="00900BC8"/>
    <w:rsid w:val="009076D7"/>
    <w:rsid w:val="009152EC"/>
    <w:rsid w:val="009260C3"/>
    <w:rsid w:val="00956730"/>
    <w:rsid w:val="009717A1"/>
    <w:rsid w:val="009741CE"/>
    <w:rsid w:val="00984CC1"/>
    <w:rsid w:val="0098615F"/>
    <w:rsid w:val="009B756A"/>
    <w:rsid w:val="009D5CCF"/>
    <w:rsid w:val="009F67C5"/>
    <w:rsid w:val="00A225B0"/>
    <w:rsid w:val="00A34A2B"/>
    <w:rsid w:val="00A4365C"/>
    <w:rsid w:val="00A4792C"/>
    <w:rsid w:val="00A62AE0"/>
    <w:rsid w:val="00A71D38"/>
    <w:rsid w:val="00A81908"/>
    <w:rsid w:val="00A97D50"/>
    <w:rsid w:val="00AA7808"/>
    <w:rsid w:val="00AB598A"/>
    <w:rsid w:val="00AC34E2"/>
    <w:rsid w:val="00AC7781"/>
    <w:rsid w:val="00AE4D28"/>
    <w:rsid w:val="00AE4E51"/>
    <w:rsid w:val="00B1068A"/>
    <w:rsid w:val="00B12DB7"/>
    <w:rsid w:val="00B20860"/>
    <w:rsid w:val="00B534BE"/>
    <w:rsid w:val="00B63CF5"/>
    <w:rsid w:val="00B804D8"/>
    <w:rsid w:val="00B805D3"/>
    <w:rsid w:val="00BA51AE"/>
    <w:rsid w:val="00BE033F"/>
    <w:rsid w:val="00BE521E"/>
    <w:rsid w:val="00BE7F6D"/>
    <w:rsid w:val="00BF3AEF"/>
    <w:rsid w:val="00C11DCB"/>
    <w:rsid w:val="00C16C0B"/>
    <w:rsid w:val="00C1701A"/>
    <w:rsid w:val="00C33F6C"/>
    <w:rsid w:val="00C52D32"/>
    <w:rsid w:val="00C5477D"/>
    <w:rsid w:val="00C65656"/>
    <w:rsid w:val="00CB10C3"/>
    <w:rsid w:val="00CB4A5A"/>
    <w:rsid w:val="00CC2ED0"/>
    <w:rsid w:val="00CF78B3"/>
    <w:rsid w:val="00D0702D"/>
    <w:rsid w:val="00D4160D"/>
    <w:rsid w:val="00D45D36"/>
    <w:rsid w:val="00D652E2"/>
    <w:rsid w:val="00DC1234"/>
    <w:rsid w:val="00DC25AB"/>
    <w:rsid w:val="00DC7DAF"/>
    <w:rsid w:val="00DE1DB8"/>
    <w:rsid w:val="00DF1F87"/>
    <w:rsid w:val="00E15499"/>
    <w:rsid w:val="00E2563A"/>
    <w:rsid w:val="00E51035"/>
    <w:rsid w:val="00E82AE8"/>
    <w:rsid w:val="00E92793"/>
    <w:rsid w:val="00EC19B6"/>
    <w:rsid w:val="00EC715D"/>
    <w:rsid w:val="00F175C2"/>
    <w:rsid w:val="00F31A72"/>
    <w:rsid w:val="00F852EA"/>
    <w:rsid w:val="00FD4085"/>
    <w:rsid w:val="00FE541F"/>
    <w:rsid w:val="00FF4041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3E08"/>
  <w15:chartTrackingRefBased/>
  <w15:docId w15:val="{79ABA1F3-C877-4E3E-B15E-475E8F30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pacing w:val="-10"/>
        <w:kern w:val="28"/>
        <w:sz w:val="22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81">
    <w:name w:val="sc81"/>
    <w:basedOn w:val="DefaultParagraphFont"/>
    <w:rsid w:val="00EC715D"/>
    <w:rPr>
      <w:rFonts w:ascii="Courier New" w:hAnsi="Courier New" w:cs="Courier New" w:hint="default"/>
      <w:b/>
      <w:bCs w:val="0"/>
      <w:color w:val="000080"/>
      <w:sz w:val="20"/>
      <w:szCs w:val="20"/>
    </w:rPr>
  </w:style>
  <w:style w:type="character" w:customStyle="1" w:styleId="sc0">
    <w:name w:val="sc0"/>
    <w:basedOn w:val="DefaultParagraphFont"/>
    <w:rsid w:val="00EC71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EC71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EC71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EC71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43436A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43436A"/>
    <w:rPr>
      <w:rFonts w:ascii="Courier New" w:hAnsi="Courier New" w:cs="Courier New" w:hint="default"/>
      <w:color w:val="804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B10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jpa21</b:Tag>
    <b:SourceType>InternetSite</b:SourceType>
    <b:Guid>{6DCCEBFF-4B28-430B-BC23-86357A690512}</b:Guid>
    <b:Author>
      <b:Author>
        <b:NameList>
          <b:Person>
            <b:Last>jpalm</b:Last>
          </b:Person>
        </b:NameList>
      </b:Author>
    </b:Author>
    <b:Title>Exclusion of 0 in 95% Credible Interval</b:Title>
    <b:ProductionCompany>StackExchange</b:ProductionCompany>
    <b:Year>2021</b:Year>
    <b:Month>July</b:Month>
    <b:Day>2</b:Day>
    <b:YearAccessed>2024</b:YearAccessed>
    <b:MonthAccessed>April</b:MonthAccessed>
    <b:DayAccessed>5</b:DayAccessed>
    <b:URL>https://stats.stackexchange.com/questions/533023/exclusion-of-0-in-95-credible-interval</b:URL>
    <b:RefOrder>1</b:RefOrder>
  </b:Source>
  <b:Source>
    <b:Tag>jso21</b:Tag>
    <b:SourceType>InternetSite</b:SourceType>
    <b:Guid>{2E03F971-195A-4ED5-807E-6A7740971CFC}</b:Guid>
    <b:Author>
      <b:Author>
        <b:Corporate>jsocolar et al.</b:Corporate>
      </b:Author>
    </b:Author>
    <b:Title>Bayesian credible intervals: Significant compared to what?</b:Title>
    <b:ProductionCompany>Stan</b:ProductionCompany>
    <b:Year>2021</b:Year>
    <b:Month>May</b:Month>
    <b:YearAccessed>2024</b:YearAccessed>
    <b:MonthAccessed>April</b:MonthAccessed>
    <b:DayAccessed>5</b:DayAccessed>
    <b:URL>https://discourse.mc-stan.org/t/bayesian-credible-intervals-significant-compared-to-what/22700</b:URL>
    <b:RefOrder>2</b:RefOrder>
  </b:Source>
</b:Sources>
</file>

<file path=customXml/itemProps1.xml><?xml version="1.0" encoding="utf-8"?>
<ds:datastoreItem xmlns:ds="http://schemas.openxmlformats.org/officeDocument/2006/customXml" ds:itemID="{79F2FA9E-55CB-4334-8C7B-D128575E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Girish Nair</dc:creator>
  <cp:keywords/>
  <dc:description/>
  <cp:lastModifiedBy>Gayathri Girish Nair</cp:lastModifiedBy>
  <cp:revision>148</cp:revision>
  <dcterms:created xsi:type="dcterms:W3CDTF">2024-05-05T02:42:00Z</dcterms:created>
  <dcterms:modified xsi:type="dcterms:W3CDTF">2024-05-06T15:58:00Z</dcterms:modified>
</cp:coreProperties>
</file>