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83f04"/>
          <w:sz w:val="18"/>
          <w:szCs w:val="18"/>
          <w:rtl w:val="0"/>
        </w:rPr>
        <w:t xml:space="preserve">B6 - Homepage &amp;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Verdana" w:cs="Verdana" w:eastAsia="Verdana" w:hAnsi="Verdana"/>
          <w:b w:val="1"/>
          <w:color w:val="783f04"/>
          <w:sz w:val="18"/>
          <w:szCs w:val="18"/>
          <w:rtl w:val="0"/>
        </w:rPr>
        <w:t xml:space="preserve">User Goal: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Allow users to drill into the site easily from one of the 3 Browse categories and showcase a Featured Destination. Secondary Goal is to encourage new users to Sign Up and become members by highlighting the Member Benefits.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Brand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(logo placement)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Value Proposition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(this describes the site)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 World of Waves at your Fingertips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See the outer reefs of Bali. Surf Morocco’s “Money Wave”. Surf Tavarua from your own virtual seat at “Restaurants”. Explore a world of surf… from anywhere in the world.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Members Section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Login Form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(for returning members)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username field and label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password field and label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remember me affordance/signifier</w:t>
      </w:r>
    </w:p>
    <w:p w:rsidR="00000000" w:rsidDel="00000000" w:rsidP="00000000" w:rsidRDefault="00000000" w:rsidRPr="00000000">
      <w:pPr>
        <w:widowControl w:val="0"/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“Log In” affordance/signifier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Become a Member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(for new visitors)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rovide Benefits (see below)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Sign Up affordance/signifier that takes users to the sign-up form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Featured Destination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Destination title 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(ex. Supertubos, Peniche Portugal)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Picture (high resolution photo or placeholder)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Brief description</w:t>
      </w:r>
    </w:p>
    <w:p w:rsidR="00000000" w:rsidDel="00000000" w:rsidP="00000000" w:rsidRDefault="00000000" w:rsidRPr="00000000">
      <w:pPr>
        <w:widowControl w:val="0"/>
        <w:numPr>
          <w:ilvl w:val="2"/>
          <w:numId w:val="5"/>
        </w:numPr>
        <w:ind w:left="2160" w:hanging="360"/>
        <w:contextualSpacing w:val="1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Make no mistake: Supertubos is one of the best waves in Europe. There's one main peak with a super-fast (though makeable) left, and a somewhat shorter right, and one other peak down the beach that's not quite as perfect but still way better than your average day at Huntington Pier.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More Details »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affordance/signifier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3 Browse Categories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(These links will direct users to lists)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Link to site category (ex. Destinations)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Link to site category (ex. Surf Savers)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Link to site category (ex. Top Picks)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Search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Search field with intuitive affordance/signifier to search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83f04"/>
          <w:sz w:val="20"/>
          <w:szCs w:val="20"/>
          <w:rtl w:val="0"/>
        </w:rPr>
        <w:t xml:space="preserve">Member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Visual example of formatted text.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Create a unique layout to match your wireframes. Add icons or placeholders to include a Thumbnail + Text Design pattern.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220.0" w:type="dxa"/>
        <w:jc w:val="left"/>
        <w:tblInd w:w="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trHeight w:val="1040" w:hRule="atLeast"/>
        </w:trPr>
        <w:tc>
          <w:tcPr>
            <w:tcBorders>
              <w:top w:color="666666" w:space="0" w:sz="8" w:val="single"/>
              <w:left w:color="666666" w:space="0" w:sz="8" w:val="single"/>
              <w:bottom w:color="999999" w:space="0" w:sz="8" w:val="single"/>
              <w:right w:color="666666" w:space="0" w:sz="8" w:val="single"/>
            </w:tcBorders>
            <w:shd w:fill="666666"/>
            <w:tcMar>
              <w:top w:w="243.36" w:type="dxa"/>
              <w:left w:w="243.36" w:type="dxa"/>
              <w:bottom w:w="243.36" w:type="dxa"/>
              <w:right w:w="243.36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efefef"/>
                <w:sz w:val="28"/>
                <w:szCs w:val="28"/>
                <w:rtl w:val="0"/>
              </w:rPr>
              <w:t xml:space="preserve">Member Benefits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efefef"/>
                <w:rtl w:val="0"/>
              </w:rPr>
              <w:t xml:space="preserve">Worldsurf.com provides its members with access to premium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efefef"/>
                <w:rtl w:val="0"/>
              </w:rPr>
              <w:t xml:space="preserve">members only</w:t>
            </w:r>
            <w:r w:rsidDel="00000000" w:rsidR="00000000" w:rsidRPr="00000000">
              <w:rPr>
                <w:rFonts w:ascii="Verdana" w:cs="Verdana" w:eastAsia="Verdana" w:hAnsi="Verdana"/>
                <w:color w:val="efefef"/>
                <w:rtl w:val="0"/>
              </w:rPr>
              <w:t xml:space="preserve"> features like: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/>
            <w:tcMar>
              <w:top w:w="243.36" w:type="dxa"/>
              <w:left w:w="243.36" w:type="dxa"/>
              <w:bottom w:w="243.36" w:type="dxa"/>
              <w:right w:w="243.36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WorldSurf Cams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See what the conditions are like 24 hours a day 7 days a week with our destination cams. Exclusive to worldsurf.com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/>
            <w:tcMar>
              <w:top w:w="243.36" w:type="dxa"/>
              <w:left w:w="243.36" w:type="dxa"/>
              <w:bottom w:w="243.36" w:type="dxa"/>
              <w:right w:w="243.36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Tips &amp; Tricks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Get advice from other surfers that have “been-there-done-that” to make your next surf trip the best it can be.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/>
            <w:tcMar>
              <w:top w:w="243.36" w:type="dxa"/>
              <w:left w:w="243.36" w:type="dxa"/>
              <w:bottom w:w="243.36" w:type="dxa"/>
              <w:right w:w="243.36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Surf Saver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Save and revisit your favorite surf destinations to make the decision of where to go next, easier.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783f04"/>
          <w:sz w:val="18"/>
          <w:szCs w:val="18"/>
          <w:rtl w:val="0"/>
        </w:rPr>
        <w:t xml:space="preserve">Design Patterns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Utilize these Design Patterns for your wireframes. Definitions found in your textbook.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1. Feature, Search, Browse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2. Escape hatch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3. Titled sections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4. Prominent “done” buttons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5. Clear Entry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6. Grid of Equals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7. Center Stage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8. Dynamic Queries (one way to find destinations using categories)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9. Overview + Detail (another way to find destinations using a map)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10. Datatips (indicating destinations on a map)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rPr>
          <w:color w:val="434343"/>
          <w:sz w:val="20"/>
          <w:szCs w:val="20"/>
          <w:highlight w:val="white"/>
        </w:rPr>
      </w:pP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11. Global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Don’t forget to annotate each Design Pattern on your wireframes. Make sure to check the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Grading Rubric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for all of your requirements.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/ccc?key=0AhFLFEj_TAlgdFR4bzlkb0NYMVVSNTFYU1BkV3p6Qmc&amp;usp=drive_web#gid=21" TargetMode="External"/></Relationships>
</file>