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480" w:lineRule="auto"/>
        <w:rPr>
          <w:b w:val="1"/>
          <w:sz w:val="34"/>
          <w:szCs w:val="34"/>
        </w:rPr>
      </w:pPr>
      <w:bookmarkStart w:colFirst="0" w:colLast="0" w:name="_i4ps1074u62r" w:id="0"/>
      <w:bookmarkEnd w:id="0"/>
      <w:r w:rsidDel="00000000" w:rsidR="00000000" w:rsidRPr="00000000">
        <w:rPr>
          <w:b w:val="1"/>
          <w:sz w:val="34"/>
          <w:szCs w:val="34"/>
          <w:rtl w:val="0"/>
        </w:rPr>
        <w:t xml:space="preserve">S&amp;P500</w:t>
      </w:r>
      <w:r w:rsidDel="00000000" w:rsidR="00000000" w:rsidRPr="00000000">
        <w:rPr>
          <w:b w:val="1"/>
          <w:sz w:val="34"/>
          <w:szCs w:val="34"/>
          <w:rtl w:val="0"/>
        </w:rPr>
        <w:t xml:space="preserve"> - ESG Data Analytics Report</w:t>
      </w:r>
    </w:p>
    <w:p w:rsidR="00000000" w:rsidDel="00000000" w:rsidP="00000000" w:rsidRDefault="00000000" w:rsidRPr="00000000" w14:paraId="00000002">
      <w:pPr>
        <w:pStyle w:val="Heading3"/>
        <w:keepNext w:val="0"/>
        <w:keepLines w:val="0"/>
        <w:spacing w:before="280" w:line="480" w:lineRule="auto"/>
        <w:rPr>
          <w:b w:val="1"/>
          <w:color w:val="000000"/>
          <w:sz w:val="26"/>
          <w:szCs w:val="26"/>
        </w:rPr>
      </w:pPr>
      <w:bookmarkStart w:colFirst="0" w:colLast="0" w:name="_6dwbqg3mykzo"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3">
      <w:pPr>
        <w:spacing w:after="240" w:before="240" w:line="480" w:lineRule="auto"/>
        <w:rPr/>
      </w:pPr>
      <w:r w:rsidDel="00000000" w:rsidR="00000000" w:rsidRPr="00000000">
        <w:rPr>
          <w:rtl w:val="0"/>
        </w:rPr>
        <w:t xml:space="preserve">This report provides an in-depth analysis of the relationship between ESG (Environmental, Social, and Governance) scores and financial performance metrics of companies listed in the S&amp;P 500. It focuses on understanding the correlations and significant differences across various sectors, leveraging hypothesis testing and visualization techniques.</w:t>
      </w:r>
    </w:p>
    <w:p w:rsidR="00000000" w:rsidDel="00000000" w:rsidP="00000000" w:rsidRDefault="00000000" w:rsidRPr="00000000" w14:paraId="00000004">
      <w:pPr>
        <w:pStyle w:val="Heading3"/>
        <w:keepNext w:val="0"/>
        <w:keepLines w:val="0"/>
        <w:spacing w:before="280" w:line="480" w:lineRule="auto"/>
        <w:rPr>
          <w:b w:val="1"/>
          <w:color w:val="000000"/>
          <w:sz w:val="26"/>
          <w:szCs w:val="26"/>
        </w:rPr>
      </w:pPr>
      <w:bookmarkStart w:colFirst="0" w:colLast="0" w:name="_mk00v5h25wqs" w:id="2"/>
      <w:bookmarkEnd w:id="2"/>
      <w:r w:rsidDel="00000000" w:rsidR="00000000" w:rsidRPr="00000000">
        <w:rPr>
          <w:b w:val="1"/>
          <w:color w:val="000000"/>
          <w:sz w:val="26"/>
          <w:szCs w:val="26"/>
          <w:rtl w:val="0"/>
        </w:rPr>
        <w:t xml:space="preserve">Data Overview</w:t>
      </w:r>
    </w:p>
    <w:p w:rsidR="00000000" w:rsidDel="00000000" w:rsidP="00000000" w:rsidRDefault="00000000" w:rsidRPr="00000000" w14:paraId="00000005">
      <w:pPr>
        <w:numPr>
          <w:ilvl w:val="0"/>
          <w:numId w:val="5"/>
        </w:numPr>
        <w:spacing w:after="0" w:afterAutospacing="0" w:before="240" w:line="480" w:lineRule="auto"/>
        <w:ind w:left="720" w:hanging="360"/>
      </w:pPr>
      <w:r w:rsidDel="00000000" w:rsidR="00000000" w:rsidRPr="00000000">
        <w:rPr>
          <w:b w:val="1"/>
          <w:rtl w:val="0"/>
        </w:rPr>
        <w:t xml:space="preserve">S&amp;P 500 Constituents Financials</w:t>
      </w:r>
      <w:r w:rsidDel="00000000" w:rsidR="00000000" w:rsidRPr="00000000">
        <w:rPr>
          <w:rtl w:val="0"/>
        </w:rPr>
        <w:t xml:space="preserve">: Financial metrics of S&amp;P 500 companies.</w:t>
      </w:r>
    </w:p>
    <w:p w:rsidR="00000000" w:rsidDel="00000000" w:rsidP="00000000" w:rsidRDefault="00000000" w:rsidRPr="00000000" w14:paraId="00000006">
      <w:pPr>
        <w:numPr>
          <w:ilvl w:val="0"/>
          <w:numId w:val="5"/>
        </w:numPr>
        <w:spacing w:after="240" w:before="0" w:beforeAutospacing="0" w:line="480" w:lineRule="auto"/>
        <w:ind w:left="720" w:hanging="360"/>
      </w:pPr>
      <w:r w:rsidDel="00000000" w:rsidR="00000000" w:rsidRPr="00000000">
        <w:rPr>
          <w:b w:val="1"/>
          <w:rtl w:val="0"/>
        </w:rPr>
        <w:t xml:space="preserve">S&amp;P 500 ESG Risk Ratings</w:t>
      </w:r>
      <w:r w:rsidDel="00000000" w:rsidR="00000000" w:rsidRPr="00000000">
        <w:rPr>
          <w:rtl w:val="0"/>
        </w:rPr>
        <w:t xml:space="preserve">: ESG risk ratings for S&amp;P 500 companies.</w:t>
      </w:r>
    </w:p>
    <w:p w:rsidR="00000000" w:rsidDel="00000000" w:rsidP="00000000" w:rsidRDefault="00000000" w:rsidRPr="00000000" w14:paraId="00000007">
      <w:pPr>
        <w:pStyle w:val="Heading3"/>
        <w:keepNext w:val="0"/>
        <w:keepLines w:val="0"/>
        <w:spacing w:before="280" w:line="480" w:lineRule="auto"/>
        <w:rPr>
          <w:b w:val="1"/>
          <w:color w:val="000000"/>
          <w:sz w:val="26"/>
          <w:szCs w:val="26"/>
        </w:rPr>
      </w:pPr>
      <w:bookmarkStart w:colFirst="0" w:colLast="0" w:name="_mr85tju4c8ix" w:id="3"/>
      <w:bookmarkEnd w:id="3"/>
      <w:r w:rsidDel="00000000" w:rsidR="00000000" w:rsidRPr="00000000">
        <w:rPr>
          <w:b w:val="1"/>
          <w:color w:val="000000"/>
          <w:sz w:val="26"/>
          <w:szCs w:val="26"/>
          <w:rtl w:val="0"/>
        </w:rPr>
        <w:t xml:space="preserve">Objectives</w:t>
      </w:r>
    </w:p>
    <w:p w:rsidR="00000000" w:rsidDel="00000000" w:rsidP="00000000" w:rsidRDefault="00000000" w:rsidRPr="00000000" w14:paraId="00000008">
      <w:pPr>
        <w:numPr>
          <w:ilvl w:val="0"/>
          <w:numId w:val="7"/>
        </w:numPr>
        <w:spacing w:after="0" w:afterAutospacing="0" w:before="240" w:line="480" w:lineRule="auto"/>
        <w:ind w:left="720" w:hanging="360"/>
      </w:pPr>
      <w:r w:rsidDel="00000000" w:rsidR="00000000" w:rsidRPr="00000000">
        <w:rPr>
          <w:b w:val="1"/>
          <w:rtl w:val="0"/>
        </w:rPr>
        <w:t xml:space="preserve">Correlation Analysis</w:t>
      </w:r>
      <w:r w:rsidDel="00000000" w:rsidR="00000000" w:rsidRPr="00000000">
        <w:rPr>
          <w:rtl w:val="0"/>
        </w:rPr>
        <w:t xml:space="preserve">: Examine the correlation between ESG scores and financial metrics.</w:t>
      </w:r>
    </w:p>
    <w:p w:rsidR="00000000" w:rsidDel="00000000" w:rsidP="00000000" w:rsidRDefault="00000000" w:rsidRPr="00000000" w14:paraId="00000009">
      <w:pPr>
        <w:numPr>
          <w:ilvl w:val="0"/>
          <w:numId w:val="7"/>
        </w:numPr>
        <w:spacing w:after="0" w:afterAutospacing="0" w:before="0" w:beforeAutospacing="0" w:line="480" w:lineRule="auto"/>
        <w:ind w:left="720" w:hanging="360"/>
      </w:pPr>
      <w:r w:rsidDel="00000000" w:rsidR="00000000" w:rsidRPr="00000000">
        <w:rPr>
          <w:b w:val="1"/>
          <w:rtl w:val="0"/>
        </w:rPr>
        <w:t xml:space="preserve">Hypothesis Testing</w:t>
      </w:r>
      <w:r w:rsidDel="00000000" w:rsidR="00000000" w:rsidRPr="00000000">
        <w:rPr>
          <w:rtl w:val="0"/>
        </w:rPr>
        <w:t xml:space="preserve">: Test hypotheses regarding the impact of ESG scores on financial performance.</w:t>
      </w:r>
    </w:p>
    <w:p w:rsidR="00000000" w:rsidDel="00000000" w:rsidP="00000000" w:rsidRDefault="00000000" w:rsidRPr="00000000" w14:paraId="0000000A">
      <w:pPr>
        <w:numPr>
          <w:ilvl w:val="0"/>
          <w:numId w:val="7"/>
        </w:numPr>
        <w:spacing w:after="240" w:before="0" w:beforeAutospacing="0" w:line="480" w:lineRule="auto"/>
        <w:ind w:left="720" w:hanging="360"/>
      </w:pPr>
      <w:r w:rsidDel="00000000" w:rsidR="00000000" w:rsidRPr="00000000">
        <w:rPr>
          <w:b w:val="1"/>
          <w:rtl w:val="0"/>
        </w:rPr>
        <w:t xml:space="preserve">Sector Analysis</w:t>
      </w:r>
      <w:r w:rsidDel="00000000" w:rsidR="00000000" w:rsidRPr="00000000">
        <w:rPr>
          <w:rtl w:val="0"/>
        </w:rPr>
        <w:t xml:space="preserve">: Analyze the average earnings per share (EPS) for companies with high and low ESG scores across different sectors.</w:t>
      </w:r>
    </w:p>
    <w:p w:rsidR="00000000" w:rsidDel="00000000" w:rsidP="00000000" w:rsidRDefault="00000000" w:rsidRPr="00000000" w14:paraId="0000000B">
      <w:pPr>
        <w:spacing w:after="240" w:before="240" w:line="480" w:lineRule="auto"/>
        <w:rPr/>
      </w:pPr>
      <w:r w:rsidDel="00000000" w:rsidR="00000000" w:rsidRPr="00000000">
        <w:rPr>
          <w:rtl w:val="0"/>
        </w:rPr>
      </w:r>
    </w:p>
    <w:p w:rsidR="00000000" w:rsidDel="00000000" w:rsidP="00000000" w:rsidRDefault="00000000" w:rsidRPr="00000000" w14:paraId="0000000C">
      <w:pPr>
        <w:spacing w:after="240" w:before="240" w:line="480" w:lineRule="auto"/>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480" w:lineRule="auto"/>
        <w:rPr>
          <w:b w:val="1"/>
          <w:color w:val="000000"/>
          <w:sz w:val="26"/>
          <w:szCs w:val="26"/>
        </w:rPr>
      </w:pPr>
      <w:bookmarkStart w:colFirst="0" w:colLast="0" w:name="_ysavcvhexx0q" w:id="4"/>
      <w:bookmarkEnd w:id="4"/>
      <w:r w:rsidDel="00000000" w:rsidR="00000000" w:rsidRPr="00000000">
        <w:rPr>
          <w:rtl w:val="0"/>
        </w:rPr>
      </w:r>
    </w:p>
    <w:p w:rsidR="00000000" w:rsidDel="00000000" w:rsidP="00000000" w:rsidRDefault="00000000" w:rsidRPr="00000000" w14:paraId="0000000E">
      <w:pPr>
        <w:pStyle w:val="Heading3"/>
        <w:keepNext w:val="0"/>
        <w:keepLines w:val="0"/>
        <w:spacing w:before="280" w:line="480" w:lineRule="auto"/>
        <w:rPr>
          <w:b w:val="1"/>
          <w:color w:val="000000"/>
          <w:sz w:val="26"/>
          <w:szCs w:val="26"/>
        </w:rPr>
      </w:pPr>
      <w:bookmarkStart w:colFirst="0" w:colLast="0" w:name="_to7puv182pte" w:id="5"/>
      <w:bookmarkEnd w:id="5"/>
      <w:r w:rsidDel="00000000" w:rsidR="00000000" w:rsidRPr="00000000">
        <w:rPr>
          <w:b w:val="1"/>
          <w:color w:val="000000"/>
          <w:sz w:val="26"/>
          <w:szCs w:val="26"/>
          <w:rtl w:val="0"/>
        </w:rPr>
        <w:t xml:space="preserve">Data Cleaning and Preparation</w:t>
      </w:r>
    </w:p>
    <w:p w:rsidR="00000000" w:rsidDel="00000000" w:rsidP="00000000" w:rsidRDefault="00000000" w:rsidRPr="00000000" w14:paraId="0000000F">
      <w:pPr>
        <w:spacing w:after="240" w:before="240" w:line="480" w:lineRule="auto"/>
        <w:rPr/>
      </w:pPr>
      <w:r w:rsidDel="00000000" w:rsidR="00000000" w:rsidRPr="00000000">
        <w:rPr>
          <w:rtl w:val="0"/>
        </w:rPr>
        <w:t xml:space="preserve">The data cleaning process involved handling missing values, renaming columns for consistency, and merging the datasets on the common identifier (company symbol). Below is the correlation matrix derived from the cleaned data.</w:t>
      </w:r>
    </w:p>
    <w:p w:rsidR="00000000" w:rsidDel="00000000" w:rsidP="00000000" w:rsidRDefault="00000000" w:rsidRPr="00000000" w14:paraId="00000010">
      <w:pPr>
        <w:pStyle w:val="Heading4"/>
        <w:keepNext w:val="0"/>
        <w:keepLines w:val="0"/>
        <w:spacing w:after="40" w:before="240" w:line="480" w:lineRule="auto"/>
        <w:rPr>
          <w:b w:val="1"/>
          <w:color w:val="000000"/>
          <w:sz w:val="22"/>
          <w:szCs w:val="22"/>
        </w:rPr>
      </w:pPr>
      <w:bookmarkStart w:colFirst="0" w:colLast="0" w:name="_deeibuu1eoaj" w:id="6"/>
      <w:bookmarkEnd w:id="6"/>
      <w:r w:rsidDel="00000000" w:rsidR="00000000" w:rsidRPr="00000000">
        <w:rPr>
          <w:b w:val="1"/>
          <w:color w:val="000000"/>
          <w:sz w:val="22"/>
          <w:szCs w:val="22"/>
          <w:rtl w:val="0"/>
        </w:rPr>
        <w:t xml:space="preserve">Figure 1: Correlation Matrix of Financial Metrics and ESG Scores</w:t>
      </w:r>
    </w:p>
    <w:p w:rsidR="00000000" w:rsidDel="00000000" w:rsidP="00000000" w:rsidRDefault="00000000" w:rsidRPr="00000000" w14:paraId="00000011">
      <w:pPr>
        <w:rPr/>
      </w:pPr>
      <w:r w:rsidDel="00000000" w:rsidR="00000000" w:rsidRPr="00000000">
        <w:rPr/>
        <w:drawing>
          <wp:inline distB="114300" distT="114300" distL="114300" distR="114300">
            <wp:extent cx="5943600" cy="46228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480" w:lineRule="auto"/>
        <w:rPr>
          <w:b w:val="1"/>
          <w:color w:val="000000"/>
          <w:sz w:val="26"/>
          <w:szCs w:val="26"/>
        </w:rPr>
      </w:pPr>
      <w:bookmarkStart w:colFirst="0" w:colLast="0" w:name="_xyrq9n1rzu98" w:id="7"/>
      <w:bookmarkEnd w:id="7"/>
      <w:r w:rsidDel="00000000" w:rsidR="00000000" w:rsidRPr="00000000">
        <w:rPr>
          <w:b w:val="1"/>
          <w:color w:val="000000"/>
          <w:sz w:val="26"/>
          <w:szCs w:val="26"/>
          <w:rtl w:val="0"/>
        </w:rPr>
        <w:t xml:space="preserve">Hypothesis Testing</w:t>
      </w:r>
    </w:p>
    <w:p w:rsidR="00000000" w:rsidDel="00000000" w:rsidP="00000000" w:rsidRDefault="00000000" w:rsidRPr="00000000" w14:paraId="0000001A">
      <w:pPr>
        <w:pStyle w:val="Heading4"/>
        <w:keepNext w:val="0"/>
        <w:keepLines w:val="0"/>
        <w:spacing w:after="40" w:before="240" w:line="480" w:lineRule="auto"/>
        <w:rPr>
          <w:b w:val="1"/>
          <w:color w:val="000000"/>
          <w:sz w:val="22"/>
          <w:szCs w:val="22"/>
        </w:rPr>
      </w:pPr>
      <w:bookmarkStart w:colFirst="0" w:colLast="0" w:name="_dubucs41sb0e" w:id="8"/>
      <w:bookmarkEnd w:id="8"/>
      <w:r w:rsidDel="00000000" w:rsidR="00000000" w:rsidRPr="00000000">
        <w:rPr>
          <w:b w:val="1"/>
          <w:color w:val="000000"/>
          <w:sz w:val="22"/>
          <w:szCs w:val="22"/>
          <w:rtl w:val="0"/>
        </w:rPr>
        <w:t xml:space="preserve">Question 1: Is there a significant correlation between Market Cap and Total ESG Risk Score?</w:t>
      </w:r>
    </w:p>
    <w:p w:rsidR="00000000" w:rsidDel="00000000" w:rsidP="00000000" w:rsidRDefault="00000000" w:rsidRPr="00000000" w14:paraId="0000001B">
      <w:pPr>
        <w:numPr>
          <w:ilvl w:val="0"/>
          <w:numId w:val="2"/>
        </w:numPr>
        <w:spacing w:after="0" w:afterAutospacing="0" w:before="240" w:line="480" w:lineRule="auto"/>
        <w:ind w:left="720" w:hanging="360"/>
      </w:pPr>
      <w:r w:rsidDel="00000000" w:rsidR="00000000" w:rsidRPr="00000000">
        <w:rPr>
          <w:b w:val="1"/>
          <w:rtl w:val="0"/>
        </w:rPr>
        <w:t xml:space="preserve">Null Hypothesis (H0)</w:t>
      </w:r>
      <w:r w:rsidDel="00000000" w:rsidR="00000000" w:rsidRPr="00000000">
        <w:rPr>
          <w:rtl w:val="0"/>
        </w:rPr>
        <w:t xml:space="preserve">: There is no significant correlation between Market Cap and Total ESG Risk Score.</w:t>
      </w:r>
    </w:p>
    <w:p w:rsidR="00000000" w:rsidDel="00000000" w:rsidP="00000000" w:rsidRDefault="00000000" w:rsidRPr="00000000" w14:paraId="0000001C">
      <w:pPr>
        <w:numPr>
          <w:ilvl w:val="0"/>
          <w:numId w:val="2"/>
        </w:numPr>
        <w:spacing w:after="240" w:before="0" w:beforeAutospacing="0" w:line="480" w:lineRule="auto"/>
        <w:ind w:left="720" w:hanging="360"/>
      </w:pPr>
      <w:r w:rsidDel="00000000" w:rsidR="00000000" w:rsidRPr="00000000">
        <w:rPr>
          <w:b w:val="1"/>
          <w:rtl w:val="0"/>
        </w:rPr>
        <w:t xml:space="preserve">Test Used</w:t>
      </w:r>
      <w:r w:rsidDel="00000000" w:rsidR="00000000" w:rsidRPr="00000000">
        <w:rPr>
          <w:rtl w:val="0"/>
        </w:rPr>
        <w:t xml:space="preserve">: Pearson Correlation</w: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480" w:lineRule="auto"/>
        <w:ind w:left="0" w:firstLine="0"/>
        <w:rPr/>
      </w:pPr>
      <w:bookmarkStart w:colFirst="0" w:colLast="0" w:name="_5y42sqit9r6z" w:id="9"/>
      <w:bookmarkEnd w:id="9"/>
      <w:r w:rsidDel="00000000" w:rsidR="00000000" w:rsidRPr="00000000">
        <w:rPr>
          <w:b w:val="1"/>
          <w:color w:val="000000"/>
          <w:sz w:val="22"/>
          <w:szCs w:val="22"/>
          <w:rtl w:val="0"/>
        </w:rPr>
        <w:t xml:space="preserve">Figure 2: Correlation between Market Cap and Total ESG Risk Score</w:t>
      </w:r>
      <w:r w:rsidDel="00000000" w:rsidR="00000000" w:rsidRPr="00000000">
        <w:rPr>
          <w:rtl w:val="0"/>
        </w:rPr>
      </w:r>
    </w:p>
    <w:p w:rsidR="00000000" w:rsidDel="00000000" w:rsidP="00000000" w:rsidRDefault="00000000" w:rsidRPr="00000000" w14:paraId="0000001E">
      <w:pPr>
        <w:spacing w:after="240" w:before="240" w:line="480" w:lineRule="auto"/>
        <w:rPr/>
      </w:pPr>
      <w:r w:rsidDel="00000000" w:rsidR="00000000" w:rsidRPr="00000000">
        <w:rPr/>
        <w:drawing>
          <wp:inline distB="114300" distT="114300" distL="114300" distR="114300">
            <wp:extent cx="4381500" cy="3276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815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spacing w:after="0" w:afterAutospacing="0" w:before="240" w:line="480" w:lineRule="auto"/>
        <w:ind w:left="720" w:hanging="360"/>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20">
      <w:pPr>
        <w:numPr>
          <w:ilvl w:val="1"/>
          <w:numId w:val="2"/>
        </w:numPr>
        <w:spacing w:after="0" w:afterAutospacing="0" w:before="0" w:beforeAutospacing="0" w:line="480" w:lineRule="auto"/>
        <w:ind w:left="1440" w:hanging="360"/>
      </w:pPr>
      <w:r w:rsidDel="00000000" w:rsidR="00000000" w:rsidRPr="00000000">
        <w:rPr>
          <w:rtl w:val="0"/>
        </w:rPr>
        <w:t xml:space="preserve">Correlation coefficient: 0.094</w:t>
      </w:r>
    </w:p>
    <w:p w:rsidR="00000000" w:rsidDel="00000000" w:rsidP="00000000" w:rsidRDefault="00000000" w:rsidRPr="00000000" w14:paraId="00000021">
      <w:pPr>
        <w:numPr>
          <w:ilvl w:val="1"/>
          <w:numId w:val="2"/>
        </w:numPr>
        <w:spacing w:after="0" w:afterAutospacing="0" w:before="0" w:beforeAutospacing="0" w:line="480" w:lineRule="auto"/>
        <w:ind w:left="1440" w:hanging="360"/>
      </w:pPr>
      <w:r w:rsidDel="00000000" w:rsidR="00000000" w:rsidRPr="00000000">
        <w:rPr>
          <w:rtl w:val="0"/>
        </w:rPr>
        <w:t xml:space="preserve">p-value: 0.067</w:t>
      </w:r>
    </w:p>
    <w:p w:rsidR="00000000" w:rsidDel="00000000" w:rsidP="00000000" w:rsidRDefault="00000000" w:rsidRPr="00000000" w14:paraId="00000022">
      <w:pPr>
        <w:numPr>
          <w:ilvl w:val="0"/>
          <w:numId w:val="2"/>
        </w:numPr>
        <w:spacing w:after="240" w:before="0" w:beforeAutospacing="0" w:line="480" w:lineRule="auto"/>
        <w:ind w:left="720" w:hanging="360"/>
      </w:pPr>
      <w:r w:rsidDel="00000000" w:rsidR="00000000" w:rsidRPr="00000000">
        <w:rPr>
          <w:b w:val="1"/>
          <w:rtl w:val="0"/>
        </w:rPr>
        <w:t xml:space="preserve">Conclusion</w:t>
      </w:r>
      <w:r w:rsidDel="00000000" w:rsidR="00000000" w:rsidRPr="00000000">
        <w:rPr>
          <w:rtl w:val="0"/>
        </w:rPr>
        <w:t xml:space="preserve">: Since the p-value is greater than 0.05, we fail to reject the null hypothesis. There is no significant correlation between Market Cap and Total ESG Risk Score.</w:t>
      </w:r>
    </w:p>
    <w:p w:rsidR="00000000" w:rsidDel="00000000" w:rsidP="00000000" w:rsidRDefault="00000000" w:rsidRPr="00000000" w14:paraId="00000023">
      <w:pPr>
        <w:pStyle w:val="Heading4"/>
        <w:keepNext w:val="0"/>
        <w:keepLines w:val="0"/>
        <w:spacing w:after="40" w:before="240" w:line="480" w:lineRule="auto"/>
        <w:rPr>
          <w:b w:val="1"/>
          <w:color w:val="000000"/>
          <w:sz w:val="22"/>
          <w:szCs w:val="22"/>
        </w:rPr>
      </w:pPr>
      <w:bookmarkStart w:colFirst="0" w:colLast="0" w:name="_gfxpk251lmag" w:id="10"/>
      <w:bookmarkEnd w:id="10"/>
      <w:r w:rsidDel="00000000" w:rsidR="00000000" w:rsidRPr="00000000">
        <w:rPr>
          <w:b w:val="1"/>
          <w:color w:val="000000"/>
          <w:sz w:val="22"/>
          <w:szCs w:val="22"/>
          <w:rtl w:val="0"/>
        </w:rPr>
        <w:t xml:space="preserve">Question 2: Does the Environment Risk Score have a significant impact on Earnings/Share?</w:t>
      </w:r>
    </w:p>
    <w:p w:rsidR="00000000" w:rsidDel="00000000" w:rsidP="00000000" w:rsidRDefault="00000000" w:rsidRPr="00000000" w14:paraId="00000024">
      <w:pPr>
        <w:numPr>
          <w:ilvl w:val="0"/>
          <w:numId w:val="4"/>
        </w:numPr>
        <w:spacing w:after="0" w:afterAutospacing="0" w:before="240" w:line="480" w:lineRule="auto"/>
        <w:ind w:left="720" w:hanging="360"/>
      </w:pPr>
      <w:r w:rsidDel="00000000" w:rsidR="00000000" w:rsidRPr="00000000">
        <w:rPr>
          <w:b w:val="1"/>
          <w:rtl w:val="0"/>
        </w:rPr>
        <w:t xml:space="preserve">Null Hypothesis (H0)</w:t>
      </w:r>
      <w:r w:rsidDel="00000000" w:rsidR="00000000" w:rsidRPr="00000000">
        <w:rPr>
          <w:rtl w:val="0"/>
        </w:rPr>
        <w:t xml:space="preserve">: Environment Risk Score has no significant impact on Earnings/Share.</w:t>
      </w:r>
    </w:p>
    <w:p w:rsidR="00000000" w:rsidDel="00000000" w:rsidP="00000000" w:rsidRDefault="00000000" w:rsidRPr="00000000" w14:paraId="00000025">
      <w:pPr>
        <w:numPr>
          <w:ilvl w:val="0"/>
          <w:numId w:val="4"/>
        </w:numPr>
        <w:spacing w:after="0" w:afterAutospacing="0" w:before="0" w:beforeAutospacing="0" w:line="480" w:lineRule="auto"/>
        <w:ind w:left="720" w:hanging="360"/>
      </w:pPr>
      <w:r w:rsidDel="00000000" w:rsidR="00000000" w:rsidRPr="00000000">
        <w:rPr>
          <w:b w:val="1"/>
          <w:rtl w:val="0"/>
        </w:rPr>
        <w:t xml:space="preserve">Test Used</w:t>
      </w:r>
      <w:r w:rsidDel="00000000" w:rsidR="00000000" w:rsidRPr="00000000">
        <w:rPr>
          <w:rtl w:val="0"/>
        </w:rPr>
        <w:t xml:space="preserve">: Linear Regression</w:t>
      </w:r>
    </w:p>
    <w:p w:rsidR="00000000" w:rsidDel="00000000" w:rsidP="00000000" w:rsidRDefault="00000000" w:rsidRPr="00000000" w14:paraId="00000026">
      <w:pPr>
        <w:numPr>
          <w:ilvl w:val="0"/>
          <w:numId w:val="4"/>
        </w:numPr>
        <w:spacing w:after="0" w:afterAutospacing="0" w:before="0" w:beforeAutospacing="0" w:line="480" w:lineRule="auto"/>
        <w:ind w:left="720" w:hanging="360"/>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27">
      <w:pPr>
        <w:numPr>
          <w:ilvl w:val="1"/>
          <w:numId w:val="4"/>
        </w:numPr>
        <w:spacing w:after="0" w:afterAutospacing="0" w:before="0" w:beforeAutospacing="0" w:line="480" w:lineRule="auto"/>
        <w:ind w:left="1440" w:hanging="360"/>
      </w:pPr>
      <w:r w:rsidDel="00000000" w:rsidR="00000000" w:rsidRPr="00000000">
        <w:rPr>
          <w:rtl w:val="0"/>
        </w:rPr>
        <w:t xml:space="preserve">Coefficient for Environment Risk Score: -0.148</w:t>
      </w:r>
    </w:p>
    <w:p w:rsidR="00000000" w:rsidDel="00000000" w:rsidP="00000000" w:rsidRDefault="00000000" w:rsidRPr="00000000" w14:paraId="00000028">
      <w:pPr>
        <w:numPr>
          <w:ilvl w:val="1"/>
          <w:numId w:val="4"/>
        </w:numPr>
        <w:spacing w:after="0" w:afterAutospacing="0" w:before="0" w:beforeAutospacing="0" w:line="480" w:lineRule="auto"/>
        <w:ind w:left="1440" w:hanging="360"/>
      </w:pPr>
      <w:r w:rsidDel="00000000" w:rsidR="00000000" w:rsidRPr="00000000">
        <w:rPr>
          <w:rtl w:val="0"/>
        </w:rPr>
        <w:t xml:space="preserve">p-value: 0.003</w:t>
      </w:r>
    </w:p>
    <w:p w:rsidR="00000000" w:rsidDel="00000000" w:rsidP="00000000" w:rsidRDefault="00000000" w:rsidRPr="00000000" w14:paraId="00000029">
      <w:pPr>
        <w:numPr>
          <w:ilvl w:val="0"/>
          <w:numId w:val="4"/>
        </w:numPr>
        <w:spacing w:after="240" w:before="0" w:beforeAutospacing="0" w:line="480" w:lineRule="auto"/>
        <w:ind w:left="720" w:hanging="360"/>
      </w:pPr>
      <w:r w:rsidDel="00000000" w:rsidR="00000000" w:rsidRPr="00000000">
        <w:rPr>
          <w:b w:val="1"/>
          <w:rtl w:val="0"/>
        </w:rPr>
        <w:t xml:space="preserve">Conclusion</w:t>
      </w:r>
      <w:r w:rsidDel="00000000" w:rsidR="00000000" w:rsidRPr="00000000">
        <w:rPr>
          <w:rtl w:val="0"/>
        </w:rPr>
        <w:t xml:space="preserve">: Since the p-value is less than 0.05, we reject the null hypothesis. The Environment Risk Score has a significant impact on Earnings/Share.</w:t>
      </w:r>
    </w:p>
    <w:p w:rsidR="00000000" w:rsidDel="00000000" w:rsidP="00000000" w:rsidRDefault="00000000" w:rsidRPr="00000000" w14:paraId="0000002A">
      <w:pPr>
        <w:pStyle w:val="Heading4"/>
        <w:keepNext w:val="0"/>
        <w:keepLines w:val="0"/>
        <w:spacing w:after="40" w:before="240" w:line="480" w:lineRule="auto"/>
        <w:rPr>
          <w:b w:val="1"/>
          <w:color w:val="000000"/>
          <w:sz w:val="22"/>
          <w:szCs w:val="22"/>
        </w:rPr>
      </w:pPr>
      <w:bookmarkStart w:colFirst="0" w:colLast="0" w:name="_6swkj72cksq2" w:id="11"/>
      <w:bookmarkEnd w:id="11"/>
      <w:r w:rsidDel="00000000" w:rsidR="00000000" w:rsidRPr="00000000">
        <w:rPr>
          <w:b w:val="1"/>
          <w:color w:val="000000"/>
          <w:sz w:val="22"/>
          <w:szCs w:val="22"/>
          <w:rtl w:val="0"/>
        </w:rPr>
        <w:t xml:space="preserve">Figure 3: Impact of Environment Risk Score on Earnings/Share</w:t>
      </w:r>
    </w:p>
    <w:p w:rsidR="00000000" w:rsidDel="00000000" w:rsidP="00000000" w:rsidRDefault="00000000" w:rsidRPr="00000000" w14:paraId="0000002B">
      <w:pPr>
        <w:rPr/>
      </w:pPr>
      <w:r w:rsidDel="00000000" w:rsidR="00000000" w:rsidRPr="00000000">
        <w:rPr/>
        <w:drawing>
          <wp:inline distB="114300" distT="114300" distL="114300" distR="114300">
            <wp:extent cx="5581650" cy="345757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816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480" w:lineRule="auto"/>
        <w:rPr>
          <w:b w:val="1"/>
          <w:color w:val="000000"/>
          <w:sz w:val="22"/>
          <w:szCs w:val="22"/>
        </w:rPr>
      </w:pPr>
      <w:bookmarkStart w:colFirst="0" w:colLast="0" w:name="_e84gq8j61k4y" w:id="12"/>
      <w:bookmarkEnd w:id="12"/>
      <w:r w:rsidDel="00000000" w:rsidR="00000000" w:rsidRPr="00000000">
        <w:rPr>
          <w:b w:val="1"/>
          <w:color w:val="000000"/>
          <w:sz w:val="22"/>
          <w:szCs w:val="22"/>
          <w:rtl w:val="0"/>
        </w:rPr>
        <w:t xml:space="preserve">Question 3: Are the mean Governance Risk Scores different across different sectors?</w:t>
      </w:r>
    </w:p>
    <w:p w:rsidR="00000000" w:rsidDel="00000000" w:rsidP="00000000" w:rsidRDefault="00000000" w:rsidRPr="00000000" w14:paraId="00000030">
      <w:pPr>
        <w:numPr>
          <w:ilvl w:val="0"/>
          <w:numId w:val="3"/>
        </w:numPr>
        <w:spacing w:after="0" w:afterAutospacing="0" w:before="240" w:line="480" w:lineRule="auto"/>
        <w:ind w:left="720" w:hanging="360"/>
      </w:pPr>
      <w:r w:rsidDel="00000000" w:rsidR="00000000" w:rsidRPr="00000000">
        <w:rPr>
          <w:b w:val="1"/>
          <w:rtl w:val="0"/>
        </w:rPr>
        <w:t xml:space="preserve">Null Hypothesis (H0)</w:t>
      </w:r>
      <w:r w:rsidDel="00000000" w:rsidR="00000000" w:rsidRPr="00000000">
        <w:rPr>
          <w:rtl w:val="0"/>
        </w:rPr>
        <w:t xml:space="preserve">: The mean Governance Risk Scores are the same across all sectors.</w:t>
      </w:r>
    </w:p>
    <w:p w:rsidR="00000000" w:rsidDel="00000000" w:rsidP="00000000" w:rsidRDefault="00000000" w:rsidRPr="00000000" w14:paraId="00000031">
      <w:pPr>
        <w:numPr>
          <w:ilvl w:val="0"/>
          <w:numId w:val="3"/>
        </w:numPr>
        <w:spacing w:after="0" w:afterAutospacing="0" w:before="0" w:beforeAutospacing="0" w:line="480" w:lineRule="auto"/>
        <w:ind w:left="720" w:hanging="360"/>
      </w:pPr>
      <w:r w:rsidDel="00000000" w:rsidR="00000000" w:rsidRPr="00000000">
        <w:rPr>
          <w:b w:val="1"/>
          <w:rtl w:val="0"/>
        </w:rPr>
        <w:t xml:space="preserve">Test Used</w:t>
      </w:r>
      <w:r w:rsidDel="00000000" w:rsidR="00000000" w:rsidRPr="00000000">
        <w:rPr>
          <w:rtl w:val="0"/>
        </w:rPr>
        <w:t xml:space="preserve">: ANOVA</w:t>
      </w:r>
    </w:p>
    <w:p w:rsidR="00000000" w:rsidDel="00000000" w:rsidP="00000000" w:rsidRDefault="00000000" w:rsidRPr="00000000" w14:paraId="00000032">
      <w:pPr>
        <w:numPr>
          <w:ilvl w:val="0"/>
          <w:numId w:val="3"/>
        </w:numPr>
        <w:spacing w:after="0" w:afterAutospacing="0" w:before="0" w:beforeAutospacing="0" w:line="480" w:lineRule="auto"/>
        <w:ind w:left="720" w:hanging="360"/>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33">
      <w:pPr>
        <w:numPr>
          <w:ilvl w:val="1"/>
          <w:numId w:val="3"/>
        </w:numPr>
        <w:spacing w:after="0" w:afterAutospacing="0" w:before="0" w:beforeAutospacing="0" w:line="480" w:lineRule="auto"/>
        <w:ind w:left="1440" w:hanging="360"/>
      </w:pPr>
      <w:r w:rsidDel="00000000" w:rsidR="00000000" w:rsidRPr="00000000">
        <w:rPr>
          <w:rtl w:val="0"/>
        </w:rPr>
        <w:t xml:space="preserve">F-statistic: 32.52</w:t>
      </w:r>
    </w:p>
    <w:p w:rsidR="00000000" w:rsidDel="00000000" w:rsidP="00000000" w:rsidRDefault="00000000" w:rsidRPr="00000000" w14:paraId="00000034">
      <w:pPr>
        <w:numPr>
          <w:ilvl w:val="1"/>
          <w:numId w:val="3"/>
        </w:numPr>
        <w:spacing w:after="0" w:afterAutospacing="0" w:before="0" w:beforeAutospacing="0" w:line="480" w:lineRule="auto"/>
        <w:ind w:left="1440" w:hanging="360"/>
      </w:pPr>
      <w:r w:rsidDel="00000000" w:rsidR="00000000" w:rsidRPr="00000000">
        <w:rPr>
          <w:rtl w:val="0"/>
        </w:rPr>
        <w:t xml:space="preserve">p-value: 6.27e-45</w:t>
      </w:r>
    </w:p>
    <w:p w:rsidR="00000000" w:rsidDel="00000000" w:rsidP="00000000" w:rsidRDefault="00000000" w:rsidRPr="00000000" w14:paraId="00000035">
      <w:pPr>
        <w:numPr>
          <w:ilvl w:val="0"/>
          <w:numId w:val="3"/>
        </w:numPr>
        <w:spacing w:after="240" w:before="0" w:beforeAutospacing="0" w:line="480" w:lineRule="auto"/>
        <w:ind w:left="720" w:hanging="360"/>
      </w:pPr>
      <w:r w:rsidDel="00000000" w:rsidR="00000000" w:rsidRPr="00000000">
        <w:rPr>
          <w:b w:val="1"/>
          <w:rtl w:val="0"/>
        </w:rPr>
        <w:t xml:space="preserve">Conclusion</w:t>
      </w:r>
      <w:r w:rsidDel="00000000" w:rsidR="00000000" w:rsidRPr="00000000">
        <w:rPr>
          <w:rtl w:val="0"/>
        </w:rPr>
        <w:t xml:space="preserve">: Since the p-value is less than 0.05, we reject the null hypothesis. The mean Governance Risk Scores are different across different sectors.</w:t>
      </w:r>
    </w:p>
    <w:p w:rsidR="00000000" w:rsidDel="00000000" w:rsidP="00000000" w:rsidRDefault="00000000" w:rsidRPr="00000000" w14:paraId="00000036">
      <w:pPr>
        <w:pStyle w:val="Heading4"/>
        <w:keepNext w:val="0"/>
        <w:keepLines w:val="0"/>
        <w:spacing w:after="40" w:before="240" w:line="480" w:lineRule="auto"/>
        <w:rPr>
          <w:b w:val="1"/>
          <w:color w:val="000000"/>
          <w:sz w:val="22"/>
          <w:szCs w:val="22"/>
        </w:rPr>
      </w:pPr>
      <w:bookmarkStart w:colFirst="0" w:colLast="0" w:name="_8xaq6f8qt8vu" w:id="13"/>
      <w:bookmarkEnd w:id="13"/>
      <w:r w:rsidDel="00000000" w:rsidR="00000000" w:rsidRPr="00000000">
        <w:rPr>
          <w:b w:val="1"/>
          <w:color w:val="000000"/>
          <w:sz w:val="22"/>
          <w:szCs w:val="22"/>
          <w:rtl w:val="0"/>
        </w:rPr>
        <w:t xml:space="preserve">Figure 4: Mean Governance Risk Scores Across Sectors</w:t>
      </w:r>
    </w:p>
    <w:p w:rsidR="00000000" w:rsidDel="00000000" w:rsidP="00000000" w:rsidRDefault="00000000" w:rsidRPr="00000000" w14:paraId="00000037">
      <w:pPr>
        <w:rPr/>
      </w:pPr>
      <w:r w:rsidDel="00000000" w:rsidR="00000000" w:rsidRPr="00000000">
        <w:rPr/>
        <w:drawing>
          <wp:inline distB="114300" distT="114300" distL="114300" distR="114300">
            <wp:extent cx="4638675" cy="42100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3867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480" w:lineRule="auto"/>
        <w:rPr>
          <w:b w:val="1"/>
          <w:color w:val="000000"/>
          <w:sz w:val="22"/>
          <w:szCs w:val="22"/>
        </w:rPr>
      </w:pPr>
      <w:bookmarkStart w:colFirst="0" w:colLast="0" w:name="_z12p2s2cqdxf" w:id="14"/>
      <w:bookmarkEnd w:id="14"/>
      <w:r w:rsidDel="00000000" w:rsidR="00000000" w:rsidRPr="00000000">
        <w:rPr>
          <w:b w:val="1"/>
          <w:color w:val="000000"/>
          <w:sz w:val="22"/>
          <w:szCs w:val="22"/>
          <w:rtl w:val="0"/>
        </w:rPr>
        <w:t xml:space="preserve">Question 4: Is there a significant difference in Dividend Yield between companies with high and low ESG Risk Percentiles?</w:t>
      </w:r>
    </w:p>
    <w:p w:rsidR="00000000" w:rsidDel="00000000" w:rsidP="00000000" w:rsidRDefault="00000000" w:rsidRPr="00000000" w14:paraId="00000039">
      <w:pPr>
        <w:numPr>
          <w:ilvl w:val="0"/>
          <w:numId w:val="6"/>
        </w:numPr>
        <w:spacing w:after="0" w:afterAutospacing="0" w:before="240" w:line="480" w:lineRule="auto"/>
        <w:ind w:left="720" w:hanging="360"/>
      </w:pPr>
      <w:r w:rsidDel="00000000" w:rsidR="00000000" w:rsidRPr="00000000">
        <w:rPr>
          <w:b w:val="1"/>
          <w:rtl w:val="0"/>
        </w:rPr>
        <w:t xml:space="preserve">Null Hypothesis (H0)</w:t>
      </w:r>
      <w:r w:rsidDel="00000000" w:rsidR="00000000" w:rsidRPr="00000000">
        <w:rPr>
          <w:rtl w:val="0"/>
        </w:rPr>
        <w:t xml:space="preserve">: There is no significant difference in Dividend Yield between companies with high and low ESG Risk Percentiles.</w:t>
      </w:r>
    </w:p>
    <w:p w:rsidR="00000000" w:rsidDel="00000000" w:rsidP="00000000" w:rsidRDefault="00000000" w:rsidRPr="00000000" w14:paraId="0000003A">
      <w:pPr>
        <w:numPr>
          <w:ilvl w:val="0"/>
          <w:numId w:val="6"/>
        </w:numPr>
        <w:spacing w:after="0" w:afterAutospacing="0" w:before="0" w:beforeAutospacing="0" w:line="480" w:lineRule="auto"/>
        <w:ind w:left="720" w:hanging="360"/>
      </w:pPr>
      <w:r w:rsidDel="00000000" w:rsidR="00000000" w:rsidRPr="00000000">
        <w:rPr>
          <w:b w:val="1"/>
          <w:rtl w:val="0"/>
        </w:rPr>
        <w:t xml:space="preserve">Test Used</w:t>
      </w:r>
      <w:r w:rsidDel="00000000" w:rsidR="00000000" w:rsidRPr="00000000">
        <w:rPr>
          <w:rtl w:val="0"/>
        </w:rPr>
        <w:t xml:space="preserve">: T-test</w:t>
      </w:r>
    </w:p>
    <w:p w:rsidR="00000000" w:rsidDel="00000000" w:rsidP="00000000" w:rsidRDefault="00000000" w:rsidRPr="00000000" w14:paraId="0000003B">
      <w:pPr>
        <w:numPr>
          <w:ilvl w:val="0"/>
          <w:numId w:val="6"/>
        </w:numPr>
        <w:spacing w:after="0" w:afterAutospacing="0" w:before="0" w:beforeAutospacing="0" w:line="480" w:lineRule="auto"/>
        <w:ind w:left="720" w:hanging="360"/>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3C">
      <w:pPr>
        <w:numPr>
          <w:ilvl w:val="1"/>
          <w:numId w:val="6"/>
        </w:numPr>
        <w:spacing w:after="0" w:afterAutospacing="0" w:before="0" w:beforeAutospacing="0" w:line="480" w:lineRule="auto"/>
        <w:ind w:left="1440" w:hanging="360"/>
      </w:pPr>
      <w:r w:rsidDel="00000000" w:rsidR="00000000" w:rsidRPr="00000000">
        <w:rPr>
          <w:rtl w:val="0"/>
        </w:rPr>
        <w:t xml:space="preserve">t-statistic: 2.39</w:t>
      </w:r>
    </w:p>
    <w:p w:rsidR="00000000" w:rsidDel="00000000" w:rsidP="00000000" w:rsidRDefault="00000000" w:rsidRPr="00000000" w14:paraId="0000003D">
      <w:pPr>
        <w:numPr>
          <w:ilvl w:val="1"/>
          <w:numId w:val="6"/>
        </w:numPr>
        <w:spacing w:after="0" w:afterAutospacing="0" w:before="0" w:beforeAutospacing="0" w:line="480" w:lineRule="auto"/>
        <w:ind w:left="1440" w:hanging="360"/>
      </w:pPr>
      <w:r w:rsidDel="00000000" w:rsidR="00000000" w:rsidRPr="00000000">
        <w:rPr>
          <w:rtl w:val="0"/>
        </w:rPr>
        <w:t xml:space="preserve">p-value: 0.017</w:t>
      </w:r>
    </w:p>
    <w:p w:rsidR="00000000" w:rsidDel="00000000" w:rsidP="00000000" w:rsidRDefault="00000000" w:rsidRPr="00000000" w14:paraId="0000003E">
      <w:pPr>
        <w:numPr>
          <w:ilvl w:val="0"/>
          <w:numId w:val="6"/>
        </w:numPr>
        <w:spacing w:after="240" w:before="0" w:beforeAutospacing="0" w:line="480" w:lineRule="auto"/>
        <w:ind w:left="720" w:hanging="360"/>
      </w:pPr>
      <w:r w:rsidDel="00000000" w:rsidR="00000000" w:rsidRPr="00000000">
        <w:rPr>
          <w:b w:val="1"/>
          <w:rtl w:val="0"/>
        </w:rPr>
        <w:t xml:space="preserve">Conclusion</w:t>
      </w:r>
      <w:r w:rsidDel="00000000" w:rsidR="00000000" w:rsidRPr="00000000">
        <w:rPr>
          <w:rtl w:val="0"/>
        </w:rPr>
        <w:t xml:space="preserve">: Since the p-value is less than 0.05, we reject the null hypothesis. There is a significant difference in Dividend Yield between companies with high and low ESG Risk Percentiles.</w:t>
      </w:r>
    </w:p>
    <w:p w:rsidR="00000000" w:rsidDel="00000000" w:rsidP="00000000" w:rsidRDefault="00000000" w:rsidRPr="00000000" w14:paraId="0000003F">
      <w:pPr>
        <w:pStyle w:val="Heading4"/>
        <w:keepNext w:val="0"/>
        <w:keepLines w:val="0"/>
        <w:spacing w:after="40" w:before="240" w:line="480" w:lineRule="auto"/>
        <w:rPr>
          <w:b w:val="1"/>
          <w:color w:val="000000"/>
          <w:sz w:val="22"/>
          <w:szCs w:val="22"/>
        </w:rPr>
      </w:pPr>
      <w:bookmarkStart w:colFirst="0" w:colLast="0" w:name="_40u50rwdldzk" w:id="15"/>
      <w:bookmarkEnd w:id="15"/>
      <w:r w:rsidDel="00000000" w:rsidR="00000000" w:rsidRPr="00000000">
        <w:rPr>
          <w:b w:val="1"/>
          <w:color w:val="000000"/>
          <w:sz w:val="22"/>
          <w:szCs w:val="22"/>
          <w:rtl w:val="0"/>
        </w:rPr>
        <w:t xml:space="preserve">Figure 5: Dividend Yield by ESG Risk Percentiles</w:t>
      </w:r>
    </w:p>
    <w:p w:rsidR="00000000" w:rsidDel="00000000" w:rsidP="00000000" w:rsidRDefault="00000000" w:rsidRPr="00000000" w14:paraId="00000040">
      <w:pPr>
        <w:rPr/>
      </w:pPr>
      <w:r w:rsidDel="00000000" w:rsidR="00000000" w:rsidRPr="00000000">
        <w:rPr/>
        <w:drawing>
          <wp:inline distB="114300" distT="114300" distL="114300" distR="114300">
            <wp:extent cx="5943600" cy="32766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480" w:lineRule="auto"/>
        <w:rPr>
          <w:b w:val="1"/>
          <w:color w:val="000000"/>
          <w:sz w:val="26"/>
          <w:szCs w:val="26"/>
        </w:rPr>
      </w:pPr>
      <w:bookmarkStart w:colFirst="0" w:colLast="0" w:name="_iqhjes43zc82" w:id="16"/>
      <w:bookmarkEnd w:id="16"/>
      <w:r w:rsidDel="00000000" w:rsidR="00000000" w:rsidRPr="00000000">
        <w:rPr>
          <w:b w:val="1"/>
          <w:color w:val="000000"/>
          <w:sz w:val="26"/>
          <w:szCs w:val="26"/>
          <w:rtl w:val="0"/>
        </w:rPr>
        <w:t xml:space="preserve">Sector Analysis</w:t>
      </w:r>
    </w:p>
    <w:p w:rsidR="00000000" w:rsidDel="00000000" w:rsidP="00000000" w:rsidRDefault="00000000" w:rsidRPr="00000000" w14:paraId="00000044">
      <w:pPr>
        <w:spacing w:after="240" w:before="240" w:line="480" w:lineRule="auto"/>
        <w:rPr/>
      </w:pPr>
      <w:r w:rsidDel="00000000" w:rsidR="00000000" w:rsidRPr="00000000">
        <w:rPr>
          <w:rtl w:val="0"/>
        </w:rPr>
        <w:t xml:space="preserve">The analysis compared the average Earnings per Share (EPS) for companies with high and low ESG scores across various sectors.</w:t>
      </w:r>
    </w:p>
    <w:p w:rsidR="00000000" w:rsidDel="00000000" w:rsidP="00000000" w:rsidRDefault="00000000" w:rsidRPr="00000000" w14:paraId="00000045">
      <w:pPr>
        <w:pStyle w:val="Heading4"/>
        <w:keepNext w:val="0"/>
        <w:keepLines w:val="0"/>
        <w:spacing w:after="40" w:before="240" w:line="480" w:lineRule="auto"/>
        <w:rPr>
          <w:b w:val="1"/>
          <w:color w:val="000000"/>
          <w:sz w:val="22"/>
          <w:szCs w:val="22"/>
        </w:rPr>
      </w:pPr>
      <w:bookmarkStart w:colFirst="0" w:colLast="0" w:name="_mot5u6gl7y1k" w:id="17"/>
      <w:bookmarkEnd w:id="17"/>
      <w:r w:rsidDel="00000000" w:rsidR="00000000" w:rsidRPr="00000000">
        <w:rPr>
          <w:b w:val="1"/>
          <w:color w:val="000000"/>
          <w:sz w:val="22"/>
          <w:szCs w:val="22"/>
          <w:rtl w:val="0"/>
        </w:rPr>
        <w:t xml:space="preserve">Figure 6: Average Earnings/Share for High and Low ESG Scores by Sector</w:t>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148617</wp:posOffset>
            </wp:positionV>
            <wp:extent cx="3400425" cy="2809875"/>
            <wp:effectExtent b="0" l="0" r="0" t="0"/>
            <wp:wrapNone/>
            <wp:docPr id="2" name="image7.png"/>
            <a:graphic>
              <a:graphicData uri="http://schemas.openxmlformats.org/drawingml/2006/picture">
                <pic:pic>
                  <pic:nvPicPr>
                    <pic:cNvPr id="0" name="image7.png"/>
                    <pic:cNvPicPr preferRelativeResize="0"/>
                  </pic:nvPicPr>
                  <pic:blipFill>
                    <a:blip r:embed="rId11"/>
                    <a:srcRect b="1694" l="0" r="0" t="-1694"/>
                    <a:stretch>
                      <a:fillRect/>
                    </a:stretch>
                  </pic:blipFill>
                  <pic:spPr>
                    <a:xfrm>
                      <a:off x="0" y="0"/>
                      <a:ext cx="3400425" cy="2809875"/>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120945</wp:posOffset>
            </wp:positionV>
            <wp:extent cx="3381375" cy="2771775"/>
            <wp:effectExtent b="0" l="0" r="0" t="0"/>
            <wp:wrapNone/>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81375" cy="2771775"/>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480" w:lineRule="auto"/>
        <w:rPr>
          <w:b w:val="1"/>
          <w:color w:val="000000"/>
          <w:sz w:val="26"/>
          <w:szCs w:val="26"/>
        </w:rPr>
      </w:pPr>
      <w:bookmarkStart w:colFirst="0" w:colLast="0" w:name="_hj6ixpi29cr" w:id="18"/>
      <w:bookmarkEnd w:id="18"/>
      <w:r w:rsidDel="00000000" w:rsidR="00000000" w:rsidRPr="00000000">
        <w:rPr>
          <w:b w:val="1"/>
          <w:color w:val="000000"/>
          <w:sz w:val="26"/>
          <w:szCs w:val="26"/>
          <w:rtl w:val="0"/>
        </w:rPr>
        <w:t xml:space="preserve">Key Findings</w:t>
      </w:r>
    </w:p>
    <w:p w:rsidR="00000000" w:rsidDel="00000000" w:rsidP="00000000" w:rsidRDefault="00000000" w:rsidRPr="00000000" w14:paraId="0000006A">
      <w:pPr>
        <w:numPr>
          <w:ilvl w:val="0"/>
          <w:numId w:val="1"/>
        </w:numPr>
        <w:spacing w:after="0" w:afterAutospacing="0" w:before="240" w:line="480" w:lineRule="auto"/>
        <w:ind w:left="720" w:hanging="360"/>
      </w:pPr>
      <w:r w:rsidDel="00000000" w:rsidR="00000000" w:rsidRPr="00000000">
        <w:rPr>
          <w:b w:val="1"/>
          <w:rtl w:val="0"/>
        </w:rPr>
        <w:t xml:space="preserve">No Significant Correlation</w:t>
      </w:r>
      <w:r w:rsidDel="00000000" w:rsidR="00000000" w:rsidRPr="00000000">
        <w:rPr>
          <w:rtl w:val="0"/>
        </w:rPr>
        <w:t xml:space="preserve">: There is no significant correlation between Market Cap and Total ESG Risk Score.</w:t>
      </w:r>
    </w:p>
    <w:p w:rsidR="00000000" w:rsidDel="00000000" w:rsidP="00000000" w:rsidRDefault="00000000" w:rsidRPr="00000000" w14:paraId="0000006B">
      <w:pPr>
        <w:numPr>
          <w:ilvl w:val="0"/>
          <w:numId w:val="1"/>
        </w:numPr>
        <w:spacing w:after="0" w:afterAutospacing="0" w:before="0" w:beforeAutospacing="0" w:line="480" w:lineRule="auto"/>
        <w:ind w:left="720" w:hanging="360"/>
      </w:pPr>
      <w:r w:rsidDel="00000000" w:rsidR="00000000" w:rsidRPr="00000000">
        <w:rPr>
          <w:b w:val="1"/>
          <w:rtl w:val="0"/>
        </w:rPr>
        <w:t xml:space="preserve">Significant Impact of Environmental Risk</w:t>
      </w:r>
      <w:r w:rsidDel="00000000" w:rsidR="00000000" w:rsidRPr="00000000">
        <w:rPr>
          <w:rtl w:val="0"/>
        </w:rPr>
        <w:t xml:space="preserve">: The Environment Risk Score significantly correlates with Earnings/Share, indicating that environmental risk factors play a crucial role in financial performance.</w:t>
      </w:r>
    </w:p>
    <w:p w:rsidR="00000000" w:rsidDel="00000000" w:rsidP="00000000" w:rsidRDefault="00000000" w:rsidRPr="00000000" w14:paraId="0000006C">
      <w:pPr>
        <w:numPr>
          <w:ilvl w:val="0"/>
          <w:numId w:val="1"/>
        </w:numPr>
        <w:spacing w:after="0" w:afterAutospacing="0" w:before="0" w:beforeAutospacing="0" w:line="480" w:lineRule="auto"/>
        <w:ind w:left="720" w:hanging="360"/>
      </w:pPr>
      <w:r w:rsidDel="00000000" w:rsidR="00000000" w:rsidRPr="00000000">
        <w:rPr>
          <w:b w:val="1"/>
          <w:rtl w:val="0"/>
        </w:rPr>
        <w:t xml:space="preserve">Sector Differences in Governance Risk Scores</w:t>
      </w:r>
      <w:r w:rsidDel="00000000" w:rsidR="00000000" w:rsidRPr="00000000">
        <w:rPr>
          <w:rtl w:val="0"/>
        </w:rPr>
        <w:t xml:space="preserve">: Governance Risk Scores vary significantly across different sectors, suggesting sector-specific governance challenges and strengths.</w:t>
      </w:r>
    </w:p>
    <w:p w:rsidR="00000000" w:rsidDel="00000000" w:rsidP="00000000" w:rsidRDefault="00000000" w:rsidRPr="00000000" w14:paraId="0000006D">
      <w:pPr>
        <w:numPr>
          <w:ilvl w:val="0"/>
          <w:numId w:val="1"/>
        </w:numPr>
        <w:spacing w:after="240" w:before="0" w:beforeAutospacing="0" w:line="480" w:lineRule="auto"/>
        <w:ind w:left="720" w:hanging="360"/>
      </w:pPr>
      <w:r w:rsidDel="00000000" w:rsidR="00000000" w:rsidRPr="00000000">
        <w:rPr>
          <w:b w:val="1"/>
          <w:rtl w:val="0"/>
        </w:rPr>
        <w:t xml:space="preserve">Dividend Yield and ESG Scores</w:t>
      </w:r>
      <w:r w:rsidDel="00000000" w:rsidR="00000000" w:rsidRPr="00000000">
        <w:rPr>
          <w:rtl w:val="0"/>
        </w:rPr>
        <w:t xml:space="preserve">: There is a significant difference in Dividend Yield between companies with high and low ESG Risk Percentiles, indicating that ESG performance can correlate with dividend payouts.</w:t>
      </w:r>
    </w:p>
    <w:p w:rsidR="00000000" w:rsidDel="00000000" w:rsidP="00000000" w:rsidRDefault="00000000" w:rsidRPr="00000000" w14:paraId="0000006E">
      <w:pPr>
        <w:spacing w:after="240" w:before="240" w:line="480" w:lineRule="auto"/>
        <w:ind w:left="0" w:firstLine="0"/>
        <w:rPr/>
      </w:pPr>
      <w:r w:rsidDel="00000000" w:rsidR="00000000" w:rsidRPr="00000000">
        <w:rPr>
          <w:rtl w:val="0"/>
        </w:rPr>
      </w:r>
    </w:p>
    <w:p w:rsidR="00000000" w:rsidDel="00000000" w:rsidP="00000000" w:rsidRDefault="00000000" w:rsidRPr="00000000" w14:paraId="0000006F">
      <w:pPr>
        <w:spacing w:after="240" w:before="240" w:line="480" w:lineRule="auto"/>
        <w:ind w:left="0" w:firstLine="0"/>
        <w:rPr/>
      </w:pPr>
      <w:r w:rsidDel="00000000" w:rsidR="00000000" w:rsidRPr="00000000">
        <w:rPr>
          <w:rtl w:val="0"/>
        </w:rPr>
      </w:r>
    </w:p>
    <w:p w:rsidR="00000000" w:rsidDel="00000000" w:rsidP="00000000" w:rsidRDefault="00000000" w:rsidRPr="00000000" w14:paraId="00000070">
      <w:pPr>
        <w:spacing w:after="240" w:before="240" w:line="480" w:lineRule="auto"/>
        <w:ind w:left="0" w:firstLine="0"/>
        <w:rPr/>
      </w:pPr>
      <w:r w:rsidDel="00000000" w:rsidR="00000000" w:rsidRPr="00000000">
        <w:rPr>
          <w:rtl w:val="0"/>
        </w:rPr>
      </w:r>
    </w:p>
    <w:p w:rsidR="00000000" w:rsidDel="00000000" w:rsidP="00000000" w:rsidRDefault="00000000" w:rsidRPr="00000000" w14:paraId="00000071">
      <w:pPr>
        <w:spacing w:after="240" w:before="240" w:line="480" w:lineRule="auto"/>
        <w:ind w:left="0" w:firstLine="0"/>
        <w:rPr/>
      </w:pPr>
      <w:r w:rsidDel="00000000" w:rsidR="00000000" w:rsidRPr="00000000">
        <w:rPr>
          <w:rtl w:val="0"/>
        </w:rPr>
      </w:r>
    </w:p>
    <w:p w:rsidR="00000000" w:rsidDel="00000000" w:rsidP="00000000" w:rsidRDefault="00000000" w:rsidRPr="00000000" w14:paraId="00000072">
      <w:pPr>
        <w:spacing w:after="240" w:before="240" w:line="480" w:lineRule="auto"/>
        <w:ind w:left="0" w:firstLine="0"/>
        <w:rPr/>
      </w:pPr>
      <w:r w:rsidDel="00000000" w:rsidR="00000000" w:rsidRPr="00000000">
        <w:rPr>
          <w:rtl w:val="0"/>
        </w:rPr>
      </w:r>
    </w:p>
    <w:p w:rsidR="00000000" w:rsidDel="00000000" w:rsidP="00000000" w:rsidRDefault="00000000" w:rsidRPr="00000000" w14:paraId="00000073">
      <w:pPr>
        <w:spacing w:after="240" w:before="240" w:line="480" w:lineRule="auto"/>
        <w:ind w:left="0" w:firstLine="0"/>
        <w:rPr/>
      </w:pPr>
      <w:r w:rsidDel="00000000" w:rsidR="00000000" w:rsidRPr="00000000">
        <w:rPr>
          <w:rtl w:val="0"/>
        </w:rPr>
      </w:r>
    </w:p>
    <w:p w:rsidR="00000000" w:rsidDel="00000000" w:rsidP="00000000" w:rsidRDefault="00000000" w:rsidRPr="00000000" w14:paraId="00000074">
      <w:pPr>
        <w:spacing w:after="240" w:before="240" w:line="480" w:lineRule="auto"/>
        <w:ind w:left="0" w:firstLine="0"/>
        <w:rPr/>
      </w:pPr>
      <w:r w:rsidDel="00000000" w:rsidR="00000000" w:rsidRPr="00000000">
        <w:rPr>
          <w:rtl w:val="0"/>
        </w:rPr>
      </w:r>
    </w:p>
    <w:p w:rsidR="00000000" w:rsidDel="00000000" w:rsidP="00000000" w:rsidRDefault="00000000" w:rsidRPr="00000000" w14:paraId="00000075">
      <w:pPr>
        <w:spacing w:after="240" w:before="240" w:line="480" w:lineRule="auto"/>
        <w:ind w:left="0" w:firstLine="0"/>
        <w:rPr/>
      </w:pPr>
      <w:r w:rsidDel="00000000" w:rsidR="00000000" w:rsidRPr="00000000">
        <w:rPr>
          <w:rtl w:val="0"/>
        </w:rPr>
      </w:r>
    </w:p>
    <w:p w:rsidR="00000000" w:rsidDel="00000000" w:rsidP="00000000" w:rsidRDefault="00000000" w:rsidRPr="00000000" w14:paraId="00000076">
      <w:pPr>
        <w:spacing w:after="240" w:before="240" w:line="480" w:lineRule="auto"/>
        <w:ind w:left="0" w:firstLine="0"/>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