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2a302c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2a302c"/>
          <w:sz w:val="46"/>
          <w:szCs w:val="46"/>
          <w:u w:val="none"/>
          <w:shd w:fill="auto" w:val="clear"/>
          <w:vertAlign w:val="baseline"/>
          <w:rtl w:val="0"/>
        </w:rPr>
        <w:t xml:space="preserve">JLR Environmental Consulting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d7a3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d7a37"/>
          <w:sz w:val="24"/>
          <w:szCs w:val="24"/>
          <w:u w:val="none"/>
          <w:shd w:fill="auto" w:val="clear"/>
          <w:vertAlign w:val="baseline"/>
          <w:rtl w:val="0"/>
        </w:rPr>
        <w:t xml:space="preserve">Signals of Change / Listening Post Overview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color w:val="5d7a37"/>
          <w:sz w:val="16"/>
          <w:szCs w:val="16"/>
          <w:rtl w:val="0"/>
        </w:rPr>
        <w:t xml:space="preserve">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>
      <w:pPr>
        <w:pStyle w:val="Heading1"/>
      </w:pPr>
      <w:r>
        <w:t>Executive Overview</w:t>
      </w:r>
    </w:p>
    <w:p>
      <w:r>
        <w:t xml:space="preserve">Signals of Change mark the shift from a stable account to an active buying cycle. Most target organizations already have consultants, budgets, and working relationships, so the opening comes when something changes: </w:t>
      </w:r>
      <w:r>
        <w:rPr>
          <w:b/>
        </w:rPr>
        <w:t xml:space="preserve">a funding award, an adopted capital plan, a regulatory deadline, an infrastructure failure, a leadership change, or the start of a procurement.</w:t>
      </w:r>
      <w:r>
        <w:t xml:space="preserve"> That window — the period an organization is actively investigating a new need — is what the Listening Post is built to catch.</w:t>
      </w:r>
    </w:p>
    <w:p>
      <w:r>
        <w:t xml:space="preserve">Question 3 is answered by continuous monitoring, not a one-time report: an organization quiet today can move next month. </w:t>
      </w:r>
      <w:r>
        <w:rPr>
          <w:b/>
        </w:rPr>
        <w:t xml:space="preserve">FeedMe Pro, JLR's Listening Post application, runs this monitoring daily</w:t>
      </w:r>
      <w:r>
        <w:t xml:space="preserve"> — watching the market forces from Question 1 and the priority organizations from Question 2 — so Q3 stays current for the life of the engagement rather than aging the moment the initial research is delivered.</w:t>
      </w:r>
    </w:p>
    <w:p>
      <w:pPr>
        <w:pStyle w:val="Heading1"/>
      </w:pPr>
      <w:r>
        <w:t>What We're Listening For</w:t>
      </w:r>
    </w:p>
    <w:p>
      <w:r>
        <w:t xml:space="preserve">The Listening Post watches for public signals indicating future demand for JLR's water, wastewater, stormwater, planning, modeling, pipeline, pump-station, construction-management, and related infrastructure capabilities:</w:t>
      </w:r>
    </w:p>
    <w:p>
      <w:pPr>
        <w:numPr>
          <w:ilvl w:val="0"/>
          <w:numId w:val="1"/>
        </w:numPr>
        <w:spacing w:after="50"/>
        <w:ind w:left="288" w:hanging="173"/>
      </w:pPr>
      <w:r>
        <w:rPr>
          <w:b/>
        </w:rPr>
        <w:t xml:space="preserve">Funding activity — </w:t>
      </w:r>
      <w:r>
        <w:t xml:space="preserve">SRF, WIFIA, SAFER, IIJA, grants, bonds, appropriations, budget approvals, and rate increases.</w:t>
      </w:r>
    </w:p>
    <w:p>
      <w:pPr>
        <w:numPr>
          <w:ilvl w:val="0"/>
          <w:numId w:val="1"/>
        </w:numPr>
        <w:spacing w:after="50"/>
        <w:ind w:left="288" w:hanging="173"/>
      </w:pPr>
      <w:r>
        <w:rPr>
          <w:b/>
        </w:rPr>
        <w:t xml:space="preserve">Capital planning — </w:t>
      </w:r>
      <w:r>
        <w:t xml:space="preserve">New or updated CIPs, master plans, asset-management programs, and projects moving toward design.</w:t>
      </w:r>
    </w:p>
    <w:p>
      <w:pPr>
        <w:numPr>
          <w:ilvl w:val="0"/>
          <w:numId w:val="1"/>
        </w:numPr>
        <w:spacing w:after="50"/>
        <w:ind w:left="288" w:hanging="173"/>
      </w:pPr>
      <w:r>
        <w:rPr>
          <w:b/>
        </w:rPr>
        <w:t xml:space="preserve">Infrastructure problems — </w:t>
      </w:r>
      <w:r>
        <w:t xml:space="preserve">Pipeline failures, leaks, capacity issues, treatment problems, and aging-system concerns.</w:t>
      </w:r>
    </w:p>
    <w:p>
      <w:pPr>
        <w:numPr>
          <w:ilvl w:val="0"/>
          <w:numId w:val="1"/>
        </w:numPr>
        <w:spacing w:after="50"/>
        <w:ind w:left="288" w:hanging="173"/>
      </w:pPr>
      <w:r>
        <w:rPr>
          <w:b/>
        </w:rPr>
        <w:t xml:space="preserve">Regulatory pressure — </w:t>
      </w:r>
      <w:r>
        <w:t xml:space="preserve">Compliance requirements, water-quality issues, emerging contaminants, and enforcement deadlines.</w:t>
      </w:r>
    </w:p>
    <w:p>
      <w:pPr>
        <w:numPr>
          <w:ilvl w:val="0"/>
          <w:numId w:val="1"/>
        </w:numPr>
        <w:spacing w:after="50"/>
        <w:ind w:left="288" w:hanging="173"/>
      </w:pPr>
      <w:r>
        <w:rPr>
          <w:b/>
        </w:rPr>
        <w:t xml:space="preserve">System growth — </w:t>
      </w:r>
      <w:r>
        <w:t xml:space="preserve">New development, annexations, service-area expansion, and capacity upgrades.</w:t>
      </w:r>
    </w:p>
    <w:p>
      <w:pPr>
        <w:numPr>
          <w:ilvl w:val="0"/>
          <w:numId w:val="1"/>
        </w:numPr>
        <w:spacing w:after="50"/>
        <w:ind w:left="288" w:hanging="173"/>
      </w:pPr>
      <w:r>
        <w:rPr>
          <w:b/>
        </w:rPr>
        <w:t xml:space="preserve">Organizational change — </w:t>
      </w:r>
      <w:r>
        <w:t xml:space="preserve">New general managers, engineering/public-works leaders, retirements, and consultant changes.</w:t>
      </w:r>
    </w:p>
    <w:p>
      <w:pPr>
        <w:numPr>
          <w:ilvl w:val="0"/>
          <w:numId w:val="1"/>
        </w:numPr>
        <w:spacing w:after="50"/>
        <w:ind w:left="288" w:hanging="173"/>
      </w:pPr>
      <w:r>
        <w:rPr>
          <w:b/>
        </w:rPr>
        <w:t xml:space="preserve">Procurement activity — </w:t>
      </w:r>
      <w:r>
        <w:t xml:space="preserve">RFQs, RFPs, SOQs, prequalification, on-call/MSA agreements, and contract re-solicitations.</w:t>
      </w:r>
    </w:p>
    <w:p>
      <w:pPr>
        <w:numPr>
          <w:ilvl w:val="0"/>
          <w:numId w:val="1"/>
        </w:numPr>
        <w:spacing w:after="50"/>
        <w:ind w:left="288" w:hanging="173"/>
      </w:pPr>
      <w:r>
        <w:rPr>
          <w:b/>
        </w:rPr>
        <w:t xml:space="preserve">Competitor &amp; prime activity — </w:t>
      </w:r>
      <w:r>
        <w:t xml:space="preserve">Contract wins, shortlists, on-call awards, task orders, and teaming announcements.</w:t>
      </w:r>
    </w:p>
    <w:p>
      <w:pPr>
        <w:pStyle w:val="Heading1"/>
      </w:pPr>
      <w:r>
        <w:t>Signal Strength &amp; Response</w:t>
      </w:r>
    </w:p>
    <w:p>
      <w:r>
        <w:t xml:space="preserve">Every qualified signal gets a strength level, a rough time horizon, and a recommended response. FeedMe Pro's automated 10–100 scoring (see FeedMe Pro — Current Status, below) produces the grade directly; the levels below are how JLR should act on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2210"/>
        <w:gridCol w:w="2760"/>
        <w:gridCol w:w="3310"/>
      </w:tblGrid>
      <w:tr>
        <w:tc>
          <w:tcPr>
            <w:tcW w:type="dxa" w:w="1656"/>
            <w:shd w:val="clear" w:fill="DDE8C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2A302C"/>
              </w:rPr>
              <w:t xml:space="preserve">Level</w:t>
            </w:r>
          </w:p>
        </w:tc>
        <w:tc>
          <w:tcPr>
            <w:tcW w:type="dxa" w:w="2210"/>
            <w:shd w:val="clear" w:fill="DDE8C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2A302C"/>
              </w:rPr>
              <w:t xml:space="preserve">Horizon</w:t>
            </w:r>
          </w:p>
        </w:tc>
        <w:tc>
          <w:tcPr>
            <w:tcW w:type="dxa" w:w="2760"/>
            <w:shd w:val="clear" w:fill="DDE8C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2A302C"/>
              </w:rPr>
              <w:t xml:space="preserve">FeedMe Grade</w:t>
            </w:r>
          </w:p>
        </w:tc>
        <w:tc>
          <w:tcPr>
            <w:tcW w:type="dxa" w:w="3310"/>
            <w:shd w:val="clear" w:fill="DDE8C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2A302C"/>
              </w:rPr>
              <w:t xml:space="preserve">Recommended Response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color w:val="5D7A37"/>
              </w:rPr>
              <w:t xml:space="preserve">Hot</w:t>
            </w:r>
          </w:p>
        </w:tc>
        <w:tc>
          <w:tcPr>
            <w:tcW w:type="dxa" w:w="2210"/>
          </w:tcPr>
          <w:p>
            <w:r>
              <w:t xml:space="preserve">0–12 months</w:t>
            </w:r>
          </w:p>
        </w:tc>
        <w:tc>
          <w:tcPr>
            <w:tcW w:type="dxa" w:w="2760"/>
          </w:tcPr>
          <w:p>
            <w:r>
              <w:t xml:space="preserve">A – Investigate Now</w:t>
            </w:r>
          </w:p>
        </w:tc>
        <w:tc>
          <w:tcPr>
            <w:tcW w:type="dxa" w:w="3310"/>
          </w:tcPr>
          <w:p>
            <w:r>
              <w:t xml:space="preserve">Confirm scope, access, incumbent position, and next action promptly.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color w:val="5D7A37"/>
              </w:rPr>
              <w:t xml:space="preserve">Warm</w:t>
            </w:r>
          </w:p>
        </w:tc>
        <w:tc>
          <w:tcPr>
            <w:tcW w:type="dxa" w:w="2210"/>
          </w:tcPr>
          <w:p>
            <w:r>
              <w:t xml:space="preserve">12–24 months</w:t>
            </w:r>
          </w:p>
        </w:tc>
        <w:tc>
          <w:tcPr>
            <w:tcW w:type="dxa" w:w="2760"/>
          </w:tcPr>
          <w:p>
            <w:r>
              <w:t xml:space="preserve">B – Meaningful Signal</w:t>
            </w:r>
          </w:p>
        </w:tc>
        <w:tc>
          <w:tcPr>
            <w:tcW w:type="dxa" w:w="3310"/>
          </w:tcPr>
          <w:p>
            <w:r>
              <w:t xml:space="preserve">Qualify the need, monitor milestones, begin relationship research.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color w:val="5D7A37"/>
              </w:rPr>
              <w:t xml:space="preserve">Watch</w:t>
            </w:r>
          </w:p>
        </w:tc>
        <w:tc>
          <w:tcPr>
            <w:tcW w:type="dxa" w:w="2210"/>
          </w:tcPr>
          <w:p>
            <w:r>
              <w:t xml:space="preserve">Longer / indirect</w:t>
            </w:r>
          </w:p>
        </w:tc>
        <w:tc>
          <w:tcPr>
            <w:tcW w:type="dxa" w:w="2760"/>
          </w:tcPr>
          <w:p>
            <w:r>
              <w:t xml:space="preserve">C – Monitor</w:t>
            </w:r>
          </w:p>
        </w:tc>
        <w:tc>
          <w:tcPr>
            <w:tcW w:type="dxa" w:w="3310"/>
          </w:tcPr>
          <w:p>
            <w:r>
              <w:t xml:space="preserve">Keep watching; add context as related signals appear.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color w:val="5D7A37"/>
              </w:rPr>
              <w:t xml:space="preserve">Routine</w:t>
            </w:r>
          </w:p>
        </w:tc>
        <w:tc>
          <w:tcPr>
            <w:tcW w:type="dxa" w:w="2210"/>
          </w:tcPr>
          <w:p>
            <w:r>
              <w:t xml:space="preserve">—</w:t>
            </w:r>
          </w:p>
        </w:tc>
        <w:tc>
          <w:tcPr>
            <w:tcW w:type="dxa" w:w="2760"/>
          </w:tcPr>
          <w:p>
            <w:r>
              <w:t xml:space="preserve">Not Qualified</w:t>
            </w:r>
          </w:p>
        </w:tc>
        <w:tc>
          <w:tcPr>
            <w:tcW w:type="dxa" w:w="3310"/>
          </w:tcPr>
          <w:p>
            <w:r>
              <w:t xml:space="preserve">Retain for context only; no action needed.</w:t>
            </w:r>
          </w:p>
        </w:tc>
      </w:tr>
    </w:tbl>
    <w:p>
      <w:r>
        <w:t xml:space="preserve">A signal is a reason to investigate, not proof that a project is funded, accessible, or open to JLR as prime — confirming that is the next step.</w:t>
      </w:r>
    </w:p>
    <w:p>
      <w:pPr>
        <w:pStyle w:val="Heading1"/>
      </w:pPr>
      <w:r>
        <w:t>How It Works</w:t>
      </w:r>
    </w:p>
    <w:p>
      <w:pPr>
        <w:numPr>
          <w:ilvl w:val="0"/>
          <w:numId w:val="1"/>
        </w:numPr>
        <w:spacing w:after="50"/>
        <w:ind w:left="288" w:hanging="173"/>
      </w:pPr>
      <w:r>
        <w:rPr>
          <w:b/>
        </w:rPr>
        <w:t xml:space="preserve">Daily — </w:t>
      </w:r>
      <w:r>
        <w:t xml:space="preserve">FeedMe Pro collects new public information, matches it to a target organization or market niche, and scores it against JLR's profile.</w:t>
      </w:r>
    </w:p>
    <w:p>
      <w:pPr>
        <w:numPr>
          <w:ilvl w:val="0"/>
          <w:numId w:val="1"/>
        </w:numPr>
        <w:spacing w:after="50"/>
        <w:ind w:left="288" w:hanging="173"/>
      </w:pPr>
      <w:r>
        <w:rPr>
          <w:b/>
        </w:rPr>
        <w:t xml:space="preserve">Weekly — </w:t>
      </w:r>
      <w:r>
        <w:t xml:space="preserve">JLR reviews the strongest items and asks: What changed? Could it create a need for JLR's services? Who's involved? Is there a realistic path to compete?</w:t>
      </w:r>
    </w:p>
    <w:p>
      <w:pPr>
        <w:numPr>
          <w:ilvl w:val="0"/>
          <w:numId w:val="1"/>
        </w:numPr>
        <w:spacing w:after="50"/>
        <w:ind w:left="288" w:hanging="173"/>
      </w:pPr>
      <w:r>
        <w:rPr>
          <w:b/>
        </w:rPr>
        <w:t xml:space="preserve">As needed — </w:t>
      </w:r>
      <w:r>
        <w:t xml:space="preserve">Strong (Hot/Warm) signals move into Question 4 (people) and Question 5 (procurement) research.</w:t>
      </w:r>
    </w:p>
    <w:p>
      <w:r>
        <w:t xml:space="preserve">Each qualified signal is tracked with: organization, date, signal type, what changed, why it matters, potential JLR service, strength/horizon, access status, next action, and a source link — enough to act on without re-researching it later. Use the original public source, separate confirmed facts from interpretation, and close out signals that later information doesn't support.</w:t>
      </w:r>
    </w:p>
    <w:p>
      <w:pPr>
        <w:pStyle w:val="Heading1"/>
      </w:pPr>
      <w:r>
        <w:t>Competitor &amp; Prime Contractor Monitoring</w:t>
      </w:r>
    </w:p>
    <w:p>
      <w:r>
        <w:t xml:space="preserve">The Listening Post also tracks JLR's direct competitors and the larger firms that serve as primes — contract awards, shortlists, on-call/MSA assignments, task orders, and teaming announcements. This surfaces which agencies are actively awarding work, which firms are becoming entrenched, and where a teaming or subconsultant opportunity may exist — even when JLR wasn't part of the original procurement.</w:t>
      </w:r>
    </w:p>
    <w:p>
      <w:pPr>
        <w:pStyle w:val="Heading1"/>
      </w:pPr>
      <w:r>
        <w:t>RFP / RFQ / SOQ Monitoring &amp; Access Limitations</w:t>
      </w:r>
    </w:p>
    <w:p>
      <w:r>
        <w:rPr>
          <w:b/>
        </w:rPr>
        <w:t xml:space="preserve">The Listening Post shouldn't stop at the announcement.</w:t>
      </w:r>
      <w:r>
        <w:t xml:space="preserve"> Where a solicitation document is available, it should be mined — not just noted — for:</w:t>
      </w:r>
    </w:p>
    <w:p>
      <w:pPr>
        <w:numPr>
          <w:ilvl w:val="0"/>
          <w:numId w:val="1"/>
        </w:numPr>
        <w:spacing w:after="50"/>
        <w:ind w:left="288" w:hanging="173"/>
      </w:pPr>
      <w:r>
        <w:t xml:space="preserve">Agency, project, solicitation number, location, scope, and disciplines requested.</w:t>
      </w:r>
    </w:p>
    <w:p>
      <w:pPr>
        <w:numPr>
          <w:ilvl w:val="0"/>
          <w:numId w:val="1"/>
        </w:numPr>
        <w:spacing w:after="50"/>
        <w:ind w:left="288" w:hanging="173"/>
      </w:pPr>
      <w:r>
        <w:t xml:space="preserve">Budget/funding source and key dates (due date, pre-proposal meeting, questions deadline).</w:t>
      </w:r>
    </w:p>
    <w:p>
      <w:pPr>
        <w:numPr>
          <w:ilvl w:val="0"/>
          <w:numId w:val="1"/>
        </w:numPr>
        <w:spacing w:after="50"/>
        <w:ind w:left="288" w:hanging="173"/>
      </w:pPr>
      <w:r>
        <w:t xml:space="preserve">Procurement/technical contacts, required qualifications, and evaluation criteria.</w:t>
      </w:r>
    </w:p>
    <w:p>
      <w:pPr>
        <w:numPr>
          <w:ilvl w:val="0"/>
          <w:numId w:val="1"/>
        </w:numPr>
        <w:spacing w:after="50"/>
        <w:ind w:left="288" w:hanging="173"/>
      </w:pPr>
      <w:r>
        <w:t xml:space="preserve">Contract structure (on-call/MSA/task-order, term, renewal), incumbent, and subconsultant openings.</w:t>
      </w:r>
    </w:p>
    <w:p>
      <w:pPr>
        <w:numPr>
          <w:ilvl w:val="0"/>
          <w:numId w:val="1"/>
        </w:numPr>
        <w:spacing w:after="50"/>
        <w:ind w:left="288" w:hanging="173"/>
      </w:pPr>
      <w:r>
        <w:t xml:space="preserve">Links to the solicitation, addenda, Q&amp;A, shortlist, and award/contract approval.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FF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A302C"/>
              </w:rPr>
              <w:t xml:space="preserve">Access caveat: </w:t>
            </w:r>
            <w:r>
              <w:t xml:space="preserve">API access isn't guaranteed. Many procurement/bid portals require vendor registration, login, or proprietary platform access. Where public pages are accessible, the Listening Post monitors them directly; where access is restricted, the source needs vendor alerts or manual review — see below.</w:t>
            </w:r>
          </w:p>
        </w:tc>
      </w:tr>
    </w:tbl>
    <w:p>
      <w:pPr>
        <w:pStyle w:val="Heading1"/>
      </w:pPr>
      <w:r>
        <w:t>Sources Requiring Manual Monitoring</w:t>
      </w:r>
    </w:p>
    <w:p>
      <w:r>
        <w:t xml:space="preserve">Two categories of Question 3 sources sit outside FeedMe Pro's automated reach and should be checked by hand on a standing basis.</w:t>
      </w:r>
    </w:p>
    <w:p>
      <w:pPr>
        <w:pStyle w:val="Heading3"/>
      </w:pPr>
      <w:r>
        <w:t>General Sources — State, Federal &amp; Industry (23 sources)</w:t>
      </w:r>
    </w:p>
    <w:p>
      <w:r>
        <w:t xml:space="preserve">None have a working public RSS/search-wrapper feed — most sit behind vendor registration, login, or a proprietary platform.</w:t>
      </w:r>
    </w:p>
    <w:p>
      <w:pPr>
        <w:numPr>
          <w:ilvl w:val="0"/>
          <w:numId w:val="1"/>
        </w:numPr>
        <w:spacing w:after="50"/>
        <w:ind w:left="288" w:hanging="173"/>
      </w:pPr>
      <w:r>
        <w:rPr>
          <w:b/>
        </w:rPr>
        <w:t xml:space="preserve">Funding/regulatory agencies — </w:t>
      </w:r>
      <w:r>
        <w:t xml:space="preserve">CA State Water Resources Control Board (incl. Central Valley, SF Bay &amp; Lahontan Regional Boards), California DWR, California Grants Portal, US EPA, Bureau of Reclamation, USDA Rural Development, California IBank, USACE Sacramento District.</w:t>
      </w:r>
    </w:p>
    <w:p>
      <w:pPr>
        <w:numPr>
          <w:ilvl w:val="0"/>
          <w:numId w:val="1"/>
        </w:numPr>
        <w:spacing w:after="50"/>
        <w:ind w:left="288" w:hanging="173"/>
      </w:pPr>
      <w:r>
        <w:rPr>
          <w:b/>
        </w:rPr>
        <w:t xml:space="preserve">Procurement platforms — </w:t>
      </w:r>
      <w:r>
        <w:t xml:space="preserve">OpenGov, PlanetBids, Public Purchase, and BidNet offer no public RSS — an industry-wide platform limitation. Where a specific agency's portal instance is known (below), FeedMe Pro targets that instance directly.</w:t>
      </w:r>
    </w:p>
    <w:p>
      <w:pPr>
        <w:numPr>
          <w:ilvl w:val="0"/>
          <w:numId w:val="1"/>
        </w:numPr>
        <w:spacing w:after="50"/>
        <w:ind w:left="288" w:hanging="173"/>
      </w:pPr>
      <w:r>
        <w:rPr>
          <w:b/>
        </w:rPr>
        <w:t xml:space="preserve">Industry &amp; trade press — </w:t>
      </w:r>
      <w:r>
        <w:t xml:space="preserve">WaterWorld, Water Education Foundation / Western Water, California Special Districts Association.</w:t>
      </w:r>
    </w:p>
    <w:p>
      <w:pPr>
        <w:pStyle w:val="Heading3"/>
      </w:pPr>
      <w:r>
        <w:t>Existing-Client Bid &amp; Procurement Pages</w:t>
      </w:r>
    </w:p>
    <w:p>
      <w:r>
        <w:t xml:space="preserve">FeedMe Pro's search-based feeds are the automated backstop for these accounts; the pages below support a standing weekly manual check.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4200"/>
        <w:gridCol w:w="3176"/>
      </w:tblGrid>
      <w:tr>
        <w:tc>
          <w:tcPr>
            <w:tcW w:type="dxa" w:w="2560"/>
            <w:shd w:val="clear" w:fill="DDE8C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2A302C"/>
              </w:rPr>
              <w:t xml:space="preserve">Agency</w:t>
            </w:r>
          </w:p>
        </w:tc>
        <w:tc>
          <w:tcPr>
            <w:tcW w:type="dxa" w:w="4200"/>
            <w:shd w:val="clear" w:fill="DDE8C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2A302C"/>
              </w:rPr>
              <w:t xml:space="preserve">Direct Bid/RFP Page(s)</w:t>
            </w:r>
          </w:p>
        </w:tc>
        <w:tc>
          <w:tcPr>
            <w:tcW w:type="dxa" w:w="3176"/>
            <w:shd w:val="clear" w:fill="DDE8C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2A302C"/>
              </w:rPr>
              <w:t xml:space="preserve">Procurement Portal</w:t>
            </w:r>
          </w:p>
        </w:tc>
      </w:tr>
      <w:tr>
        <w:tc>
          <w:tcPr>
            <w:tcW w:type="dxa" w:w="2560"/>
          </w:tcPr>
          <w:p>
            <w:r>
              <w:rPr>
                <w:b/>
              </w:rPr>
              <w:t xml:space="preserve">City of West Sacramento</w:t>
            </w:r>
          </w:p>
        </w:tc>
        <w:tc>
          <w:tcPr>
            <w:tcW w:type="dxa" w:w="4200"/>
          </w:tcPr>
          <w:p>
            <w:r>
              <w:t xml:space="preserve">cityofwestsacramento.org/business/invitation-to-bid</w:t>
            </w:r>
          </w:p>
        </w:tc>
        <w:tc>
          <w:tcPr>
            <w:tcW w:type="dxa" w:w="3176"/>
          </w:tcPr>
          <w:p>
            <w:r>
              <w:t xml:space="preserve">OpenGov: procurement.opengov.com/portal/cityofwestsacramento</w:t>
            </w:r>
          </w:p>
        </w:tc>
      </w:tr>
      <w:tr>
        <w:tc>
          <w:tcPr>
            <w:tcW w:type="dxa" w:w="2560"/>
          </w:tcPr>
          <w:p>
            <w:r>
              <w:rPr>
                <w:b/>
              </w:rPr>
              <w:t xml:space="preserve">City of Sacramento</w:t>
            </w:r>
          </w:p>
        </w:tc>
        <w:tc>
          <w:tcPr>
            <w:tcW w:type="dxa" w:w="4200"/>
          </w:tcPr>
          <w:p>
            <w:r>
              <w:t xml:space="preserve">cityofsacramento.gov/finance/procurement/bid-opportunities</w:t>
            </w:r>
          </w:p>
        </w:tc>
        <w:tc>
          <w:tcPr>
            <w:tcW w:type="dxa" w:w="3176"/>
          </w:tcPr>
          <w:p>
            <w:r>
              <w:t xml:space="preserve">—</w:t>
            </w:r>
          </w:p>
        </w:tc>
      </w:tr>
      <w:tr>
        <w:tc>
          <w:tcPr>
            <w:tcW w:type="dxa" w:w="2560"/>
          </w:tcPr>
          <w:p>
            <w:r>
              <w:rPr>
                <w:b/>
              </w:rPr>
              <w:t xml:space="preserve">City of Roseville</w:t>
            </w:r>
          </w:p>
        </w:tc>
        <w:tc>
          <w:tcPr>
            <w:tcW w:type="dxa" w:w="4200"/>
          </w:tcPr>
          <w:p>
            <w:r>
              <w:t xml:space="preserve">roseville.ca.us/business/procurement_services/bids_rfps</w:t>
            </w:r>
          </w:p>
        </w:tc>
        <w:tc>
          <w:tcPr>
            <w:tcW w:type="dxa" w:w="3176"/>
          </w:tcPr>
          <w:p>
            <w:r>
              <w:t xml:space="preserve">Public Purchase: publicpurchase.com/gems/roseville,ca</w:t>
            </w:r>
          </w:p>
        </w:tc>
      </w:tr>
      <w:tr>
        <w:tc>
          <w:tcPr>
            <w:tcW w:type="dxa" w:w="2560"/>
          </w:tcPr>
          <w:p>
            <w:r>
              <w:rPr>
                <w:b/>
              </w:rPr>
              <w:t xml:space="preserve">City of Lincoln</w:t>
            </w:r>
          </w:p>
        </w:tc>
        <w:tc>
          <w:tcPr>
            <w:tcW w:type="dxa" w:w="4200"/>
          </w:tcPr>
          <w:p>
            <w:r>
              <w:t xml:space="preserve">lincolnca.gov/business-and-development/bids-and-rfps/</w:t>
            </w:r>
          </w:p>
        </w:tc>
        <w:tc>
          <w:tcPr>
            <w:tcW w:type="dxa" w:w="3176"/>
          </w:tcPr>
          <w:p>
            <w:r>
              <w:t xml:space="preserve">—</w:t>
            </w:r>
          </w:p>
        </w:tc>
      </w:tr>
      <w:tr>
        <w:tc>
          <w:tcPr>
            <w:tcW w:type="dxa" w:w="2560"/>
          </w:tcPr>
          <w:p>
            <w:r>
              <w:rPr>
                <w:b/>
              </w:rPr>
              <w:t xml:space="preserve">Olivehurst PUD</w:t>
            </w:r>
          </w:p>
        </w:tc>
        <w:tc>
          <w:tcPr>
            <w:tcW w:type="dxa" w:w="4200"/>
          </w:tcPr>
          <w:p>
            <w:r>
              <w:t xml:space="preserve">opud.org/public-notices · opud.org/notices</w:t>
            </w:r>
          </w:p>
        </w:tc>
        <w:tc>
          <w:tcPr>
            <w:tcW w:type="dxa" w:w="3176"/>
          </w:tcPr>
          <w:p>
            <w:r>
              <w:t xml:space="preserve">Public Purchase: publicpurchase.com/gems/olivehurstpud,ca</w:t>
            </w:r>
          </w:p>
        </w:tc>
      </w:tr>
      <w:tr>
        <w:tc>
          <w:tcPr>
            <w:tcW w:type="dxa" w:w="2560"/>
          </w:tcPr>
          <w:p>
            <w:r>
              <w:rPr>
                <w:b/>
              </w:rPr>
              <w:t xml:space="preserve">South Tahoe PUD</w:t>
            </w:r>
          </w:p>
        </w:tc>
        <w:tc>
          <w:tcPr>
            <w:tcW w:type="dxa" w:w="4200"/>
          </w:tcPr>
          <w:p>
            <w:r>
              <w:t xml:space="preserve">stpud.us/current-bids · stpud.us/request-for-proposals</w:t>
            </w:r>
          </w:p>
        </w:tc>
        <w:tc>
          <w:tcPr>
            <w:tcW w:type="dxa" w:w="3176"/>
          </w:tcPr>
          <w:p>
            <w:r>
              <w:t xml:space="preserve">Public Purchase: publicpurchase.com/gems/stahoepublicutility,ca</w:t>
            </w:r>
          </w:p>
        </w:tc>
      </w:tr>
      <w:tr>
        <w:tc>
          <w:tcPr>
            <w:tcW w:type="dxa" w:w="2560"/>
          </w:tcPr>
          <w:p>
            <w:r>
              <w:rPr>
                <w:b/>
              </w:rPr>
              <w:t xml:space="preserve">Sacramento Suburban WD</w:t>
            </w:r>
          </w:p>
        </w:tc>
        <w:tc>
          <w:tcPr>
            <w:tcW w:type="dxa" w:w="4200"/>
          </w:tcPr>
          <w:p>
            <w:r>
              <w:t xml:space="preserve">sswd.org/departments/engineering/capital-improvement-program/current-projects</w:t>
            </w:r>
          </w:p>
        </w:tc>
        <w:tc>
          <w:tcPr>
            <w:tcW w:type="dxa" w:w="3176"/>
          </w:tcPr>
          <w:p>
            <w:r>
              <w:t xml:space="preserve">—</w:t>
            </w:r>
          </w:p>
        </w:tc>
      </w:tr>
      <w:tr>
        <w:tc>
          <w:tcPr>
            <w:tcW w:type="dxa" w:w="2560"/>
          </w:tcPr>
          <w:p>
            <w:r>
              <w:rPr>
                <w:b/>
              </w:rPr>
              <w:t xml:space="preserve">San Juan Water District</w:t>
            </w:r>
          </w:p>
        </w:tc>
        <w:tc>
          <w:tcPr>
            <w:tcW w:type="dxa" w:w="4200"/>
          </w:tcPr>
          <w:p>
            <w:r>
              <w:t xml:space="preserve">sjwd.org/current-rfps-and-bids</w:t>
            </w:r>
          </w:p>
        </w:tc>
        <w:tc>
          <w:tcPr>
            <w:tcW w:type="dxa" w:w="3176"/>
          </w:tcPr>
          <w:p>
            <w:r>
              <w:t xml:space="preserve">Public Purchase: publicpurchase.com/gems/sjwd,ca</w:t>
            </w:r>
          </w:p>
        </w:tc>
      </w:tr>
      <w:tr>
        <w:tc>
          <w:tcPr>
            <w:tcW w:type="dxa" w:w="2560"/>
          </w:tcPr>
          <w:p>
            <w:r>
              <w:rPr>
                <w:b/>
              </w:rPr>
              <w:t xml:space="preserve">El Dorado Irrigation District</w:t>
            </w:r>
          </w:p>
        </w:tc>
        <w:tc>
          <w:tcPr>
            <w:tcW w:type="dxa" w:w="4200"/>
          </w:tcPr>
          <w:p>
            <w:r>
              <w:t xml:space="preserve">eid.org/about-us/advanced-components/rfp-postings</w:t>
            </w:r>
          </w:p>
        </w:tc>
        <w:tc>
          <w:tcPr>
            <w:tcW w:type="dxa" w:w="3176"/>
          </w:tcPr>
          <w:p>
            <w:r>
              <w:t xml:space="preserve">—</w:t>
            </w:r>
          </w:p>
        </w:tc>
      </w:tr>
      <w:tr>
        <w:tc>
          <w:tcPr>
            <w:tcW w:type="dxa" w:w="2560"/>
          </w:tcPr>
          <w:p>
            <w:r>
              <w:rPr>
                <w:b/>
              </w:rPr>
              <w:t xml:space="preserve">Placer County Water Agency</w:t>
            </w:r>
          </w:p>
        </w:tc>
        <w:tc>
          <w:tcPr>
            <w:tcW w:type="dxa" w:w="4200"/>
          </w:tcPr>
          <w:p>
            <w:r>
              <w:t xml:space="preserve">pcwa.net/business/goods-and-services</w:t>
            </w:r>
          </w:p>
        </w:tc>
        <w:tc>
          <w:tcPr>
            <w:tcW w:type="dxa" w:w="3176"/>
          </w:tcPr>
          <w:p>
            <w:r>
              <w:t xml:space="preserve">Public Purchase: publicpurchase.com/gems/pcwa,ca</w:t>
            </w:r>
          </w:p>
        </w:tc>
      </w:tr>
    </w:tbl>
    <w:p>
      <w:r>
        <w:t xml:space="preserve">Knights Landing CSD, Meridian Farms Water Co., and Sutter Mutual Water Co. have no dedicated procurement page; check Yolo County's advertised-bids page and the Northern California Water Association (norcalwater.org) periodically instead.</w:t>
      </w:r>
    </w:p>
    <w:p>
      <w:pPr>
        <w:pStyle w:val="Heading1"/>
      </w:pPr>
      <w:r>
        <w:t>FeedMe Pro — Current Status</w:t>
      </w:r>
    </w:p>
    <w:p>
      <w:r>
        <w:t xml:space="preserve">FeedMe Pro is JLR's Listening Post application, running independently of any other client's instance — own feed list, geography, and scoring model. </w:t>
      </w:r>
      <w:r>
        <w:rPr>
          <w:b/>
        </w:rPr>
        <w:t xml:space="preserve">It runs 152 monitored feeds today</w:t>
      </w:r>
      <w:r>
        <w:t xml:space="preserve">, covering funding/procurement signals, every existing client and Priority A/B/C target individually, competitors and primes, JLR's partner ecosystem, project/facility and regulatory signals, and California water trade press.</w:t>
      </w:r>
    </w:p>
    <w:p>
      <w:r>
        <w:t xml:space="preserve">Three filters screen articles before AI scoring to keep signal quality high and control cost: a </w:t>
      </w:r>
      <w:r>
        <w:rPr>
          <w:b/>
        </w:rPr>
        <w:t xml:space="preserve">Northern California geography filter</w:t>
      </w:r>
      <w:r>
        <w:t xml:space="preserve">, a </w:t>
      </w:r>
      <w:r>
        <w:rPr>
          <w:b/>
        </w:rPr>
        <w:t xml:space="preserve">sports-content filter</w:t>
      </w:r>
      <w:r>
        <w:t xml:space="preserve">, and a </w:t>
      </w:r>
      <w:r>
        <w:rPr>
          <w:b/>
        </w:rPr>
        <w:t xml:space="preserve">reference/junk-page filter</w:t>
      </w:r>
      <w:r>
        <w:t xml:space="preserve"> (Wikipedia, dictionary definitions, generic landing pages). Each has an on/off toggle and a backlog-sweep action.</w:t>
      </w:r>
    </w:p>
    <w:p>
      <w:r>
        <w:t xml:space="preserve">Surviving articles are scored 10–100 against JLR's ideal-opportunity profile and graded A/B/C/Not Qualified (see Signal Strength &amp; Response, above); a genuine Signal of Change or confirmed funding award is guaranteed a minimum score so it's never buried as background noise.</w:t>
      </w:r>
    </w:p>
    <w:p>
      <w:pPr>
        <w:pStyle w:val="Heading1"/>
      </w:pPr>
      <w:r>
        <w:t>Operating Rhythm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5310"/>
        <w:gridCol w:w="3136"/>
      </w:tblGrid>
      <w:tr>
        <w:tc>
          <w:tcPr>
            <w:tcW w:type="dxa" w:w="1490"/>
            <w:shd w:val="clear" w:fill="DDE8C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2A302C"/>
              </w:rPr>
              <w:t xml:space="preserve">Frequency</w:t>
            </w:r>
          </w:p>
        </w:tc>
        <w:tc>
          <w:tcPr>
            <w:tcW w:type="dxa" w:w="5310"/>
            <w:shd w:val="clear" w:fill="DDE8C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2A302C"/>
              </w:rPr>
              <w:t xml:space="preserve">Activity</w:t>
            </w:r>
          </w:p>
        </w:tc>
        <w:tc>
          <w:tcPr>
            <w:tcW w:type="dxa" w:w="3136"/>
            <w:shd w:val="clear" w:fill="DDE8C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2A302C"/>
              </w:rPr>
              <w:t xml:space="preserve">Output</w:t>
            </w:r>
          </w:p>
        </w:tc>
      </w:tr>
      <w:tr>
        <w:tc>
          <w:tcPr>
            <w:tcW w:type="dxa" w:w="1490"/>
          </w:tcPr>
          <w:p>
            <w:r>
              <w:t xml:space="preserve">Daily</w:t>
            </w:r>
          </w:p>
        </w:tc>
        <w:tc>
          <w:tcPr>
            <w:tcW w:type="dxa" w:w="5310"/>
          </w:tcPr>
          <w:p>
            <w:r>
              <w:t xml:space="preserve">FeedMe Pro collects and scores new information; obvious noise is filtered automatically.</w:t>
            </w:r>
          </w:p>
        </w:tc>
        <w:tc>
          <w:tcPr>
            <w:tcW w:type="dxa" w:w="3136"/>
          </w:tcPr>
          <w:p>
            <w:r>
              <w:t xml:space="preserve">A current, scored stream of items.</w:t>
            </w:r>
          </w:p>
        </w:tc>
      </w:tr>
      <w:tr>
        <w:tc>
          <w:tcPr>
            <w:tcW w:type="dxa" w:w="1490"/>
          </w:tcPr>
          <w:p>
            <w:r>
              <w:t xml:space="preserve">Weekly</w:t>
            </w:r>
          </w:p>
        </w:tc>
        <w:tc>
          <w:tcPr>
            <w:tcW w:type="dxa" w:w="5310"/>
          </w:tcPr>
          <w:p>
            <w:r>
              <w:t xml:space="preserve">Review the strongest items, connect to target accounts, assign Hot/Warm/Watch.</w:t>
            </w:r>
          </w:p>
        </w:tc>
        <w:tc>
          <w:tcPr>
            <w:tcW w:type="dxa" w:w="3136"/>
          </w:tcPr>
          <w:p>
            <w:r>
              <w:t xml:space="preserve">A short action list with follow-ups.</w:t>
            </w:r>
          </w:p>
        </w:tc>
      </w:tr>
      <w:tr>
        <w:tc>
          <w:tcPr>
            <w:tcW w:type="dxa" w:w="1490"/>
          </w:tcPr>
          <w:p>
            <w:r>
              <w:t xml:space="preserve">Monthly</w:t>
            </w:r>
          </w:p>
        </w:tc>
        <w:tc>
          <w:tcPr>
            <w:tcW w:type="dxa" w:w="5310"/>
          </w:tcPr>
          <w:p>
            <w:r>
              <w:t xml:space="preserve">Review account patterns, aging signals, and movement in priority organizations.</w:t>
            </w:r>
          </w:p>
        </w:tc>
        <w:tc>
          <w:tcPr>
            <w:tcW w:type="dxa" w:w="3136"/>
          </w:tcPr>
          <w:p>
            <w:r>
              <w:t xml:space="preserve">An updated opportunity picture.</w:t>
            </w:r>
          </w:p>
        </w:tc>
      </w:tr>
      <w:tr>
        <w:tc>
          <w:tcPr>
            <w:tcW w:type="dxa" w:w="1490"/>
          </w:tcPr>
          <w:p>
            <w:r>
              <w:t xml:space="preserve">Quarterly</w:t>
            </w:r>
          </w:p>
        </w:tc>
        <w:tc>
          <w:tcPr>
            <w:tcW w:type="dxa" w:w="5310"/>
          </w:tcPr>
          <w:p>
            <w:r>
              <w:t xml:space="preserve">Refresh feeds, target names, funding programs, and missing sources.</w:t>
            </w:r>
          </w:p>
        </w:tc>
        <w:tc>
          <w:tcPr>
            <w:tcW w:type="dxa" w:w="3136"/>
          </w:tcPr>
          <w:p>
            <w:r>
              <w:t xml:space="preserve">Better coverage, fewer stale feeds.</w:t>
            </w:r>
          </w:p>
        </w:tc>
      </w:tr>
    </w:tbl>
    <w:p>
      <w:pPr>
        <w:pStyle w:val="Heading1"/>
      </w:pPr>
      <w:r>
        <w:t>How Q3 Fits the Engagement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3312"/>
        <w:gridCol w:w="4968"/>
      </w:tblGrid>
      <w:tr>
        <w:tc>
          <w:tcPr>
            <w:tcW w:type="dxa" w:w="1656"/>
            <w:shd w:val="clear" w:fill="DDE8C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2A302C"/>
              </w:rPr>
              <w:t xml:space="preserve">Question</w:t>
            </w:r>
          </w:p>
        </w:tc>
        <w:tc>
          <w:tcPr>
            <w:tcW w:type="dxa" w:w="3312"/>
            <w:shd w:val="clear" w:fill="DDE8C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2A302C"/>
              </w:rPr>
              <w:t xml:space="preserve">Business Question</w:t>
            </w:r>
          </w:p>
        </w:tc>
        <w:tc>
          <w:tcPr>
            <w:tcW w:type="dxa" w:w="4968"/>
            <w:shd w:val="clear" w:fill="DDE8C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2A302C"/>
              </w:rPr>
              <w:t xml:space="preserve">Role in the Process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color w:val="5D7A37"/>
              </w:rPr>
              <w:t xml:space="preserve">Q1</w:t>
            </w:r>
          </w:p>
        </w:tc>
        <w:tc>
          <w:tcPr>
            <w:tcW w:type="dxa" w:w="3312"/>
          </w:tcPr>
          <w:p>
            <w:r>
              <w:t xml:space="preserve">Where is the opportunity?</w:t>
            </w:r>
          </w:p>
        </w:tc>
        <w:tc>
          <w:tcPr>
            <w:tcW w:type="dxa" w:w="4968"/>
          </w:tcPr>
          <w:p>
            <w:r>
              <w:t xml:space="preserve">Identifies market demand, funding, regulatory drivers, and emerging sources of work.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color w:val="5D7A37"/>
              </w:rPr>
              <w:t xml:space="preserve">Q2</w:t>
            </w:r>
          </w:p>
        </w:tc>
        <w:tc>
          <w:tcPr>
            <w:tcW w:type="dxa" w:w="3312"/>
          </w:tcPr>
          <w:p>
            <w:r>
              <w:t xml:space="preserve">Who should we pursue?</w:t>
            </w:r>
          </w:p>
        </w:tc>
        <w:tc>
          <w:tcPr>
            <w:tcW w:type="dxa" w:w="4968"/>
          </w:tcPr>
          <w:p>
            <w:r>
              <w:t xml:space="preserve">Defines the target organizations.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color w:val="5D7A37"/>
              </w:rPr>
              <w:t xml:space="preserve">Q3</w:t>
            </w:r>
          </w:p>
        </w:tc>
        <w:tc>
          <w:tcPr>
            <w:tcW w:type="dxa" w:w="3312"/>
          </w:tcPr>
          <w:p>
            <w:r>
              <w:t xml:space="preserve">What is happening there now?</w:t>
            </w:r>
          </w:p>
        </w:tc>
        <w:tc>
          <w:tcPr>
            <w:tcW w:type="dxa" w:w="4968"/>
          </w:tcPr>
          <w:p>
            <w:r>
              <w:t xml:space="preserve">Identifies meaningful change and emerging opportunities — this document.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color w:val="5D7A37"/>
              </w:rPr>
              <w:t xml:space="preserve">Q4</w:t>
            </w:r>
          </w:p>
        </w:tc>
        <w:tc>
          <w:tcPr>
            <w:tcW w:type="dxa" w:w="3312"/>
          </w:tcPr>
          <w:p>
            <w:r>
              <w:t xml:space="preserve">Who do we need to know?</w:t>
            </w:r>
          </w:p>
        </w:tc>
        <w:tc>
          <w:tcPr>
            <w:tcW w:type="dxa" w:w="4968"/>
          </w:tcPr>
          <w:p>
            <w:r>
              <w:t xml:space="preserve">Identifies the people connected to the opportunity.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color w:val="5D7A37"/>
              </w:rPr>
              <w:t xml:space="preserve">Q5</w:t>
            </w:r>
          </w:p>
        </w:tc>
        <w:tc>
          <w:tcPr>
            <w:tcW w:type="dxa" w:w="3312"/>
          </w:tcPr>
          <w:p>
            <w:r>
              <w:t xml:space="preserve">How and when can we compete?</w:t>
            </w:r>
          </w:p>
        </w:tc>
        <w:tc>
          <w:tcPr>
            <w:tcW w:type="dxa" w:w="4968"/>
          </w:tcPr>
          <w:p>
            <w:r>
              <w:t xml:space="preserve">Determines procurement path, requirements, and timing.</w:t>
            </w:r>
          </w:p>
        </w:tc>
      </w:tr>
    </w:tbl>
    <w:p>
      <w:pPr>
        <w:pStyle w:val="Heading1"/>
      </w:pPr>
      <w:r>
        <w:t>The Result</w:t>
      </w:r>
    </w:p>
    <w:p>
      <w:r>
        <w:t xml:space="preserve">The strongest opportunities align several factors at once: </w:t>
      </w:r>
      <w:r>
        <w:rPr>
          <w:b/>
        </w:rPr>
        <w:t xml:space="preserve">a favorable funding driver, a target organization, a visible Signal of Change, a fit with JLR's capabilities, identifiable decision-makers, and an accessible procurement path.</w:t>
      </w:r>
      <w:r>
        <w:t xml:space="preserve"> The Listening Post — run daily by FeedMe Pro and reviewed weekly by JLR — is the early-warning system that lets JLR invest business-development time where the probability of real work is highest.</w:t>
      </w:r>
    </w:p>
    <w:p>
      <w:pPr>
        <w:spacing w:before="280" w:after="0"/>
      </w:pPr>
      <w:r>
        <w:rPr>
          <w:i/>
          <w:color w:val="5F6460"/>
          <w:sz w:val="16"/>
        </w:rPr>
        <w:t xml:space="preserve">Basis: National Center for Economic Gardening Signals of Change and Intercept Marketing framework; JLR Economic Gardening discovery, controlling-document research, and FeedMe Pro Listening Post configuration.</w:t>
      </w:r>
    </w:p>
    <w:sectPr>
      <w:headerReference r:id="rId6" w:type="default"/>
      <w:footerReference r:id="rId7" w:type="default"/>
      <w:pgSz w:h="15840" w:w="12240" w:orient="portrait"/>
      <w:pgMar w:bottom="936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f6460"/>
        <w:sz w:val="16"/>
        <w:szCs w:val="16"/>
        <w:u w:val="none"/>
        <w:shd w:fill="auto" w:val="clear"/>
        <w:vertAlign w:val="baseline"/>
        <w:rtl w:val="0"/>
      </w:rPr>
      <w:t xml:space="preserve">Signals of Change / Listening Post Overview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5f6460"/>
        <w:sz w:val="16"/>
        <w:szCs w:val="16"/>
        <w:u w:val="none"/>
        <w:shd w:fill="auto" w:val="clear"/>
        <w:vertAlign w:val="baseline"/>
        <w:rtl w:val="0"/>
      </w:rPr>
      <w:t xml:space="preserve">JLR ENVIRONMENTAL CONSULTING  |  ECONOMIC GARDENING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5d7a37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5d7a3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