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LRTitle"/>
      </w:pPr>
      <w:r>
        <w:t>JLR Environmental Consulting</w:t>
      </w:r>
    </w:p>
    <w:p>
      <w:pPr>
        <w:pStyle w:val="JLRSubtitle"/>
      </w:pPr>
      <w:r>
        <w:t>Signals of Change / Listening Post Overview</w:t>
      </w:r>
    </w:p>
    <w:p>
      <w:pPr>
        <w:spacing w:after="160"/>
      </w:pPr>
      <w:r>
        <w:rPr>
          <w:color w:val="5D7A37"/>
          <w:sz w:val="16"/>
        </w:rPr>
        <w:t>━━━━━━━━━━━━━━━━━━━━━━━━━━━━━━━━━━━━━━━━━━━━━━━━━━━━━━</w:t>
      </w:r>
    </w:p>
    <w:p>
      <w:pPr>
        <w:pStyle w:val="Heading1"/>
      </w:pPr>
      <w:r>
        <w:t>Executive Overview</w:t>
      </w:r>
    </w:p>
    <w:p>
      <w:r>
        <w:rPr>
          <w:b w:val="0"/>
        </w:rPr>
        <w:t xml:space="preserve">Economic Gardening uses Signals of Change to identify when a prospective customer may be moving from a stable condition into an active buying cycle. </w:t>
      </w:r>
      <w:r>
        <w:rPr>
          <w:b/>
        </w:rPr>
        <w:t xml:space="preserve">Most organizations are not looking for a new engineering firm at any given moment. </w:t>
      </w:r>
      <w:r>
        <w:t>They already have established consultants, approved processes, budgets, and working relationships. The probability of creating a new opportunity rises when something changes.</w:t>
      </w:r>
    </w:p>
    <w:p>
      <w:r>
        <w:t xml:space="preserve">That change may be a new funding award, an adopted capital improvement plan, a regulatory deadline, an infrastructure failure, a leadership change, or the beginning of a procurement process. These events can create motivation and open what Economic Gardening describes as a </w:t>
      </w:r>
      <w:r>
        <w:rPr>
          <w:b/>
          <w:color w:val="5D7A37"/>
        </w:rPr>
        <w:t>sales window</w:t>
      </w:r>
      <w:r>
        <w:t xml:space="preserve"> — the period when an organization begins investigating how to solve a new problem or address a new requirement.</w:t>
      </w:r>
    </w:p>
    <w:p>
      <w:r>
        <w:t xml:space="preserve">For JLR, the purpose of the Listening Post is to monitor both the broader market forces identified in Question 1 and the priority organizations identified in Question 2, then identify changes early enough to support business development </w:t>
      </w:r>
      <w:r>
        <w:rPr>
          <w:b/>
        </w:rPr>
        <w:t>before the opportunity has fully moved into the formal RFQ/RFP stage.</w:t>
      </w:r>
      <w:r>
        <w:t xml:space="preserve"> The goal is to give JLR earlier visibility into where demand is forming, which organizations are affected, who is involved, and when there may be a realistic path to compete.</w:t>
      </w:r>
    </w:p>
    <w:p>
      <w:pPr>
        <w:pStyle w:val="Heading1"/>
      </w:pPr>
      <w:r>
        <w:t>Why We Listen</w:t>
      </w:r>
    </w:p>
    <w:p>
      <w:r>
        <w:t xml:space="preserve">Question 1 identifies </w:t>
      </w:r>
      <w:r>
        <w:rPr>
          <w:b/>
          <w:color w:val="5D7A37"/>
        </w:rPr>
        <w:t>where opportunity is developing and why</w:t>
      </w:r>
      <w:r>
        <w:t xml:space="preserve"> — the funding programs, regulatory drivers, infrastructure needs, project types, and market segments creating demand. Question 2 identifies </w:t>
      </w:r>
      <w:r>
        <w:rPr>
          <w:b/>
          <w:color w:val="5D7A37"/>
        </w:rPr>
        <w:t>who JLR should pursue</w:t>
      </w:r>
      <w:r>
        <w:t xml:space="preserve">. The Listening Post then adds the critical timing question: </w:t>
      </w:r>
      <w:r>
        <w:rPr>
          <w:b/>
          <w:color w:val="5D7A37"/>
        </w:rPr>
        <w:t>What is happening there now?</w:t>
      </w:r>
    </w:p>
    <w:p>
      <w:r>
        <w:t>A target organization may fit JLR's ideal customer profile perfectly but still have no immediate need for outside engineering services. Another organization may suddenly receive funding, adopt a major capital program, experience a system problem, face a compliance deadline, or begin replacing an existing consultant. Those changes make the second organization more actionable.</w:t>
      </w:r>
    </w:p>
    <w:tbl>
      <w:tblPr>
        <w:tblW w:type="auto" w:w="0"/>
        <w:jc w:val="center"/>
        <w:tblLayout w:type="fixed"/>
        <w:tblLook w:firstColumn="1" w:firstRow="1" w:lastColumn="0" w:lastRow="0" w:noHBand="0" w:noVBand="1" w:val="04A0"/>
      </w:tblPr>
      <w:tblGrid>
        <w:gridCol w:w="9936"/>
      </w:tblGrid>
      <w:tr>
        <w:tc>
          <w:tcPr>
            <w:tcW w:type="dxa" w:w="9504"/>
            <w:shd w:fill="E9F0E1"/>
            <w:tcMar>
              <w:top w:w="110" w:type="dxa"/>
              <w:start w:w="140" w:type="dxa"/>
              <w:bottom w:w="110" w:type="dxa"/>
              <w:end w:w="140" w:type="dxa"/>
            </w:tcMar>
          </w:tcPr>
          <w:p>
            <w:pPr>
              <w:jc w:val="center"/>
            </w:pPr>
            <w:r>
              <w:rPr>
                <w:b/>
                <w:color w:val="2A302C"/>
                <w:sz w:val="23"/>
              </w:rPr>
              <w:t>A good target account  ≠  A good target account where something is changing now</w:t>
            </w:r>
          </w:p>
        </w:tc>
      </w:tr>
    </w:tbl>
    <w:p/>
    <w:p>
      <w:r>
        <w:t>The Listening Post is intended to help JLR focus limited business-development time on organizations where there is evidence of an emerging need rather than treating every agency in the market equally.</w:t>
      </w:r>
    </w:p>
    <w:p>
      <w:pPr>
        <w:pStyle w:val="Heading1"/>
      </w:pPr>
      <w:r>
        <w:t>What We Are Listening For</w:t>
      </w:r>
    </w:p>
    <w:p>
      <w:r>
        <w:t>The Listening Post will monitor both JLR's priority organizations and the broader market forces identified in Question 1. It will look for public signals that may indicate future demand for JLR's water, wastewater, stormwater, planning, modeling, pipeline, pump station, construction management, inspection, permitting, and related infrastructure capabilities. This allows new sources of demand to be detected even before they are associated with a specific target account.</w:t>
      </w:r>
    </w:p>
    <w:p>
      <w:pPr>
        <w:pStyle w:val="ListBullet"/>
        <w:spacing w:after="60"/>
      </w:pPr>
      <w:r>
        <w:rPr>
          <w:b/>
          <w:color w:val="5D7A37"/>
        </w:rPr>
        <w:t xml:space="preserve">Funding activity — </w:t>
      </w:r>
      <w:r>
        <w:t>SRF, WIFIA, SAFER, IIJA, grants, bond funding, appropriations, budget approvals, adopted rate increases, and other infrastructure awards.</w:t>
      </w:r>
    </w:p>
    <w:p>
      <w:pPr>
        <w:pStyle w:val="ListBullet"/>
        <w:spacing w:after="60"/>
      </w:pPr>
      <w:r>
        <w:rPr>
          <w:b/>
          <w:color w:val="5D7A37"/>
        </w:rPr>
        <w:t xml:space="preserve">Capital planning activity — </w:t>
      </w:r>
      <w:r>
        <w:t>New or updated capital improvement plans, master plans, asset-management programs, condition assessments, and projects moving toward planning or design.</w:t>
      </w:r>
    </w:p>
    <w:p>
      <w:pPr>
        <w:pStyle w:val="ListBullet"/>
        <w:spacing w:after="60"/>
      </w:pPr>
      <w:r>
        <w:rPr>
          <w:b/>
          <w:color w:val="5D7A37"/>
        </w:rPr>
        <w:t xml:space="preserve">Infrastructure problems — </w:t>
      </w:r>
      <w:r>
        <w:t>Pipeline failures, leaks, capacity issues, pump or treatment problems, emergency repairs, and aging-system concerns.</w:t>
      </w:r>
    </w:p>
    <w:p>
      <w:pPr>
        <w:pStyle w:val="ListBullet"/>
        <w:spacing w:after="60"/>
      </w:pPr>
      <w:r>
        <w:rPr>
          <w:b/>
          <w:color w:val="5D7A37"/>
        </w:rPr>
        <w:t xml:space="preserve">Regulatory pressure — </w:t>
      </w:r>
      <w:r>
        <w:t>Compliance requirements, water-quality issues, permit conditions, emerging contaminants, discharge requirements, and deadlines that may force action.</w:t>
      </w:r>
    </w:p>
    <w:p>
      <w:pPr>
        <w:pStyle w:val="ListBullet"/>
        <w:spacing w:after="60"/>
      </w:pPr>
      <w:r>
        <w:rPr>
          <w:b/>
          <w:color w:val="5D7A37"/>
        </w:rPr>
        <w:t xml:space="preserve">System growth or expansion — </w:t>
      </w:r>
      <w:r>
        <w:t>New development, annexations, increased demand, service-area expansion, new facilities, and capacity upgrades.</w:t>
      </w:r>
    </w:p>
    <w:p>
      <w:pPr>
        <w:pStyle w:val="ListBullet"/>
        <w:spacing w:after="60"/>
      </w:pPr>
      <w:r>
        <w:rPr>
          <w:b/>
          <w:color w:val="5D7A37"/>
        </w:rPr>
        <w:t xml:space="preserve">Organizational change — </w:t>
      </w:r>
      <w:r>
        <w:t>New general managers, engineering directors, public works leaders, retirements, restructuring, or changes in consulting relationships.</w:t>
      </w:r>
    </w:p>
    <w:p>
      <w:pPr>
        <w:pStyle w:val="ListBullet"/>
        <w:spacing w:after="60"/>
      </w:pPr>
      <w:r>
        <w:rPr>
          <w:b/>
          <w:color w:val="5D7A37"/>
        </w:rPr>
        <w:t xml:space="preserve">Procurement activity — </w:t>
      </w:r>
      <w:r>
        <w:t>RFQs, RFPs, SOQs, consultant prequalification, on-call agreements, master service agreements, contract expirations, and upcoming re-solicitations.</w:t>
      </w:r>
    </w:p>
    <w:p>
      <w:pPr>
        <w:pStyle w:val="ListBullet"/>
      </w:pPr>
      <w:r>
        <w:rPr>
          <w:b/>
          <w:color w:val="5D7A37"/>
        </w:rPr>
        <w:t xml:space="preserve">Competitor and prime-contractor activity — </w:t>
      </w:r>
      <w:r>
        <w:t>Contract wins, shortlist selections, on-call awards, major task orders, funded programs, teaming announcements, new regional assignments, and other public indications that competitors or larger prime contractors are gaining work in JLR's target market.</w:t>
      </w:r>
    </w:p>
    <w:p>
      <w:pPr>
        <w:pStyle w:val="Heading1"/>
      </w:pPr>
      <w:r>
        <w:t>Competitor and Prime Contractor Monitoring</w:t>
      </w:r>
    </w:p>
    <w:p>
      <w:r>
        <w:t>The Listening Post should also monitor JLR's direct competitors and larger engineering or construction firms that commonly serve as prime contractors. Their public activity can provide important intelligence even when the original signal does not come directly from a target agency.</w:t>
      </w:r>
    </w:p>
    <w:p>
      <w:r>
        <w:t>Relevant signals include project and contract awards, shortlist selections, new on-call or master-service assignments, major task orders, grant- or bond-funded programs, teaming or partnership announcements, office or staff expansion tied to Northern California work, and articles describing significant wins or new client relationships.</w:t>
      </w:r>
    </w:p>
    <w:p>
      <w:r>
        <w:rPr>
          <w:b/>
          <w:color w:val="5D7A37"/>
        </w:rPr>
        <w:t xml:space="preserve">This information can be used in several ways: </w:t>
      </w:r>
      <w:r>
        <w:t>to identify which agencies are actively awarding work, understand which firms are building incumbent relationships, spot project types and geographies attracting investment, recognize where JLR may face stronger competition, and identify potential teaming or subconsultant opportunities with larger primes.</w:t>
      </w:r>
    </w:p>
    <w:p>
      <w:r>
        <w:t>Competitor and prime-contractor monitoring also helps connect isolated news items to the broader opportunity picture. A public award to a large prime may reveal a project, funding source, agency priority, or future phase that should be added to JLR's opportunity intelligence even if JLR was not involved in the initial procurement.</w:t>
      </w:r>
    </w:p>
    <w:p>
      <w:pPr>
        <w:pStyle w:val="Heading1"/>
      </w:pPr>
      <w:r>
        <w:t>RFP / RFQ / SOQ Monitoring, Document Mining &amp; Access Limitations</w:t>
      </w:r>
    </w:p>
    <w:p>
      <w:r>
        <w:t xml:space="preserve">An important part of the JLR Listening Post will be monitoring agency procurement pages and other public sources where engineering opportunities are posted. </w:t>
      </w:r>
      <w:r>
        <w:rPr>
          <w:b/>
        </w:rPr>
        <w:t>The Listening Post should not stop when it finds the announcement.</w:t>
      </w:r>
      <w:r>
        <w:t xml:space="preserve"> When a solicitation document is available, the system should capture and mine the underlying RFP, RFQ, SOQ, attachments, addenda, and related procurement documents.</w:t>
      </w:r>
    </w:p>
    <w:tbl>
      <w:tblPr>
        <w:tblW w:type="auto" w:w="0"/>
        <w:tblLook w:firstColumn="1" w:firstRow="1" w:lastColumn="0" w:lastRow="0" w:noHBand="0" w:noVBand="1" w:val="04A0"/>
      </w:tblPr>
      <w:tblGrid>
        <w:gridCol w:w="9936"/>
      </w:tblGrid>
      <w:tr>
        <w:tc>
          <w:tcPr>
            <w:tcW w:type="dxa" w:w="9936"/>
            <w:shd w:fill="FFF4D6"/>
            <w:tcMar>
              <w:top w:w="120" w:type="dxa"/>
              <w:start w:w="140" w:type="dxa"/>
              <w:bottom w:w="120" w:type="dxa"/>
              <w:end w:w="140" w:type="dxa"/>
            </w:tcMar>
          </w:tcPr>
          <w:p>
            <w:r/>
            <w:r>
              <w:rPr>
                <w:b/>
                <w:color w:val="2A302C"/>
              </w:rPr>
              <w:t xml:space="preserve">Important access caveat: </w:t>
            </w:r>
            <w:r>
              <w:t xml:space="preserve">API access is not guaranteed. Many public procurement and bid portals require contractor/vendor registration, a login, or paid/proprietary platform access before solicitation data or documents can be retrieved. </w:t>
            </w:r>
            <w:r>
              <w:rPr>
                <w:b/>
              </w:rPr>
              <w:t xml:space="preserve">Where public pages are accessible, the Listening Post may monitor or scrape those pages for new postings. </w:t>
            </w:r>
            <w:r>
              <w:t>Where automated access is restricted, the source may need to be monitored through vendor alerts, manual review, or a separate procurement process and may not be directly available inside the Listening Post.</w:t>
            </w:r>
          </w:p>
        </w:tc>
      </w:tr>
    </w:tbl>
    <w:p>
      <w:r>
        <w:rPr>
          <w:b/>
          <w:color w:val="5D7A37"/>
        </w:rPr>
        <w:t xml:space="preserve">Coverage objective: </w:t>
      </w:r>
      <w:r>
        <w:t>capture and mine RFP/RFQ/SOQ information wherever the source permits it, while clearly identifying target agencies and procurement portals that require an alternate monitoring method. The Listening Post is intended to provide broad, practical coverage—not a guarantee that every procurement portal can be accessed automatically.</w:t>
      </w:r>
    </w:p>
    <w:p>
      <w:r>
        <w:t>For each solicitation, the Listening Post should attempt to identify:</w:t>
      </w:r>
    </w:p>
    <w:p>
      <w:pPr>
        <w:pStyle w:val="ListBullet"/>
        <w:spacing w:after="50"/>
        <w:ind w:left="288" w:hanging="173"/>
      </w:pPr>
      <w:r>
        <w:t>Agency and project name; solicitation number; project location.</w:t>
      </w:r>
    </w:p>
    <w:p>
      <w:pPr>
        <w:pStyle w:val="ListBullet"/>
        <w:spacing w:after="50"/>
        <w:ind w:left="288" w:hanging="173"/>
      </w:pPr>
      <w:r>
        <w:t>Scope of work and engineering disciplines requested.</w:t>
      </w:r>
    </w:p>
    <w:p>
      <w:pPr>
        <w:pStyle w:val="ListBullet"/>
        <w:spacing w:after="50"/>
        <w:ind w:left="288" w:hanging="173"/>
      </w:pPr>
      <w:r>
        <w:t>Estimated project value or budget, when provided, and funding source.</w:t>
      </w:r>
    </w:p>
    <w:p>
      <w:pPr>
        <w:pStyle w:val="ListBullet"/>
        <w:spacing w:after="50"/>
        <w:ind w:left="288" w:hanging="173"/>
      </w:pPr>
      <w:r>
        <w:t>Proposal/SOQ due date, pre-proposal meeting date, and questions deadline.</w:t>
      </w:r>
    </w:p>
    <w:p>
      <w:pPr>
        <w:pStyle w:val="ListBullet"/>
        <w:spacing w:after="50"/>
        <w:ind w:left="288" w:hanging="173"/>
      </w:pPr>
      <w:r>
        <w:t>Procurement contact and technical/project contact.</w:t>
      </w:r>
    </w:p>
    <w:p>
      <w:pPr>
        <w:pStyle w:val="ListBullet"/>
        <w:spacing w:after="50"/>
        <w:ind w:left="288" w:hanging="173"/>
      </w:pPr>
      <w:r>
        <w:t>Required qualifications, experience, licensing, certifications, and small-business requirements.</w:t>
      </w:r>
    </w:p>
    <w:p>
      <w:pPr>
        <w:pStyle w:val="ListBullet"/>
        <w:spacing w:after="50"/>
        <w:ind w:left="288" w:hanging="173"/>
      </w:pPr>
      <w:r>
        <w:t>Selection and evaluation criteria, including whether cost is part of the selection.</w:t>
      </w:r>
    </w:p>
    <w:p>
      <w:pPr>
        <w:pStyle w:val="ListBullet"/>
        <w:spacing w:after="50"/>
        <w:ind w:left="288" w:hanging="173"/>
      </w:pPr>
      <w:r>
        <w:t>On-call, MSA, task-order, or project-specific structure; contract term and renewal options.</w:t>
      </w:r>
    </w:p>
    <w:p>
      <w:pPr>
        <w:pStyle w:val="ListBullet"/>
        <w:spacing w:after="50"/>
        <w:ind w:left="288" w:hanging="173"/>
      </w:pPr>
      <w:r>
        <w:t>Subconsultant requirements or opportunities and incumbent consultant, when identifiable.</w:t>
      </w:r>
    </w:p>
    <w:p>
      <w:pPr>
        <w:pStyle w:val="ListBullet"/>
        <w:spacing w:after="50"/>
        <w:ind w:left="288" w:hanging="173"/>
      </w:pPr>
      <w:r>
        <w:t>Links to the original solicitation, attachments, addenda, Q&amp;A, shortlist, award recommendation, and contract approval.</w:t>
      </w:r>
    </w:p>
    <w:p>
      <w:r>
        <w:t xml:space="preserve">A webpage stating that an RFP has been released tells us an opportunity exists. </w:t>
      </w:r>
      <w:r>
        <w:rPr>
          <w:b/>
          <w:color w:val="5D7A37"/>
        </w:rPr>
        <w:t>The RFP itself tells us whether it is really an opportunity for JLR.</w:t>
      </w:r>
    </w:p>
    <w:p>
      <w:pPr>
        <w:pStyle w:val="Heading1"/>
      </w:pPr>
      <w:r>
        <w:t>Sources Requiring Manual Monitoring</w:t>
      </w:r>
    </w:p>
    <w:p>
      <w:r>
        <w:t xml:space="preserve">Not every source relevant to Question 3 can be watched automatically. </w:t>
      </w:r>
      <w:r>
        <w:rPr>
          <w:b/>
        </w:rPr>
        <w:t>Two categories of sources sit outside the Listening Post's automated reach</w:t>
      </w:r>
      <w:r>
        <w:t xml:space="preserve"> and should be checked by hand on a standing basis until a better automated option becomes available.</w:t>
      </w:r>
    </w:p>
    <w:p>
      <w:pPr>
        <w:pStyle w:val="Heading2"/>
      </w:pPr>
      <w:r>
        <w:t>General Sources — State, Federal &amp; Industry</w:t>
      </w:r>
    </w:p>
    <w:p>
      <w:r>
        <w:t>These 23 sources have no working public RSS or search-wrapper feed — most sit behind vendor registration, a login, or a proprietary platform, and one common search-engine workaround that used to stand in for a feed was found to return unrelated filler content rather than real results. They are grouped below by what they cover, with a suggested search focus for the periodic manual check.</w:t>
      </w:r>
    </w:p>
    <w:p>
      <w:pPr>
        <w:pStyle w:val="Heading3"/>
      </w:pPr>
      <w:r>
        <w:t>State &amp; Federal Funding / Regulatory Agencies</w:t>
      </w:r>
    </w:p>
    <w:p>
      <w:pPr>
        <w:pStyle w:val="ListBullet"/>
        <w:spacing w:after="50"/>
        <w:ind w:left="288" w:hanging="173"/>
      </w:pPr>
      <w:r>
        <w:rPr>
          <w:b/>
        </w:rPr>
        <w:t xml:space="preserve">CA State Water Resources Control Board</w:t>
      </w:r>
      <w:r>
        <w:t xml:space="preserve"> (waterboards.ca.gov) — funding/award press releases, DWSRF and CWSRF fundable lists, Division of Financial Assistance activity, and the Central Valley, San Francisco Bay, and Lahontan Regional Water Quality Control Boards for permitting/compliance/enforcement actions.</w:t>
      </w:r>
    </w:p>
    <w:p>
      <w:pPr>
        <w:pStyle w:val="ListBullet"/>
        <w:spacing w:after="50"/>
        <w:ind w:left="288" w:hanging="173"/>
      </w:pPr>
      <w:r>
        <w:rPr>
          <w:b/>
        </w:rPr>
        <w:t xml:space="preserve">California DWR</w:t>
      </w:r>
      <w:r>
        <w:t xml:space="preserve"> (water.ca.gov) — grants &amp; loans and Proposition 4 water-funding solicitations.</w:t>
      </w:r>
    </w:p>
    <w:p>
      <w:pPr>
        <w:pStyle w:val="ListBullet"/>
        <w:spacing w:after="50"/>
        <w:ind w:left="288" w:hanging="173"/>
      </w:pPr>
      <w:r>
        <w:rPr>
          <w:b/>
        </w:rPr>
        <w:t xml:space="preserve">California Grants Portal</w:t>
      </w:r>
      <w:r>
        <w:t xml:space="preserve"> (grants.ca.gov) — Environment &amp; Water category.</w:t>
      </w:r>
    </w:p>
    <w:p>
      <w:pPr>
        <w:pStyle w:val="ListBullet"/>
        <w:spacing w:after="50"/>
        <w:ind w:left="288" w:hanging="173"/>
      </w:pPr>
      <w:r>
        <w:rPr>
          <w:b/>
        </w:rPr>
        <w:t xml:space="preserve">US EPA</w:t>
      </w:r>
      <w:r>
        <w:t xml:space="preserve"> (epa.gov) — WIFIA California awards and Region 9 drinking-water/wastewater activity.</w:t>
      </w:r>
    </w:p>
    <w:p>
      <w:pPr>
        <w:pStyle w:val="ListBullet"/>
        <w:spacing w:after="50"/>
        <w:ind w:left="288" w:hanging="173"/>
      </w:pPr>
      <w:r>
        <w:rPr>
          <w:b/>
        </w:rPr>
        <w:t xml:space="preserve">Bureau of Reclamation</w:t>
      </w:r>
      <w:r>
        <w:t xml:space="preserve"> (usbr.gov) — California WaterSMART funding and water-project contracts.</w:t>
      </w:r>
    </w:p>
    <w:p>
      <w:pPr>
        <w:pStyle w:val="ListBullet"/>
        <w:spacing w:after="50"/>
        <w:ind w:left="288" w:hanging="173"/>
      </w:pPr>
      <w:r>
        <w:rPr>
          <w:b/>
        </w:rPr>
        <w:t xml:space="preserve">USDA Rural Development</w:t>
      </w:r>
      <w:r>
        <w:t xml:space="preserve"> (rd.usda.gov) — California water-and-waste grant/loan awards.</w:t>
      </w:r>
    </w:p>
    <w:p>
      <w:pPr>
        <w:pStyle w:val="ListBullet"/>
        <w:spacing w:after="50"/>
        <w:ind w:left="288" w:hanging="173"/>
      </w:pPr>
      <w:r>
        <w:rPr>
          <w:b/>
        </w:rPr>
        <w:t xml:space="preserve">California Infrastructure Bank (IBank)</w:t>
      </w:r>
      <w:r>
        <w:t xml:space="preserve"> (ibank.ca.gov) — water/wastewater infrastructure financing.</w:t>
      </w:r>
    </w:p>
    <w:p>
      <w:pPr>
        <w:pStyle w:val="ListBullet"/>
        <w:spacing w:after="50"/>
        <w:ind w:left="288" w:hanging="173"/>
      </w:pPr>
      <w:r>
        <w:rPr>
          <w:b/>
        </w:rPr>
        <w:t xml:space="preserve">USACE Sacramento District</w:t>
      </w:r>
      <w:r>
        <w:t xml:space="preserve"> (usace.army.mil) — Sacramento-area water, flood and infrastructure contracts.</w:t>
      </w:r>
    </w:p>
    <w:p>
      <w:pPr>
        <w:pStyle w:val="Heading3"/>
      </w:pPr>
      <w:r>
        <w:t>Procurement Platforms</w:t>
      </w:r>
    </w:p>
    <w:p>
      <w:r>
        <w:t xml:space="preserve">OpenGov, PlanetBids, Public Purchase, and BidNet do not offer public RSS or unauthenticated feeds — this is a platform limitation shared across the industry, not something specific to JLR's setup. Where a specific agency's portal instance is known (see the existing-client table below), the Listening Post targets that instance directly rather than relying on a generic statewide search.</w:t>
      </w:r>
    </w:p>
    <w:p>
      <w:pPr>
        <w:pStyle w:val="Heading3"/>
      </w:pPr>
      <w:r>
        <w:t>Industry &amp; Trade Press</w:t>
      </w:r>
    </w:p>
    <w:p>
      <w:pPr>
        <w:pStyle w:val="ListBullet"/>
        <w:spacing w:after="50"/>
        <w:ind w:left="288" w:hanging="173"/>
      </w:pPr>
      <w:r>
        <w:t>WaterWorld (waterworld.com) — California project, funding, and treatment coverage.</w:t>
      </w:r>
    </w:p>
    <w:p>
      <w:pPr>
        <w:pStyle w:val="ListBullet"/>
        <w:spacing w:after="50"/>
        <w:ind w:left="288" w:hanging="173"/>
      </w:pPr>
      <w:r>
        <w:t>Water Education Foundation / Western Water (watereducation.org) — California water-infrastructure and funding coverage.</w:t>
      </w:r>
    </w:p>
    <w:p>
      <w:pPr>
        <w:pStyle w:val="ListBullet"/>
        <w:spacing w:after="50"/>
        <w:ind w:left="288" w:hanging="173"/>
      </w:pPr>
      <w:r>
        <w:t>California Special Districts Association (csda.net) — water/sewer district funding, projects, and legislation.</w:t>
      </w:r>
    </w:p>
    <w:p>
      <w:pPr>
        <w:pStyle w:val="Heading2"/>
      </w:pPr>
      <w:r>
        <w:t>Existing-Client Bid &amp; Procurement Pages</w:t>
      </w:r>
    </w:p>
    <w:p>
      <w:r>
        <w:t>The following JLR existing clients also have no public RSS on their own bid pages or procurement-portal instances. FeedMe Pro's search-based feeds remain the automated backstop for these accounts; the direct pages below support a standing weekly manual check.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DE8CF"/>
            <w:vAlign w:val="center"/>
            <w:tcMar>
              <w:top w:w="80" w:type="dxa"/>
              <w:start w:w="90" w:type="dxa"/>
              <w:bottom w:w="80" w:type="dxa"/>
              <w:end w:w="90" w:type="dxa"/>
            </w:tcMar>
          </w:tcPr>
          <w:p>
            <w:r>
              <w:rPr>
                <w:b/>
                <w:color w:val="2A302C"/>
              </w:rPr>
              <w:t>Agency</w:t>
            </w:r>
          </w:p>
        </w:tc>
        <w:tc>
          <w:tcPr>
            <w:tcW w:type="dxa" w:w="3312"/>
            <w:shd w:fill="DDE8CF"/>
            <w:vAlign w:val="center"/>
            <w:tcMar>
              <w:top w:w="80" w:type="dxa"/>
              <w:start w:w="90" w:type="dxa"/>
              <w:bottom w:w="80" w:type="dxa"/>
              <w:end w:w="90" w:type="dxa"/>
            </w:tcMar>
          </w:tcPr>
          <w:p>
            <w:r>
              <w:rPr>
                <w:b/>
                <w:color w:val="2A302C"/>
              </w:rPr>
              <w:t>Direct Bid/RFP Page(s)</w:t>
            </w:r>
          </w:p>
        </w:tc>
        <w:tc>
          <w:tcPr>
            <w:tcW w:type="dxa" w:w="3312"/>
            <w:shd w:fill="DDE8CF"/>
            <w:vAlign w:val="center"/>
            <w:tcMar>
              <w:top w:w="80" w:type="dxa"/>
              <w:start w:w="90" w:type="dxa"/>
              <w:bottom w:w="80" w:type="dxa"/>
              <w:end w:w="90" w:type="dxa"/>
            </w:tcMar>
          </w:tcPr>
          <w:p>
            <w:r>
              <w:rPr>
                <w:b/>
                <w:color w:val="2A302C"/>
              </w:rPr>
              <w:t>Procurement Portal</w:t>
            </w:r>
          </w:p>
        </w:tc>
      </w:tr>
      <w:tr>
        <w:tc>
          <w:tcPr>
            <w:tcW w:type="dxa" w:w="3312"/>
          </w:tcPr>
          <w:p>
            <w:r>
              <w:rPr>
                <w:b/>
              </w:rPr>
              <w:t xml:space="preserve">City of West Sacramento</w:t>
            </w:r>
          </w:p>
        </w:tc>
        <w:tc>
          <w:tcPr>
            <w:tcW w:type="dxa" w:w="3312"/>
          </w:tcPr>
          <w:p>
            <w:r>
              <w:rPr/>
              <w:t xml:space="preserve">cityofwestsacramento.org/business/invitation-to-bid</w:t>
            </w:r>
          </w:p>
        </w:tc>
        <w:tc>
          <w:tcPr>
            <w:tcW w:type="dxa" w:w="3312"/>
          </w:tcPr>
          <w:p>
            <w:r>
              <w:rPr/>
              <w:t xml:space="preserve">OpenGov: procurement.opengov.com/portal/cityofwestsacramento</w:t>
            </w:r>
          </w:p>
        </w:tc>
      </w:tr>
      <w:tr>
        <w:tc>
          <w:tcPr>
            <w:tcW w:type="dxa" w:w="3312"/>
          </w:tcPr>
          <w:p>
            <w:r>
              <w:rPr>
                <w:b/>
              </w:rPr>
              <w:t xml:space="preserve">City of Sacramento</w:t>
            </w:r>
          </w:p>
        </w:tc>
        <w:tc>
          <w:tcPr>
            <w:tcW w:type="dxa" w:w="3312"/>
          </w:tcPr>
          <w:p>
            <w:r>
              <w:rPr/>
              <w:t xml:space="preserve">cityofsacramento.gov/finance/procurement/bid-opportunities</w:t>
            </w:r>
          </w:p>
        </w:tc>
        <w:tc>
          <w:tcPr>
            <w:tcW w:type="dxa" w:w="3312"/>
          </w:tcPr>
          <w:p>
            <w:r>
              <w:rPr/>
              <w:t xml:space="preserve">—</w:t>
            </w:r>
          </w:p>
        </w:tc>
      </w:tr>
      <w:tr>
        <w:tc>
          <w:tcPr>
            <w:tcW w:type="dxa" w:w="3312"/>
          </w:tcPr>
          <w:p>
            <w:r>
              <w:rPr>
                <w:b/>
              </w:rPr>
              <w:t xml:space="preserve">City of Roseville</w:t>
            </w:r>
          </w:p>
        </w:tc>
        <w:tc>
          <w:tcPr>
            <w:tcW w:type="dxa" w:w="3312"/>
          </w:tcPr>
          <w:p>
            <w:r>
              <w:rPr/>
              <w:t xml:space="preserve">roseville.ca.us/business/procurement_services/bids_rfps</w:t>
            </w:r>
          </w:p>
        </w:tc>
        <w:tc>
          <w:tcPr>
            <w:tcW w:type="dxa" w:w="3312"/>
          </w:tcPr>
          <w:p>
            <w:r>
              <w:rPr/>
              <w:t xml:space="preserve">Public Purchase: publicpurchase.com/gems/roseville,ca</w:t>
            </w:r>
          </w:p>
        </w:tc>
      </w:tr>
      <w:tr>
        <w:tc>
          <w:tcPr>
            <w:tcW w:type="dxa" w:w="3312"/>
          </w:tcPr>
          <w:p>
            <w:r>
              <w:rPr>
                <w:b/>
              </w:rPr>
              <w:t xml:space="preserve">City of Lincoln</w:t>
            </w:r>
          </w:p>
        </w:tc>
        <w:tc>
          <w:tcPr>
            <w:tcW w:type="dxa" w:w="3312"/>
          </w:tcPr>
          <w:p>
            <w:r>
              <w:rPr/>
              <w:t xml:space="preserve">lincolnca.gov/business-and-development/bids-and-rfps/</w:t>
            </w:r>
          </w:p>
        </w:tc>
        <w:tc>
          <w:tcPr>
            <w:tcW w:type="dxa" w:w="3312"/>
          </w:tcPr>
          <w:p>
            <w:r>
              <w:rPr/>
              <w:t xml:space="preserve">—</w:t>
            </w:r>
          </w:p>
        </w:tc>
      </w:tr>
      <w:tr>
        <w:tc>
          <w:tcPr>
            <w:tcW w:type="dxa" w:w="3312"/>
          </w:tcPr>
          <w:p>
            <w:r>
              <w:rPr>
                <w:b/>
              </w:rPr>
              <w:t xml:space="preserve">Olivehurst Public Utility District</w:t>
            </w:r>
          </w:p>
        </w:tc>
        <w:tc>
          <w:tcPr>
            <w:tcW w:type="dxa" w:w="3312"/>
          </w:tcPr>
          <w:p>
            <w:r>
              <w:rPr/>
              <w:t xml:space="preserve">opud.org/public-notices · opud.org/notices</w:t>
            </w:r>
          </w:p>
        </w:tc>
        <w:tc>
          <w:tcPr>
            <w:tcW w:type="dxa" w:w="3312"/>
          </w:tcPr>
          <w:p>
            <w:r>
              <w:rPr/>
              <w:t xml:space="preserve">Public Purchase: publicpurchase.com/gems/olivehurstpud,ca</w:t>
            </w:r>
          </w:p>
        </w:tc>
      </w:tr>
      <w:tr>
        <w:tc>
          <w:tcPr>
            <w:tcW w:type="dxa" w:w="3312"/>
          </w:tcPr>
          <w:p>
            <w:r>
              <w:rPr>
                <w:b/>
              </w:rPr>
              <w:t xml:space="preserve">South Tahoe Public Utility District</w:t>
            </w:r>
          </w:p>
        </w:tc>
        <w:tc>
          <w:tcPr>
            <w:tcW w:type="dxa" w:w="3312"/>
          </w:tcPr>
          <w:p>
            <w:r>
              <w:rPr/>
              <w:t xml:space="preserve">stpud.us/current-bids · stpud.us/request-for-proposals</w:t>
            </w:r>
          </w:p>
        </w:tc>
        <w:tc>
          <w:tcPr>
            <w:tcW w:type="dxa" w:w="3312"/>
          </w:tcPr>
          <w:p>
            <w:r>
              <w:rPr/>
              <w:t xml:space="preserve">Public Purchase: publicpurchase.com/gems/stahoepublicutility,ca</w:t>
            </w:r>
          </w:p>
        </w:tc>
      </w:tr>
      <w:tr>
        <w:tc>
          <w:tcPr>
            <w:tcW w:type="dxa" w:w="3312"/>
          </w:tcPr>
          <w:p>
            <w:r>
              <w:rPr>
                <w:b/>
              </w:rPr>
              <w:t xml:space="preserve">Sacramento Suburban Water District</w:t>
            </w:r>
          </w:p>
        </w:tc>
        <w:tc>
          <w:tcPr>
            <w:tcW w:type="dxa" w:w="3312"/>
          </w:tcPr>
          <w:p>
            <w:r>
              <w:rPr/>
              <w:t xml:space="preserve">sswd.org/departments/engineering/capital-improvement-program/current-projects</w:t>
            </w:r>
          </w:p>
        </w:tc>
        <w:tc>
          <w:tcPr>
            <w:tcW w:type="dxa" w:w="3312"/>
          </w:tcPr>
          <w:p>
            <w:r>
              <w:rPr/>
              <w:t xml:space="preserve">—</w:t>
            </w:r>
          </w:p>
        </w:tc>
      </w:tr>
      <w:tr>
        <w:tc>
          <w:tcPr>
            <w:tcW w:type="dxa" w:w="3312"/>
          </w:tcPr>
          <w:p>
            <w:r>
              <w:rPr>
                <w:b/>
              </w:rPr>
              <w:t xml:space="preserve">San Juan Water District</w:t>
            </w:r>
          </w:p>
        </w:tc>
        <w:tc>
          <w:tcPr>
            <w:tcW w:type="dxa" w:w="3312"/>
          </w:tcPr>
          <w:p>
            <w:r>
              <w:rPr/>
              <w:t xml:space="preserve">sjwd.org/current-rfps-and-bids</w:t>
            </w:r>
          </w:p>
        </w:tc>
        <w:tc>
          <w:tcPr>
            <w:tcW w:type="dxa" w:w="3312"/>
          </w:tcPr>
          <w:p>
            <w:r>
              <w:rPr/>
              <w:t xml:space="preserve">Public Purchase: publicpurchase.com/gems/sjwd,ca</w:t>
            </w:r>
          </w:p>
        </w:tc>
      </w:tr>
      <w:tr>
        <w:tc>
          <w:tcPr>
            <w:tcW w:type="dxa" w:w="3312"/>
          </w:tcPr>
          <w:p>
            <w:r>
              <w:rPr>
                <w:b/>
              </w:rPr>
              <w:t xml:space="preserve">El Dorado Irrigation District</w:t>
            </w:r>
          </w:p>
        </w:tc>
        <w:tc>
          <w:tcPr>
            <w:tcW w:type="dxa" w:w="3312"/>
          </w:tcPr>
          <w:p>
            <w:r>
              <w:rPr/>
              <w:t xml:space="preserve">eid.org/about-us/advanced-components/rfp-postings · eid.org/doing-business-with-eid/procurement-and-contracts</w:t>
            </w:r>
          </w:p>
        </w:tc>
        <w:tc>
          <w:tcPr>
            <w:tcW w:type="dxa" w:w="3312"/>
          </w:tcPr>
          <w:p>
            <w:r>
              <w:rPr/>
              <w:t xml:space="preserve">—</w:t>
            </w:r>
          </w:p>
        </w:tc>
      </w:tr>
      <w:tr>
        <w:tc>
          <w:tcPr>
            <w:tcW w:type="dxa" w:w="3312"/>
          </w:tcPr>
          <w:p>
            <w:r>
              <w:rPr>
                <w:b/>
              </w:rPr>
              <w:t xml:space="preserve">Placer County Water Agency</w:t>
            </w:r>
          </w:p>
        </w:tc>
        <w:tc>
          <w:tcPr>
            <w:tcW w:type="dxa" w:w="3312"/>
          </w:tcPr>
          <w:p>
            <w:r>
              <w:rPr/>
              <w:t xml:space="preserve">pcwa.net/business/goods-and-services · pcwa.net/business/construction-bids</w:t>
            </w:r>
          </w:p>
        </w:tc>
        <w:tc>
          <w:tcPr>
            <w:tcW w:type="dxa" w:w="3312"/>
          </w:tcPr>
          <w:p>
            <w:r>
              <w:rPr/>
              <w:t xml:space="preserve">Public Purchase: publicpurchase.com/gems/pcwa,ca</w:t>
            </w:r>
          </w:p>
        </w:tc>
      </w:tr>
    </w:tbl>
    <w:p>
      <w:r>
        <w:t>Knights Landing Community Services District, Meridian Farms Water Company, and Sutter Mutual Water Company are very small organizations with no dedicated procurement page found; Knights Landing is occasionally covered by Yolo County's advertised-bids page, and Meridian Farms fish-screen project activity sometimes surfaces via the Northern California Water Association (norcalwater.org).</w:t>
      </w:r>
    </w:p>
    <w:p>
      <w:pPr>
        <w:pStyle w:val="Heading1"/>
      </w:pPr>
      <w:r>
        <w:t>FeedMe Pro — Current Status</w:t>
      </w:r>
    </w:p>
    <w:p>
      <w:r>
        <w:t xml:space="preserve">FeedMe Pro is JLR's Listening Post application — the tool that puts the ideas above into daily practice for Question 3. It runs continuously against a set of monitored feeds, and every article that comes in is scored against JLR's specific ideal-customer and Signal-of-Change profile before anyone has to read it. </w:t>
      </w:r>
      <w:r>
        <w:rPr>
          <w:b/>
        </w:rPr>
        <w:t>This deployment is JLR's own — its feed list, geography, scoring model, and AI configuration are independent of any other client's FeedMe instance.</w:t>
      </w:r>
    </w:p>
    <w:p>
      <w:pPr>
        <w:pStyle w:val="Heading2"/>
      </w:pPr>
      <w:r>
        <w:t>What FeedMe Pro Monitors Today</w:t>
      </w:r>
    </w:p>
    <w:p>
      <w:r>
        <w:t>The current Listening Post runs 152 monitored feeds, organized into the same categories used to build the target and market picture in Questions 1 and 2:</w:t>
      </w:r>
    </w:p>
    <w:p>
      <w:pPr>
        <w:pStyle w:val="ListBullet"/>
        <w:spacing w:after="50"/>
        <w:ind w:left="288" w:hanging="173"/>
      </w:pPr>
      <w:r>
        <w:t>Official government/regulatory sources and funding/financial commitment signals (grants, SRF/CWSRF/WIFIA/SAFER, bond and rate activity).</w:t>
      </w:r>
    </w:p>
    <w:p>
      <w:pPr>
        <w:pStyle w:val="ListBullet"/>
        <w:spacing w:after="50"/>
        <w:ind w:left="288" w:hanging="173"/>
      </w:pPr>
      <w:r>
        <w:t>RFP/RFQ/SOQ and procurement signals, on-call and MSA activity, and contract expiration/re-solicitation watch.</w:t>
      </w:r>
    </w:p>
    <w:p>
      <w:pPr>
        <w:pStyle w:val="ListBullet"/>
        <w:spacing w:after="50"/>
        <w:ind w:left="288" w:hanging="173"/>
      </w:pPr>
      <w:r>
        <w:t>Every existing JLR client, individually, for share-of-wallet growth signals.</w:t>
      </w:r>
    </w:p>
    <w:p>
      <w:pPr>
        <w:pStyle w:val="ListBullet"/>
        <w:spacing w:after="50"/>
        <w:ind w:left="288" w:hanging="173"/>
      </w:pPr>
      <w:r>
        <w:t>Every Priority A, B, and C target organization from Question 2, individually.</w:t>
      </w:r>
    </w:p>
    <w:p>
      <w:pPr>
        <w:pStyle w:val="ListBullet"/>
        <w:spacing w:after="50"/>
        <w:ind w:left="288" w:hanging="173"/>
      </w:pPr>
      <w:r>
        <w:t>Competitor engineering firms and large design-build prime contractors, for wins, on-call awards, and teaming activity.</w:t>
      </w:r>
    </w:p>
    <w:p>
      <w:pPr>
        <w:pStyle w:val="ListBullet"/>
        <w:spacing w:after="50"/>
        <w:ind w:left="288" w:hanging="173"/>
      </w:pPr>
      <w:r>
        <w:t>JLR's own partner and contractor ecosystem, for teaming and project-intelligence signals.</w:t>
      </w:r>
    </w:p>
    <w:p>
      <w:pPr>
        <w:pStyle w:val="ListBullet"/>
        <w:spacing w:after="50"/>
        <w:ind w:left="288" w:hanging="173"/>
      </w:pPr>
      <w:r>
        <w:t>Project and facility signals (treatment plants, pump/lift stations, pipelines, reservoirs, wells, and related infrastructure), regulatory/compliance and problem signals (PFAS, lead service lines, SGMA, spills, main breaks), and leadership/organizational-change signals.</w:t>
      </w:r>
    </w:p>
    <w:p>
      <w:pPr>
        <w:pStyle w:val="ListBullet"/>
        <w:spacing w:after="50"/>
        <w:ind w:left="288" w:hanging="173"/>
      </w:pPr>
      <w:r>
        <w:t>Industry and trade press covering California water (Maven's Notebook, ENR California, ACWA, CWEA, Water Finance &amp; Management, Construction Dive).</w:t>
      </w:r>
    </w:p>
    <w:p>
      <w:pPr>
        <w:pStyle w:val="Heading2"/>
      </w:pPr>
      <w:r>
        <w:t>Filtering for Signal Quality</w:t>
      </w:r>
    </w:p>
    <w:p>
      <w:r>
        <w:t>Because JLR's target geography and organization profile are specific, FeedMe Pro screens articles before they ever reach the AI scoring step — this keeps the Listening Post focused and controls the cost of running every article through analysis. Active filters include:</w:t>
      </w:r>
    </w:p>
    <w:p>
      <w:pPr>
        <w:pStyle w:val="ListBullet"/>
        <w:spacing w:after="50"/>
        <w:ind w:left="288" w:hanging="173"/>
      </w:pPr>
      <w:r>
        <w:rPr>
          <w:b/>
        </w:rPr>
        <w:t xml:space="preserve">Northern California geography filter — </w:t>
      </w:r>
      <w:r>
        <w:t>excludes articles clearly tied to another state or an out-of-territory city, while protecting anything with a California/Sacramento/Northern California anchor.</w:t>
      </w:r>
    </w:p>
    <w:p>
      <w:pPr>
        <w:pStyle w:val="ListBullet"/>
        <w:spacing w:after="50"/>
        <w:ind w:left="288" w:hanging="173"/>
      </w:pPr>
      <w:r>
        <w:rPr>
          <w:b/>
        </w:rPr>
        <w:t xml:space="preserve">Sports-content filter — </w:t>
      </w:r>
      <w:r>
        <w:t>removes sports-page false matches on team and city names.</w:t>
      </w:r>
    </w:p>
    <w:p>
      <w:pPr>
        <w:pStyle w:val="ListBullet"/>
        <w:spacing w:after="50"/>
        <w:ind w:left="288" w:hanging="173"/>
      </w:pPr>
      <w:r>
        <w:rPr>
          <w:b/>
        </w:rPr>
        <w:t xml:space="preserve">Reference/junk-page filter — </w:t>
      </w:r>
      <w:r>
        <w:t>removes Wikipedia, dictionary-definition, and generic landing-page results that carry no real signal.</w:t>
      </w:r>
    </w:p>
    <w:p>
      <w:r>
        <w:t>Each filter has an on/off toggle and a one-time "sweep existing backlog" action, so previously-fetched articles can be re-screened without waiting for a new fetch cycle.</w:t>
      </w:r>
    </w:p>
    <w:p>
      <w:pPr>
        <w:pStyle w:val="Heading2"/>
      </w:pPr>
      <w:r>
        <w:t>How Articles Are Scored</w:t>
      </w:r>
    </w:p>
    <w:p>
      <w:r>
        <w:t>Every article that survives the filters above is scored 10–100 against JLR's ideal-opportunity profile — geographic and organizational fit, strength of the Signal of Change, JLR service fit, procurement timing, and actionability — and assigned a grade: A (Investigate Now), B (Meaningful Market Signal), C (Monitor), or Not Qualified/Background. A genuine Signal of Change or confirmed funding award is guaranteed a minimum score even before the full scoring model runs, so a real signal is never buried as background noise.</w:t>
      </w:r>
    </w:p>
    <w:tbl>
      <w:tblPr>
        <w:tblW w:type="auto" w:w="0"/>
        <w:tblLook w:firstColumn="1" w:firstRow="1" w:lastColumn="0" w:lastRow="0" w:noHBand="0" w:noVBand="1" w:val="04A0"/>
      </w:tblPr>
      <w:tblGrid>
        <w:gridCol w:w="9936"/>
      </w:tblGrid>
      <w:tr>
        <w:tc>
          <w:tcPr>
            <w:tcW w:type="dxa" w:w="9936"/>
            <w:shd w:fill="FFF4D6"/>
            <w:tcMar>
              <w:top w:w="120" w:type="dxa"/>
              <w:start w:w="140" w:type="dxa"/>
              <w:bottom w:w="120" w:type="dxa"/>
              <w:end w:w="140" w:type="dxa"/>
            </w:tcMar>
          </w:tcPr>
          <w:p>
            <w:r>
              <w:rPr>
                <w:b/>
                <w:color w:val="2A302C"/>
              </w:rPr>
              <w:t xml:space="preserve">Recent improvement: </w:t>
            </w:r>
            <w:r>
              <w:t>a review of persistent off-topic results (out-of-state tourism content, dictionary and encyclopedia pages) traced the problem to a search-engine mechanism that several feeds relied on, which was returning unrelated filler content instead of real search results rather than simply returning nothing. Every affected feed with a working alternative has been rebuilt on a more reliable underlying source; the small number that only worked by restricting a search engine to one specific government or procurement-portal domain, with no reliable alternative, were moved to the manual-monitoring list above rather than left silently broken.</w:t>
            </w:r>
          </w:p>
        </w:tc>
      </w:tr>
    </w:tbl>
    <w:p>
      <w:pPr>
        <w:pStyle w:val="Heading1"/>
        <w:pageBreakBefore w:val="0"/>
      </w:pPr>
      <w:r>
        <w:t>How We Will Use the Information</w:t>
      </w:r>
    </w:p>
    <w:p>
      <w:r>
        <w:t>The Listening Post will not simply create a stream of articles or announcements. Its purpose is to identify signals that warrant further investigation and convert them into usable opportunity intelligence.</w:t>
      </w:r>
    </w:p>
    <w:p>
      <w:pPr>
        <w:spacing w:after="80"/>
      </w:pPr>
      <w:r>
        <w:rPr>
          <w:b/>
          <w:color w:val="5D7A37"/>
        </w:rPr>
        <w:t xml:space="preserve">1. What changed? </w:t>
      </w:r>
      <w:r>
        <w:t>What event, project, funding decision, problem, organizational development, or procurement action occurred?</w:t>
      </w:r>
    </w:p>
    <w:p>
      <w:pPr>
        <w:spacing w:after="80"/>
      </w:pPr>
      <w:r>
        <w:rPr>
          <w:b/>
          <w:color w:val="5D7A37"/>
        </w:rPr>
        <w:t xml:space="preserve">2. Could it create a need for JLR's services? </w:t>
      </w:r>
      <w:r>
        <w:t>Does the change point toward work that fits JLR's capabilities?</w:t>
      </w:r>
    </w:p>
    <w:p>
      <w:pPr>
        <w:spacing w:after="80"/>
      </w:pPr>
      <w:r>
        <w:rPr>
          <w:b/>
          <w:color w:val="5D7A37"/>
        </w:rPr>
        <w:t xml:space="preserve">3. Who is involved? </w:t>
      </w:r>
      <w:r>
        <w:t>Which engineering, management, project, board, or procurement personnel are connected to the issue?</w:t>
      </w:r>
    </w:p>
    <w:p>
      <w:pPr>
        <w:spacing w:after="80"/>
      </w:pPr>
      <w:r>
        <w:rPr>
          <w:b/>
          <w:color w:val="5D7A37"/>
        </w:rPr>
        <w:t xml:space="preserve">4. Is there a realistic path to compete? </w:t>
      </w:r>
      <w:r>
        <w:t>Has engineering already been assigned, or will there be an upcoming RFQ, on-call opportunity, consultant-list opening, contract renewal, or other procurement path?</w:t>
      </w:r>
    </w:p>
    <w:p>
      <w:r>
        <w:rPr>
          <w:b/>
          <w:color w:val="5D7A37"/>
        </w:rPr>
        <w:t xml:space="preserve">Competitive context. </w:t>
      </w:r>
      <w:r>
        <w:t>Signals involving competitors and larger primes will be used to show where work is being won, which firms are becoming entrenched with target agencies, and where partnership, teaming, or follow-on opportunities may exist for JLR.</w:t>
      </w:r>
    </w:p>
    <w:p>
      <w:pPr>
        <w:pStyle w:val="Heading1"/>
      </w:pPr>
      <w:r>
        <w:t>How the Listening Post Fits the JLR Research Process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DE8CF"/>
            <w:vAlign w:val="center"/>
            <w:tcMar>
              <w:top w:w="80" w:type="dxa"/>
              <w:start w:w="90" w:type="dxa"/>
              <w:bottom w:w="80" w:type="dxa"/>
              <w:end w:w="90" w:type="dxa"/>
            </w:tcMar>
          </w:tcPr>
          <w:p>
            <w:r>
              <w:rPr>
                <w:b/>
                <w:color w:val="2A302C"/>
              </w:rPr>
              <w:t>Question</w:t>
            </w:r>
          </w:p>
        </w:tc>
        <w:tc>
          <w:tcPr>
            <w:tcW w:type="dxa" w:w="3312"/>
            <w:shd w:fill="DDE8CF"/>
            <w:vAlign w:val="center"/>
            <w:tcMar>
              <w:top w:w="80" w:type="dxa"/>
              <w:start w:w="90" w:type="dxa"/>
              <w:bottom w:w="80" w:type="dxa"/>
              <w:end w:w="90" w:type="dxa"/>
            </w:tcMar>
          </w:tcPr>
          <w:p>
            <w:r>
              <w:rPr>
                <w:b/>
                <w:color w:val="2A302C"/>
              </w:rPr>
              <w:t>Business Question</w:t>
            </w:r>
          </w:p>
        </w:tc>
        <w:tc>
          <w:tcPr>
            <w:tcW w:type="dxa" w:w="3312"/>
            <w:shd w:fill="DDE8CF"/>
            <w:vAlign w:val="center"/>
            <w:tcMar>
              <w:top w:w="80" w:type="dxa"/>
              <w:start w:w="90" w:type="dxa"/>
              <w:bottom w:w="80" w:type="dxa"/>
              <w:end w:w="90" w:type="dxa"/>
            </w:tcMar>
          </w:tcPr>
          <w:p>
            <w:r>
              <w:rPr>
                <w:b/>
                <w:color w:val="2A302C"/>
              </w:rPr>
              <w:t>Role in the Process</w:t>
            </w:r>
          </w:p>
        </w:tc>
      </w:tr>
      <w:tr>
        <w:tc>
          <w:tcPr>
            <w:tcW w:type="dxa" w:w="3312"/>
          </w:tcPr>
          <w:p>
            <w:r>
              <w:rPr>
                <w:b/>
                <w:color w:val="5D7A37"/>
              </w:rPr>
              <w:t>Q1</w:t>
            </w:r>
          </w:p>
        </w:tc>
        <w:tc>
          <w:tcPr>
            <w:tcW w:type="dxa" w:w="3312"/>
          </w:tcPr>
          <w:p>
            <w:r>
              <w:t>Where is the opportunity?</w:t>
            </w:r>
          </w:p>
        </w:tc>
        <w:tc>
          <w:tcPr>
            <w:tcW w:type="dxa" w:w="3312"/>
          </w:tcPr>
          <w:p>
            <w:r>
              <w:t>Identifies the market demand, funding, regulatory drivers, project types, and emerging sources of work.</w:t>
            </w:r>
          </w:p>
        </w:tc>
      </w:tr>
      <w:tr>
        <w:tc>
          <w:tcPr>
            <w:tcW w:type="dxa" w:w="3312"/>
          </w:tcPr>
          <w:p>
            <w:r>
              <w:rPr>
                <w:b/>
                <w:color w:val="5D7A37"/>
              </w:rPr>
              <w:t>Q2</w:t>
            </w:r>
          </w:p>
        </w:tc>
        <w:tc>
          <w:tcPr>
            <w:tcW w:type="dxa" w:w="3312"/>
          </w:tcPr>
          <w:p>
            <w:r>
              <w:t>Who should we pursue?</w:t>
            </w:r>
          </w:p>
        </w:tc>
        <w:tc>
          <w:tcPr>
            <w:tcW w:type="dxa" w:w="3312"/>
          </w:tcPr>
          <w:p>
            <w:r>
              <w:t>Defines the target organizations.</w:t>
            </w:r>
          </w:p>
        </w:tc>
      </w:tr>
      <w:tr>
        <w:tc>
          <w:tcPr>
            <w:tcW w:type="dxa" w:w="3312"/>
          </w:tcPr>
          <w:p>
            <w:r>
              <w:rPr>
                <w:b/>
                <w:color w:val="5D7A37"/>
              </w:rPr>
              <w:t>Q3</w:t>
            </w:r>
          </w:p>
        </w:tc>
        <w:tc>
          <w:tcPr>
            <w:tcW w:type="dxa" w:w="3312"/>
          </w:tcPr>
          <w:p>
            <w:r>
              <w:t>What is happening there now?</w:t>
            </w:r>
          </w:p>
        </w:tc>
        <w:tc>
          <w:tcPr>
            <w:tcW w:type="dxa" w:w="3312"/>
          </w:tcPr>
          <w:p>
            <w:r>
              <w:t>Identifies meaningful change and emerging opportunities.</w:t>
            </w:r>
          </w:p>
        </w:tc>
      </w:tr>
      <w:tr>
        <w:tc>
          <w:tcPr>
            <w:tcW w:type="dxa" w:w="3312"/>
          </w:tcPr>
          <w:p>
            <w:r>
              <w:rPr>
                <w:b/>
                <w:color w:val="5D7A37"/>
              </w:rPr>
              <w:t>Q4</w:t>
            </w:r>
          </w:p>
        </w:tc>
        <w:tc>
          <w:tcPr>
            <w:tcW w:type="dxa" w:w="3312"/>
          </w:tcPr>
          <w:p>
            <w:r>
              <w:t>Who do we need to know?</w:t>
            </w:r>
          </w:p>
        </w:tc>
        <w:tc>
          <w:tcPr>
            <w:tcW w:type="dxa" w:w="3312"/>
          </w:tcPr>
          <w:p>
            <w:r>
              <w:t>Identifies the people connected to the opportunity.</w:t>
            </w:r>
          </w:p>
        </w:tc>
      </w:tr>
      <w:tr>
        <w:tc>
          <w:tcPr>
            <w:tcW w:type="dxa" w:w="3312"/>
          </w:tcPr>
          <w:p>
            <w:r>
              <w:rPr>
                <w:b/>
                <w:color w:val="5D7A37"/>
              </w:rPr>
              <w:t>Q5</w:t>
            </w:r>
          </w:p>
        </w:tc>
        <w:tc>
          <w:tcPr>
            <w:tcW w:type="dxa" w:w="3312"/>
          </w:tcPr>
          <w:p>
            <w:r>
              <w:t>How and when can we compete for the work?</w:t>
            </w:r>
          </w:p>
        </w:tc>
        <w:tc>
          <w:tcPr>
            <w:tcW w:type="dxa" w:w="3312"/>
          </w:tcPr>
          <w:p>
            <w:r>
              <w:t>Determines procurement path, requirements, and timing.</w:t>
            </w:r>
          </w:p>
        </w:tc>
      </w:tr>
    </w:tbl>
    <w:p/>
    <w:p>
      <w:pPr>
        <w:pStyle w:val="Heading1"/>
      </w:pPr>
      <w:r>
        <w:t>The Result</w:t>
      </w:r>
    </w:p>
    <w:p>
      <w:r>
        <w:t xml:space="preserve">The strongest opportunities will be those where several factors begin to align: </w:t>
      </w:r>
      <w:r>
        <w:rPr>
          <w:b/>
        </w:rPr>
        <w:t>a favorable market or funding driver, a target organization, a visible signal of change, a need matching JLR's capabilities, identifiable decision-makers, and an accessible procurement path.</w:t>
      </w:r>
    </w:p>
    <w:p>
      <w:r>
        <w:t>The Listening Post will function as a practical early-warning system for JLR — helping the firm identify where change is occurring, investigate the opportunity while the sales window is open, and focus business-development resources where the probability of meaningful work is highest.</w:t>
      </w:r>
    </w:p>
    <w:p>
      <w:pPr>
        <w:spacing w:before="280" w:after="0"/>
      </w:pPr>
      <w:r>
        <w:rPr>
          <w:i/>
          <w:color w:val="5F6460"/>
          <w:sz w:val="16"/>
        </w:rPr>
        <w:t>Basis: National Center for Economic Gardening Signals of Change and Intercept Marketing framework; JLR Economic Gardening discovery and controlling-document research.</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460"/>
        <w:sz w:val="16"/>
      </w:rPr>
      <w:t>Signals of Change / Listening Post Overview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6460"/>
        <w:sz w:val="16"/>
      </w:rPr>
      <w:t>JLR ENVIRONMENTAL CONSULTING  |  ECONOMIC GARDENING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5D7A37"/>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5D7A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LRTitle">
    <w:name w:val="JLR Title"/>
    <w:pPr>
      <w:spacing w:after="40"/>
    </w:pPr>
    <w:rPr>
      <w:rFonts w:ascii="Aptos Display" w:hAnsi="Aptos Display"/>
      <w:b/>
      <w:color w:val="2A302C"/>
      <w:sz w:val="46"/>
    </w:rPr>
  </w:style>
  <w:style w:type="paragraph" w:customStyle="1" w:styleId="JLRSubtitle">
    <w:name w:val="JLR Subtitle"/>
    <w:pPr>
      <w:spacing w:after="200"/>
    </w:pPr>
    <w:rPr>
      <w:rFonts w:ascii="Aptos" w:hAnsi="Aptos"/>
      <w:color w:val="5D7A37"/>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