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Удалённая работа играет важную роль в современном мире. </w:t>
      </w:r>
      <w:r>
        <w:footnoteReference w:id="2"/>
      </w:r>
      <w:r>
        <w:t xml:space="preserve"> Многие компании переходят на гибкий график.</w:t>
      </w:r>
    </w:p>
    <w:p>
      <w:r>
        <w:t xml:space="preserve">Это позволяет сотрудникам лучше совмещать работу и личную жизнь.</w:t>
      </w:r>
    </w:p>
    <w:p>
      <w:r>
        <w:t xml:space="preserve">В итоге растёт эффективность труда и качество жизни.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Исследование 2024 года.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