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AE93" w14:textId="05017070" w:rsidR="004A78D0" w:rsidRPr="00C81977" w:rsidRDefault="00345D0B">
      <w:pPr>
        <w:rPr>
          <w:b/>
          <w:bCs/>
          <w:u w:val="single"/>
        </w:rPr>
      </w:pPr>
      <w:r w:rsidRPr="00C81977">
        <w:rPr>
          <w:b/>
          <w:bCs/>
          <w:u w:val="single"/>
        </w:rPr>
        <w:t>27</w:t>
      </w:r>
      <w:r w:rsidR="00B444BC" w:rsidRPr="00C81977">
        <w:rPr>
          <w:b/>
          <w:bCs/>
          <w:u w:val="single"/>
        </w:rPr>
        <w:t xml:space="preserve">% </w:t>
      </w:r>
    </w:p>
    <w:p w14:paraId="64132CA4" w14:textId="11C5CFDD" w:rsidR="00B444BC" w:rsidRDefault="00B444BC">
      <w:pPr>
        <w:rPr>
          <w:i/>
          <w:iCs/>
        </w:rPr>
      </w:pPr>
      <w:r w:rsidRPr="00B444BC">
        <w:t>Esta alícuota se incrementará al veintisiete por ciento (27%) para las ventas de gas, energía eléctrica y aguas reguladas por medidor y demás prestaciones comprendidas en los puntos 4, 5 y 6, del inciso e) del artículo 3º, cuando la venta o prestación se efectúe fuera de domicilios destinados exclusivamente a vivienda o casa de recreo o veraneo o en su caso, terrenos baldíos y el comprador o usuario sea un sujeto categorizado en este impuesto como responsable inscripto o se trate de sujetos que optaron por el Régimen Simplificado para pequeños contribuyentes. </w:t>
      </w:r>
      <w:r w:rsidRPr="00B444BC">
        <w:rPr>
          <w:i/>
          <w:iCs/>
        </w:rPr>
        <w:t>(Expresión " o como responsable no inscripto" derogada por art. 1°, inciso a), punto 3 de la </w:t>
      </w:r>
      <w:hyperlink r:id="rId8" w:history="1">
        <w:r w:rsidRPr="00B444BC">
          <w:rPr>
            <w:rStyle w:val="Hipervnculo"/>
            <w:i/>
            <w:iCs/>
          </w:rPr>
          <w:t xml:space="preserve">Ley </w:t>
        </w:r>
        <w:proofErr w:type="spellStart"/>
        <w:r w:rsidRPr="00B444BC">
          <w:rPr>
            <w:rStyle w:val="Hipervnculo"/>
            <w:i/>
            <w:iCs/>
          </w:rPr>
          <w:t>N°</w:t>
        </w:r>
        <w:proofErr w:type="spellEnd"/>
        <w:r w:rsidRPr="00B444BC">
          <w:rPr>
            <w:rStyle w:val="Hipervnculo"/>
            <w:i/>
            <w:iCs/>
          </w:rPr>
          <w:t xml:space="preserve"> 25.865</w:t>
        </w:r>
      </w:hyperlink>
      <w:r w:rsidRPr="00B444BC">
        <w:rPr>
          <w:i/>
          <w:iCs/>
        </w:rPr>
        <w:t> B.O. 19/1/2004. Vigencia: a partir del día de su publicación en el Boletín Oficial. Las disposiciones contenidas en el Título I de la norma de referencia surtirán efectos a partir de la fecha que disponga el Poder Ejecutivo nacional, la que no podrá superar los ciento ochenta (180) días contados desde la fecha de publicación oficial</w:t>
      </w:r>
      <w:r w:rsidRPr="00B444BC">
        <w:t>.</w:t>
      </w:r>
      <w:r w:rsidRPr="00B444BC">
        <w:rPr>
          <w:i/>
          <w:iCs/>
        </w:rPr>
        <w:t>)</w:t>
      </w:r>
    </w:p>
    <w:p w14:paraId="03BBA87D" w14:textId="77777777" w:rsidR="00C81977" w:rsidRDefault="00C81977">
      <w:pPr>
        <w:rPr>
          <w:i/>
          <w:iCs/>
        </w:rPr>
      </w:pPr>
    </w:p>
    <w:p w14:paraId="20B7A86B" w14:textId="77777777" w:rsidR="005E3997" w:rsidRDefault="00C81977" w:rsidP="005E3997">
      <w:pPr>
        <w:rPr>
          <w:b/>
          <w:bCs/>
          <w:u w:val="single"/>
        </w:rPr>
      </w:pPr>
      <w:r w:rsidRPr="00C81977">
        <w:rPr>
          <w:b/>
          <w:bCs/>
          <w:u w:val="single"/>
        </w:rPr>
        <w:t>21%</w:t>
      </w:r>
    </w:p>
    <w:p w14:paraId="22CE60C0" w14:textId="63F236FE" w:rsidR="005E3997" w:rsidRPr="005E3997" w:rsidRDefault="005E3997" w:rsidP="005E3997">
      <w:r w:rsidRPr="005E3997">
        <w:t>Bienes de consumo general:</w:t>
      </w:r>
    </w:p>
    <w:p w14:paraId="775E1A2E" w14:textId="2E02B407" w:rsidR="005E3997" w:rsidRPr="005E3997" w:rsidRDefault="005E3997" w:rsidP="005E3997">
      <w:r w:rsidRPr="005E3997">
        <w:t>Electrodomésticos (heladeras, lavarropas, televisores).</w:t>
      </w:r>
    </w:p>
    <w:p w14:paraId="7C816A52" w14:textId="0560FDA3" w:rsidR="005E3997" w:rsidRPr="005E3997" w:rsidRDefault="005E3997" w:rsidP="005E3997">
      <w:r w:rsidRPr="005E3997">
        <w:t>Ropa, calzado y accesorios (excepto indumentaria escolar o para bebés, que tienen tasa reducida).</w:t>
      </w:r>
    </w:p>
    <w:p w14:paraId="17C8D901" w14:textId="4C2A47EF" w:rsidR="005E3997" w:rsidRPr="005E3997" w:rsidRDefault="005E3997" w:rsidP="005E3997">
      <w:r w:rsidRPr="005E3997">
        <w:t>Muebles (mesas, sillas, camas).</w:t>
      </w:r>
    </w:p>
    <w:p w14:paraId="35E37E06" w14:textId="10631EC5" w:rsidR="005E3997" w:rsidRPr="005E3997" w:rsidRDefault="005E3997" w:rsidP="005E3997">
      <w:r w:rsidRPr="005E3997">
        <w:t xml:space="preserve">Productos electrónicos (celulares, computadoras, </w:t>
      </w:r>
      <w:proofErr w:type="spellStart"/>
      <w:r w:rsidRPr="005E3997">
        <w:t>tablets</w:t>
      </w:r>
      <w:proofErr w:type="spellEnd"/>
      <w:r w:rsidRPr="005E3997">
        <w:t>).</w:t>
      </w:r>
    </w:p>
    <w:p w14:paraId="3EE862B9" w14:textId="3CC8E194" w:rsidR="005E3997" w:rsidRPr="005E3997" w:rsidRDefault="005E3997" w:rsidP="005E3997">
      <w:r w:rsidRPr="005E3997">
        <w:t>Automóviles y motos (excepto vehículos adaptados para personas con discapacidad, que están exentos).</w:t>
      </w:r>
    </w:p>
    <w:p w14:paraId="0F8FCC81" w14:textId="2F61A2D9" w:rsidR="005E3997" w:rsidRPr="005E3997" w:rsidRDefault="005E3997" w:rsidP="005E3997">
      <w:r w:rsidRPr="005E3997">
        <w:t>Juguetes y artículos deportivos.</w:t>
      </w:r>
    </w:p>
    <w:p w14:paraId="4B677B2D" w14:textId="2C7E475E" w:rsidR="005E3997" w:rsidRPr="005E3997" w:rsidRDefault="005E3997" w:rsidP="005E3997">
      <w:r w:rsidRPr="005E3997">
        <w:t>Alimentos procesados:</w:t>
      </w:r>
    </w:p>
    <w:p w14:paraId="381316A5" w14:textId="6AFFB85A" w:rsidR="005E3997" w:rsidRPr="005E3997" w:rsidRDefault="005E3997" w:rsidP="005E3997">
      <w:r w:rsidRPr="005E3997">
        <w:t>Alimentos envasados no incluidos en la canasta básica (snacks, galletitas dulces, bebidas alcohólicas, gaseosas).</w:t>
      </w:r>
    </w:p>
    <w:p w14:paraId="14507228" w14:textId="703FEFCB" w:rsidR="005E3997" w:rsidRPr="005E3997" w:rsidRDefault="005E3997" w:rsidP="005E3997">
      <w:r w:rsidRPr="005E3997">
        <w:t>Productos de panadería industrial (pan de molde, facturas congeladas).</w:t>
      </w:r>
    </w:p>
    <w:p w14:paraId="2090DC9F" w14:textId="3A476A86" w:rsidR="005E3997" w:rsidRPr="005E3997" w:rsidRDefault="005E3997" w:rsidP="005E3997">
      <w:r w:rsidRPr="005E3997">
        <w:t>Conservas y enlatados (excepto aquellos con exención específica).</w:t>
      </w:r>
    </w:p>
    <w:p w14:paraId="0B543F6C" w14:textId="7AAA2B43" w:rsidR="005E3997" w:rsidRPr="005E3997" w:rsidRDefault="005E3997" w:rsidP="005E3997">
      <w:r w:rsidRPr="005E3997">
        <w:t>Servicios:</w:t>
      </w:r>
    </w:p>
    <w:p w14:paraId="57A99F7A" w14:textId="25C61DA0" w:rsidR="005E3997" w:rsidRPr="005E3997" w:rsidRDefault="005E3997" w:rsidP="005E3997">
      <w:r w:rsidRPr="005E3997">
        <w:t xml:space="preserve">Servicios de restaurantes, bares y </w:t>
      </w:r>
      <w:proofErr w:type="spellStart"/>
      <w:r w:rsidRPr="005E3997">
        <w:t>delivery</w:t>
      </w:r>
      <w:proofErr w:type="spellEnd"/>
      <w:r w:rsidRPr="005E3997">
        <w:t xml:space="preserve"> (excepto panaderías que venden pan común).</w:t>
      </w:r>
    </w:p>
    <w:p w14:paraId="4574D6C1" w14:textId="7AD92396" w:rsidR="005E3997" w:rsidRPr="005E3997" w:rsidRDefault="005E3997" w:rsidP="005E3997">
      <w:r w:rsidRPr="005E3997">
        <w:t>Servicios profesionales (abogados, contadores, ingenieros).</w:t>
      </w:r>
    </w:p>
    <w:p w14:paraId="217877C3" w14:textId="755B1380" w:rsidR="005E3997" w:rsidRPr="005E3997" w:rsidRDefault="005E3997" w:rsidP="005E3997">
      <w:r w:rsidRPr="005E3997">
        <w:t>Servicios de mantenimiento (plomería, electricidad).</w:t>
      </w:r>
    </w:p>
    <w:p w14:paraId="36D131CD" w14:textId="323E456D" w:rsidR="005E3997" w:rsidRPr="005E3997" w:rsidRDefault="005E3997" w:rsidP="005E3997">
      <w:r w:rsidRPr="005E3997">
        <w:t>Transporte de larga distancia (micros, vuelos nacionales).</w:t>
      </w:r>
    </w:p>
    <w:p w14:paraId="12704D55" w14:textId="77777777" w:rsidR="005E3997" w:rsidRPr="005E3997" w:rsidRDefault="005E3997" w:rsidP="005E3997">
      <w:r w:rsidRPr="005E3997">
        <w:t>Otros bienes:</w:t>
      </w:r>
    </w:p>
    <w:p w14:paraId="795370C5" w14:textId="77777777" w:rsidR="005E3997" w:rsidRPr="005E3997" w:rsidRDefault="005E3997" w:rsidP="005E3997"/>
    <w:p w14:paraId="111A2CEE" w14:textId="77777777" w:rsidR="005E3997" w:rsidRPr="005E3997" w:rsidRDefault="005E3997" w:rsidP="005E3997">
      <w:r w:rsidRPr="005E3997">
        <w:lastRenderedPageBreak/>
        <w:t>Materiales de construcción (cemento, ladrillos, pinturas).</w:t>
      </w:r>
    </w:p>
    <w:p w14:paraId="343A6793" w14:textId="77777777" w:rsidR="005E3997" w:rsidRPr="005E3997" w:rsidRDefault="005E3997" w:rsidP="005E3997"/>
    <w:p w14:paraId="3FA44653" w14:textId="77777777" w:rsidR="005E3997" w:rsidRPr="005E3997" w:rsidRDefault="005E3997" w:rsidP="005E3997">
      <w:r w:rsidRPr="005E3997">
        <w:t>Productos de higiene personal (jabones, cremas, perfumes).</w:t>
      </w:r>
    </w:p>
    <w:p w14:paraId="1C2AA26A" w14:textId="77777777" w:rsidR="005E3997" w:rsidRPr="005E3997" w:rsidRDefault="005E3997" w:rsidP="005E3997"/>
    <w:p w14:paraId="58234279" w14:textId="2DEC655D" w:rsidR="005E3997" w:rsidRPr="003C61F2" w:rsidRDefault="005E3997">
      <w:r w:rsidRPr="005E3997">
        <w:t>Libros no educativos (novelas, ensayos) y artículos de papelería.</w:t>
      </w:r>
    </w:p>
    <w:p w14:paraId="34190300" w14:textId="77777777" w:rsidR="00220A01" w:rsidRDefault="00220A01">
      <w:pPr>
        <w:rPr>
          <w:b/>
          <w:bCs/>
          <w:u w:val="single"/>
        </w:rPr>
      </w:pPr>
    </w:p>
    <w:p w14:paraId="672FCF41" w14:textId="3E4DCBC8" w:rsidR="00C81977" w:rsidRDefault="007B2ECC">
      <w:pPr>
        <w:rPr>
          <w:b/>
          <w:bCs/>
          <w:u w:val="single"/>
        </w:rPr>
      </w:pPr>
      <w:r>
        <w:rPr>
          <w:b/>
          <w:bCs/>
          <w:u w:val="single"/>
        </w:rPr>
        <w:t>10,5%</w:t>
      </w:r>
    </w:p>
    <w:p w14:paraId="1FC5E21C" w14:textId="77777777" w:rsidR="009C0269" w:rsidRPr="009C0269" w:rsidRDefault="009C0269" w:rsidP="009C0269"/>
    <w:p w14:paraId="0580141B" w14:textId="758BF49A" w:rsidR="009C0269" w:rsidRPr="009C0269" w:rsidRDefault="009C0269" w:rsidP="009C0269">
      <w:r w:rsidRPr="009C0269">
        <w:t xml:space="preserve">1.- Animales vivos de las especies aviar y </w:t>
      </w:r>
      <w:proofErr w:type="spellStart"/>
      <w:r w:rsidRPr="009C0269">
        <w:t>cunícula</w:t>
      </w:r>
      <w:proofErr w:type="spellEnd"/>
      <w:r w:rsidRPr="009C0269">
        <w:t xml:space="preserve"> y de ganados bovinos, ovinos, porcinos, camélidos y caprinos, incluidos los convenios de capitalización de hacienda cuando corresponda liquidar el gravamen.</w:t>
      </w:r>
    </w:p>
    <w:p w14:paraId="1D9011AC" w14:textId="77777777" w:rsidR="009C0269" w:rsidRPr="009C0269" w:rsidRDefault="009C0269" w:rsidP="009C0269"/>
    <w:p w14:paraId="3B02C05D" w14:textId="1533A964" w:rsidR="009C0269" w:rsidRPr="009C0269" w:rsidRDefault="009C0269" w:rsidP="009C0269">
      <w:r w:rsidRPr="009C0269">
        <w:t xml:space="preserve">2.- Carnes y despojos comestibles de los animales mencionados en el punto anterior, frescos, refrigerados o congelados que no hayan sido sometidos a procesos que impliquen una verdadera cocción o elaboración que los constituya en un preparado del producto. </w:t>
      </w:r>
    </w:p>
    <w:p w14:paraId="739A7132" w14:textId="77777777" w:rsidR="009C0269" w:rsidRPr="009C0269" w:rsidRDefault="009C0269" w:rsidP="009C0269"/>
    <w:p w14:paraId="06F57AF6" w14:textId="77777777" w:rsidR="009C0269" w:rsidRPr="009C0269" w:rsidRDefault="009C0269" w:rsidP="009C0269">
      <w:r w:rsidRPr="009C0269">
        <w:t>3. Frutas, legumbres y hortalizas, frescas, refrigeradas o congeladas, que no hayan sido sometidas a procesos que impliquen una verdadera cocción o elaboración que los constituya en un preparado del producto.</w:t>
      </w:r>
    </w:p>
    <w:p w14:paraId="127AE325" w14:textId="77777777" w:rsidR="009C0269" w:rsidRPr="009C0269" w:rsidRDefault="009C0269" w:rsidP="009C0269"/>
    <w:p w14:paraId="0F68C9A0" w14:textId="05F095A4" w:rsidR="009C0269" w:rsidRPr="009C0269" w:rsidRDefault="009C0269" w:rsidP="009C0269">
      <w:r w:rsidRPr="009C0269">
        <w:t xml:space="preserve">4. Miel de abejas a granel. </w:t>
      </w:r>
    </w:p>
    <w:p w14:paraId="420BC808" w14:textId="77777777" w:rsidR="009C0269" w:rsidRPr="009C0269" w:rsidRDefault="009C0269" w:rsidP="009C0269"/>
    <w:p w14:paraId="5905AAA1" w14:textId="79A96FFE" w:rsidR="009C0269" w:rsidRPr="009C0269" w:rsidRDefault="009C0269" w:rsidP="009C0269">
      <w:r w:rsidRPr="009C0269">
        <w:t xml:space="preserve">5. Granos —cereales y oleaginosos, excluido arroz— y legumbres secas —porotos, arvejas y lentejas—. </w:t>
      </w:r>
    </w:p>
    <w:p w14:paraId="496FC684" w14:textId="77777777" w:rsidR="009C0269" w:rsidRPr="009C0269" w:rsidRDefault="009C0269" w:rsidP="009C0269"/>
    <w:p w14:paraId="601FA299" w14:textId="743A650C" w:rsidR="009C0269" w:rsidRPr="009C0269" w:rsidRDefault="009C0269" w:rsidP="009C0269">
      <w:r w:rsidRPr="009C0269">
        <w:t xml:space="preserve">6. Harina de trigo, comprendida en la Partida 11.01 de la Nomenclatura Común del Mercosur (NCM). </w:t>
      </w:r>
    </w:p>
    <w:p w14:paraId="38ADAFF5" w14:textId="77777777" w:rsidR="009C0269" w:rsidRPr="009C0269" w:rsidRDefault="009C0269" w:rsidP="009C0269"/>
    <w:p w14:paraId="7A4424D0" w14:textId="7F436E46" w:rsidR="009C0269" w:rsidRPr="009C0269" w:rsidRDefault="009C0269" w:rsidP="009C0269">
      <w:r w:rsidRPr="009C0269">
        <w:t xml:space="preserve">7. - Pan, galletas, facturas de panadería y/o pastelería y galletitas y bizcochos, elaborados exclusivamente con harina de trigo, sin envasar previamente para su comercialización, comprendidos en los artículos 726, 727, 755, 757 y 760 del Código Alimentario Argentino. </w:t>
      </w:r>
    </w:p>
    <w:p w14:paraId="23454576" w14:textId="77777777" w:rsidR="009C0269" w:rsidRPr="009C0269" w:rsidRDefault="009C0269" w:rsidP="009C0269"/>
    <w:p w14:paraId="4B6DA153" w14:textId="7F5CC9F9" w:rsidR="009C0269" w:rsidRPr="009C0269" w:rsidRDefault="009C0269" w:rsidP="009C0269">
      <w:r w:rsidRPr="009C0269">
        <w:t xml:space="preserve">8. Residuos sólidos resultantes de la extracción industrial de aceite de soja, definidos en la Norma XIX de la Resolución 1075 del 12 de diciembre de 1994 de la ex </w:t>
      </w:r>
      <w:proofErr w:type="gramStart"/>
      <w:r w:rsidRPr="009C0269">
        <w:t>Secretaria</w:t>
      </w:r>
      <w:proofErr w:type="gramEnd"/>
      <w:r w:rsidRPr="009C0269">
        <w:t xml:space="preserve"> de Agricultura, </w:t>
      </w:r>
      <w:proofErr w:type="spellStart"/>
      <w:r w:rsidRPr="009C0269">
        <w:t>Ganaderia</w:t>
      </w:r>
      <w:proofErr w:type="spellEnd"/>
      <w:r w:rsidRPr="009C0269">
        <w:t xml:space="preserve"> y Pesca, sus modificatorias y complementarias, como así también </w:t>
      </w:r>
      <w:r w:rsidRPr="009C0269">
        <w:lastRenderedPageBreak/>
        <w:t>cualquier otro residuo o producto sólido resultante del procesamiento industrial del grano de soja, en ambos casos, cualquiera fuere su forma comercial (</w:t>
      </w:r>
      <w:proofErr w:type="spellStart"/>
      <w:r w:rsidRPr="009C0269">
        <w:t>expellers</w:t>
      </w:r>
      <w:proofErr w:type="spellEnd"/>
      <w:r w:rsidRPr="009C0269">
        <w:t xml:space="preserve">, pellets, tortas, harinas, granulado, </w:t>
      </w:r>
      <w:proofErr w:type="spellStart"/>
      <w:r w:rsidRPr="009C0269">
        <w:t>etc</w:t>
      </w:r>
      <w:proofErr w:type="spellEnd"/>
      <w:r w:rsidR="003C7C6C">
        <w:t>)</w:t>
      </w:r>
    </w:p>
    <w:p w14:paraId="7E1179F5" w14:textId="0A37431D" w:rsidR="009C0269" w:rsidRPr="009C0269" w:rsidRDefault="009C0269" w:rsidP="009C0269">
      <w:r w:rsidRPr="009C0269">
        <w:t xml:space="preserve">9. Granos de soja desnaturalizados, desactivados, tostados, quebrados, cualquier producto originado del cernido y limpieza obtenido de los granos de soja, cáscara o cascarilla de soja, cualquier tipo de mezcla de los productos citados precedentemente, cualquiera fuere su forma comercial. </w:t>
      </w:r>
    </w:p>
    <w:p w14:paraId="2496BDC2" w14:textId="2540D888" w:rsidR="007B2ECC" w:rsidRPr="009C0269" w:rsidRDefault="009C0269" w:rsidP="009C0269">
      <w:r w:rsidRPr="009C0269">
        <w:t xml:space="preserve">"...) Las ventas, las locaciones del inciso d) del artículo 3° y las importaciones definitivas de cuero bovino fresco o salado, seco, encalado, piquelado o conservado de otro </w:t>
      </w:r>
      <w:proofErr w:type="gramStart"/>
      <w:r w:rsidRPr="009C0269">
        <w:t>modo</w:t>
      </w:r>
      <w:proofErr w:type="gramEnd"/>
      <w:r w:rsidRPr="009C0269">
        <w:t xml:space="preserve"> pero sin curtir, apergaminar ni preparar de otra forma, incluso depilado o dividido, comprendidos en las posiciones arancelarias de la Nomenclatura Común del MERCOSUR, 4101.10.00, 4101.21.10, 4101.21.20, 4101.21.30, 4101.22.10, 4101.22.20, 4101.22.30, 4101.29.10, 4101.29.20, 4101.29.30, 4101.30.10, 4101.30.20 y 4101.30.30. (Inciso sin número a continuación del inciso a) incorporado por art. 1º </w:t>
      </w:r>
      <w:proofErr w:type="spellStart"/>
      <w:r w:rsidRPr="009C0269">
        <w:t>inc</w:t>
      </w:r>
      <w:proofErr w:type="spellEnd"/>
    </w:p>
    <w:p w14:paraId="0A2EDE8A" w14:textId="77777777" w:rsidR="00C81977" w:rsidRDefault="00C81977">
      <w:pPr>
        <w:rPr>
          <w:i/>
          <w:iCs/>
        </w:rPr>
      </w:pPr>
    </w:p>
    <w:p w14:paraId="23153799" w14:textId="77777777" w:rsidR="00C81977" w:rsidRDefault="00C81977"/>
    <w:sectPr w:rsidR="00C8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92"/>
    <w:rsid w:val="00220A01"/>
    <w:rsid w:val="00302369"/>
    <w:rsid w:val="00345D0B"/>
    <w:rsid w:val="003C61F2"/>
    <w:rsid w:val="003C7C6C"/>
    <w:rsid w:val="004A78D0"/>
    <w:rsid w:val="005E3997"/>
    <w:rsid w:val="006135E9"/>
    <w:rsid w:val="007B2ECC"/>
    <w:rsid w:val="009B2DF4"/>
    <w:rsid w:val="009C0269"/>
    <w:rsid w:val="00A050A6"/>
    <w:rsid w:val="00B444BC"/>
    <w:rsid w:val="00B716C4"/>
    <w:rsid w:val="00C81977"/>
    <w:rsid w:val="00E6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F52E"/>
  <w15:chartTrackingRefBased/>
  <w15:docId w15:val="{86303B13-168E-407A-9379-9CA6CC8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6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6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6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6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6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6D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6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6D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6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6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6D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6D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6D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6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6D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6D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444B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ios.infoleg.gob.ar/infolegInternet/verNorma.do?id=9190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0a5dce8-2382-412c-a673-417f170e6ed6">T256FZXUTKE7-1008389489-88224</_dlc_DocId>
    <_dlc_DocIdUrl xmlns="70a5dce8-2382-412c-a673-417f170e6ed6">
      <Url>https://camear.sharepoint.com/sites/Estadisticas/_layouts/15/DocIdRedir.aspx?ID=T256FZXUTKE7-1008389489-88224</Url>
      <Description>T256FZXUTKE7-1008389489-88224</Description>
    </_dlc_DocIdUrl>
    <lcf76f155ced4ddcb4097134ff3c332f xmlns="a3c13887-ab27-42cc-afeb-db2760f41325">
      <Terms xmlns="http://schemas.microsoft.com/office/infopath/2007/PartnerControls"/>
    </lcf76f155ced4ddcb4097134ff3c332f>
    <TaxCatchAll xmlns="70a5dce8-2382-412c-a673-417f170e6e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CC2F30533D64487E584EE3F769403" ma:contentTypeVersion="14" ma:contentTypeDescription="Crear nuevo documento." ma:contentTypeScope="" ma:versionID="08a53a5cf294d75c6ba5198309d366b2">
  <xsd:schema xmlns:xsd="http://www.w3.org/2001/XMLSchema" xmlns:xs="http://www.w3.org/2001/XMLSchema" xmlns:p="http://schemas.microsoft.com/office/2006/metadata/properties" xmlns:ns2="70a5dce8-2382-412c-a673-417f170e6ed6" xmlns:ns3="a3c13887-ab27-42cc-afeb-db2760f41325" targetNamespace="http://schemas.microsoft.com/office/2006/metadata/properties" ma:root="true" ma:fieldsID="425044b92b379e8a0cef34354a476aa8" ns2:_="" ns3:_="">
    <xsd:import namespace="70a5dce8-2382-412c-a673-417f170e6ed6"/>
    <xsd:import namespace="a3c13887-ab27-42cc-afeb-db2760f413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5dce8-2382-412c-a673-417f170e6ed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1" nillable="true" ma:displayName="Taxonomy Catch All Column" ma:hidden="true" ma:list="{372cabe3-45c7-495b-a2f6-384485d278f2}" ma:internalName="TaxCatchAll" ma:showField="CatchAllData" ma:web="70a5dce8-2382-412c-a673-417f170e6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13887-ab27-42cc-afeb-db2760f413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b2e761-078f-4d38-82da-f56f495746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BE1B9-94DE-46BA-B4F8-191B210CE4C5}">
  <ds:schemaRefs>
    <ds:schemaRef ds:uri="http://schemas.microsoft.com/office/2006/metadata/properties"/>
    <ds:schemaRef ds:uri="http://schemas.microsoft.com/office/infopath/2007/PartnerControls"/>
    <ds:schemaRef ds:uri="70a5dce8-2382-412c-a673-417f170e6ed6"/>
    <ds:schemaRef ds:uri="a3c13887-ab27-42cc-afeb-db2760f41325"/>
  </ds:schemaRefs>
</ds:datastoreItem>
</file>

<file path=customXml/itemProps2.xml><?xml version="1.0" encoding="utf-8"?>
<ds:datastoreItem xmlns:ds="http://schemas.openxmlformats.org/officeDocument/2006/customXml" ds:itemID="{B563E631-72C8-4563-B564-DD65B6AD9D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D7AF0-D679-4CF9-894D-B9B8FB6AF22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92B1D0-81A7-4F40-88F8-01A68A72D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5dce8-2382-412c-a673-417f170e6ed6"/>
    <ds:schemaRef ds:uri="a3c13887-ab27-42cc-afeb-db2760f41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736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Trovatto</dc:creator>
  <cp:keywords/>
  <dc:description/>
  <cp:lastModifiedBy>Matias Trovatto</cp:lastModifiedBy>
  <cp:revision>12</cp:revision>
  <dcterms:created xsi:type="dcterms:W3CDTF">2025-04-07T19:31:00Z</dcterms:created>
  <dcterms:modified xsi:type="dcterms:W3CDTF">2025-04-09T14:11:00Z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0x0101004BDCC2F30533D64487E584EE3F769403</vt:lpwstr>
  </property>
  <property fmtid="{D5CDD505-2E9C-101B-9397-08002B2CF9AE}" pid="4" name="ComplianceAssetId">
    <vt:lpwstr/>
  </property>
  <property fmtid="{D5CDD505-2E9C-101B-9397-08002B2CF9AE}" pid="5" name="_dlc_DocIdItemGuid">
    <vt:lpwstr>e96e1730-8d45-4919-b5b4-16092caf4920</vt:lpwstr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