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F7F1" w14:textId="77777777" w:rsidR="00BD47BC" w:rsidRDefault="00BD47BC" w:rsidP="00BD47BC">
      <w:r>
        <w:t xml:space="preserve">Sex determination is among the most important decisions to be made in an organism’s life, having substantial and long-term consequences for physiology, behavior, and reproductive strategy. </w:t>
      </w:r>
    </w:p>
    <w:p w14:paraId="26C0CD24" w14:textId="32C9F9EF" w:rsidR="00BD47BC" w:rsidRDefault="00BD47BC" w:rsidP="00BD47BC">
      <w:r>
        <w:t xml:space="preserve">While mammals and birds have largely gonochoristic sex determination that occurs early in life, in many coral reef fishes, sex determination is a socially controlled process that occurs post maturation. In anemonefish of the genus </w:t>
      </w:r>
      <w:proofErr w:type="spellStart"/>
      <w:r>
        <w:t>Amphiprion</w:t>
      </w:r>
      <w:proofErr w:type="spellEnd"/>
      <w:r>
        <w:t>, all individuals start out life as males and can undergo protandrous (male-to-female) sex change when in a permissive social context</w:t>
      </w:r>
      <w:r>
        <w:fldChar w:fldCharType="begin"/>
      </w:r>
      <w:r>
        <w:instrText xml:space="preserve"> ADDIN ZOTERO_ITEM CSL_CITATION {"citationID":"10nnGiKr","properties":{"unsorted":false,"formattedCitation":"\\super 1\\nosupersub{}","plainCitation":"1","noteIndex":0},"citationItems":[{"id":4563,"uris":["http://zotero.org/users/11313215/items/8RMJ4EHJ"],"itemData":{"id":4563,"type":"article-journal","abstract":"Sex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fldChar w:fldCharType="separate"/>
      </w:r>
      <w:r w:rsidRPr="00BD47BC">
        <w:rPr>
          <w:rFonts w:cs="Times New Roman"/>
          <w:color w:val="000000"/>
          <w:kern w:val="0"/>
          <w:szCs w:val="24"/>
          <w:vertAlign w:val="superscript"/>
        </w:rPr>
        <w:t>1</w:t>
      </w:r>
      <w:r>
        <w:fldChar w:fldCharType="end"/>
      </w:r>
      <w:r>
        <w:t xml:space="preserve">. </w:t>
      </w:r>
    </w:p>
    <w:p w14:paraId="4D8AA9D5" w14:textId="162BAA10" w:rsidR="00BD47BC" w:rsidRDefault="00BD47BC" w:rsidP="00BD47BC">
      <w:r>
        <w:t xml:space="preserve">Protandrous sex change requires a shift from a male-to-female complement of sex steroid hormones and thus requires changes in pituitary gonadotropin release. In </w:t>
      </w:r>
      <w:proofErr w:type="spellStart"/>
      <w:r>
        <w:t>teleosts</w:t>
      </w:r>
      <w:proofErr w:type="spellEnd"/>
      <w:r>
        <w:t>, the pituitary is regulated via direct innervation of the preoptic area of the hypothalamus (POA) making it a primary candidate for the mediator of these changes</w:t>
      </w:r>
      <w:r w:rsidR="00A31893">
        <w:fldChar w:fldCharType="begin"/>
      </w:r>
      <w:r w:rsidR="00A31893">
        <w:instrText xml:space="preserve"> ADDIN ZOTERO_ITEM CSL_CITATION {"citationID":"aJng3D4p","properties":{"unsorted":false,"formattedCitation":"\\super 2\\nosupersub{}","plainCitation":"2","noteIndex":0},"citationItems":[{"id":5924,"uris":["http://zotero.org/users/11313215/items/BIQ9ZKJX"],"itemData":{"id":5924,"type":"article-journal","abstract":"Reproduction is regulated by the hypothalamic-pituitary-gonadal (HPG) axis in vertebrates. In addition to wealth of knowledge in mammals, recent studies in non-mammalian species, especially teleosts, have provided evidence that some of the components in the HPG axis are conserved in bony vertebrates. On the other hand, from the comparisons of the recent accumulating knowledge between mammals and teleosts, unique characteristics of the regulatory system in each group have been unveiled. A hypophysiotropic neurotransmitter/hormone, gonadotropin releasing hormone (GnRH), pituitary gonadotropins, follicle stimulating hormone (FSH), and luteinizing hormone (LH) were proven to be common important elements of the HPG axis in teleosts and mammals, although the roles of each vary. Conversely, there are some modulators of GnRH or gonadotropins that are not common to all vertebrates. In this review, I will introduce the mechanism for HPG axis regulation in mammals and teleosts, and describe their evolution from a hypothetical common ancestor.","container-title":"General and Comparative Endocrinology","DOI":"10.1016/j.ygcen.2018.11.014","ISSN":"0016-6480","journalAbbreviation":"General and Comparative Endocrinology","page":"113075","source":"ScienceDirect","title":"Evolution of the regulatory mechanisms for the hypothalamic-pituitary-gonadal axis in vertebrates–hypothesis from a comparative view","volume":"284","author":[{"family":"Kanda","given":"Shinji"}],"issued":{"date-parts":[["2019",12,1]]}}}],"schema":"https://github.com/citation-style-language/schema/raw/master/csl-citation.json"} </w:instrText>
      </w:r>
      <w:r w:rsidR="00A31893">
        <w:fldChar w:fldCharType="separate"/>
      </w:r>
      <w:r w:rsidR="00A31893" w:rsidRPr="00A31893">
        <w:rPr>
          <w:rFonts w:cs="Times New Roman"/>
          <w:color w:val="000000"/>
          <w:kern w:val="0"/>
          <w:szCs w:val="24"/>
          <w:vertAlign w:val="superscript"/>
        </w:rPr>
        <w:t>2</w:t>
      </w:r>
      <w:r w:rsidR="00A31893">
        <w:fldChar w:fldCharType="end"/>
      </w:r>
      <w:r>
        <w:t xml:space="preserve">. </w:t>
      </w:r>
    </w:p>
    <w:p w14:paraId="5BA21C5B" w14:textId="455F75E5" w:rsidR="00BD47BC" w:rsidRDefault="00BD47BC" w:rsidP="00BD47BC">
      <w:r>
        <w:t>Current models of protandry describe the process as follows. Early in sex change, neurogenesis occurs and new cells are added to the anterior POA</w:t>
      </w:r>
      <w:r w:rsidR="00A31893">
        <w:fldChar w:fldCharType="begin"/>
      </w:r>
      <w:r w:rsidR="00FA38B8">
        <w:instrText xml:space="preserve"> ADDIN ZOTERO_ITEM CSL_CITATION {"citationID":"5UBfjlFI","properties":{"unsorted":false,"formattedCitation":"\\super 3\\nosupersub{}","plainCitation":"3","noteIndex":0},"citationItems":[{"id":16,"uris":["http://zotero.org/users/11313215/items/VGA9PBJ3"],"itemData":{"id":16,"type":"article-journal","abstract":"Sex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A31893">
        <w:fldChar w:fldCharType="separate"/>
      </w:r>
      <w:r w:rsidR="00FA38B8" w:rsidRPr="00FA38B8">
        <w:rPr>
          <w:rFonts w:cs="Times New Roman"/>
          <w:color w:val="000000"/>
          <w:kern w:val="0"/>
          <w:szCs w:val="24"/>
          <w:vertAlign w:val="superscript"/>
        </w:rPr>
        <w:t>3</w:t>
      </w:r>
      <w:r w:rsidR="00A31893">
        <w:fldChar w:fldCharType="end"/>
      </w:r>
      <w:r>
        <w:t xml:space="preserve">. These neurons then drive differential regulation of the pituitary gonadotrophs leading to testicular degradation and vitellogenesis. The feminized gonads subsequently release the female sex steroid hormone repertoire and complete the process of neurobiological and behavioral sex change. However, the specific changes that occur upstream of the pituitary remain poorly understood. </w:t>
      </w:r>
    </w:p>
    <w:p w14:paraId="3EDC3E0B" w14:textId="4980F5D7" w:rsidR="000948D9" w:rsidRDefault="00BD47BC" w:rsidP="00BD47BC">
      <w:r>
        <w:t xml:space="preserve">Here, we leverage </w:t>
      </w:r>
      <w:proofErr w:type="gramStart"/>
      <w:r>
        <w:t>single-nucleus</w:t>
      </w:r>
      <w:proofErr w:type="gramEnd"/>
      <w:r>
        <w:t xml:space="preserve"> </w:t>
      </w:r>
      <w:proofErr w:type="spellStart"/>
      <w:r>
        <w:t>multiomics</w:t>
      </w:r>
      <w:proofErr w:type="spellEnd"/>
      <w:r>
        <w:t xml:space="preserve"> (</w:t>
      </w:r>
      <w:proofErr w:type="spellStart"/>
      <w:r>
        <w:t>snMultiome</w:t>
      </w:r>
      <w:proofErr w:type="spellEnd"/>
      <w:r>
        <w:t xml:space="preserve">, RNA + ATAC modalities) and spatial transcriptomics to investigate the changes that occur in the POA during sex change. We uncover a process where early in sex change, a reduction in brain aromatase expression by neurogenic radial glia drives increases in neurogenesis. During sex change, a switch in the fate of these newborn neurons occurs leading to an increase in the population of pituitary regulating neurons. Specifically, new cells are </w:t>
      </w:r>
      <w:proofErr w:type="spellStart"/>
      <w:r>
        <w:t>cckb</w:t>
      </w:r>
      <w:proofErr w:type="spellEnd"/>
      <w:r>
        <w:t xml:space="preserve">+ but not gnrh1+, suggesting these cells stimulate an increase in follicle stimulating hormone (FSH) release and thus are the drivers of gonadal feminization.  Our findings uncover a </w:t>
      </w:r>
      <w:r w:rsidR="00FA38B8">
        <w:t>novel</w:t>
      </w:r>
      <w:r>
        <w:t xml:space="preserve"> mechanism by which protandrous sex change may occur. </w:t>
      </w:r>
      <w:r w:rsidR="000948D9" w:rsidRPr="00BD47BC">
        <w:t xml:space="preserve"> </w:t>
      </w:r>
    </w:p>
    <w:p w14:paraId="63FD9FA4" w14:textId="13E241F4" w:rsidR="00FA38B8" w:rsidRDefault="00FA38B8">
      <w:r>
        <w:br w:type="page"/>
      </w:r>
    </w:p>
    <w:p w14:paraId="6A08EC47" w14:textId="6D427C77" w:rsidR="00FA38B8" w:rsidRDefault="00FA38B8" w:rsidP="00BD47BC">
      <w:r>
        <w:lastRenderedPageBreak/>
        <w:t>References</w:t>
      </w:r>
    </w:p>
    <w:p w14:paraId="46CD01CE" w14:textId="77777777" w:rsidR="00FA38B8" w:rsidRPr="00FA38B8" w:rsidRDefault="00FA38B8" w:rsidP="00FA38B8">
      <w:pPr>
        <w:pStyle w:val="Bibliography"/>
        <w:rPr>
          <w:rFonts w:cs="Times New Roman"/>
          <w:color w:val="000000"/>
        </w:rPr>
      </w:pPr>
      <w:r>
        <w:fldChar w:fldCharType="begin"/>
      </w:r>
      <w:r>
        <w:instrText xml:space="preserve"> ADDIN ZOTERO_BIBL {"uncited":[],"omitted":[],"custom":[]} CSL_BIBLIOGRAPHY </w:instrText>
      </w:r>
      <w:r>
        <w:fldChar w:fldCharType="separate"/>
      </w:r>
      <w:r w:rsidRPr="00FA38B8">
        <w:rPr>
          <w:rFonts w:cs="Times New Roman"/>
          <w:color w:val="000000"/>
        </w:rPr>
        <w:t>1.</w:t>
      </w:r>
      <w:r w:rsidRPr="00FA38B8">
        <w:rPr>
          <w:rFonts w:cs="Times New Roman"/>
          <w:color w:val="000000"/>
        </w:rPr>
        <w:tab/>
        <w:t xml:space="preserve">Graham, G. J. &amp; Rhodes, J. S. Plasticity of brain sexual dimorphism as revealed by sex changing fish. </w:t>
      </w:r>
      <w:r w:rsidRPr="00FA38B8">
        <w:rPr>
          <w:rFonts w:cs="Times New Roman"/>
          <w:i/>
          <w:iCs/>
          <w:color w:val="000000"/>
        </w:rPr>
        <w:t>Current Opinion in Neurobiology</w:t>
      </w:r>
      <w:r w:rsidRPr="00FA38B8">
        <w:rPr>
          <w:rFonts w:cs="Times New Roman"/>
          <w:color w:val="000000"/>
        </w:rPr>
        <w:t xml:space="preserve"> </w:t>
      </w:r>
      <w:r w:rsidRPr="00FA38B8">
        <w:rPr>
          <w:rFonts w:cs="Times New Roman"/>
          <w:b/>
          <w:bCs/>
          <w:color w:val="000000"/>
        </w:rPr>
        <w:t>94</w:t>
      </w:r>
      <w:r w:rsidRPr="00FA38B8">
        <w:rPr>
          <w:rFonts w:cs="Times New Roman"/>
          <w:color w:val="000000"/>
        </w:rPr>
        <w:t>, 103094 (2025).</w:t>
      </w:r>
    </w:p>
    <w:p w14:paraId="41CB28B5" w14:textId="77777777" w:rsidR="00FA38B8" w:rsidRPr="00FA38B8" w:rsidRDefault="00FA38B8" w:rsidP="00FA38B8">
      <w:pPr>
        <w:pStyle w:val="Bibliography"/>
        <w:rPr>
          <w:rFonts w:cs="Times New Roman"/>
          <w:color w:val="000000"/>
        </w:rPr>
      </w:pPr>
      <w:r w:rsidRPr="00FA38B8">
        <w:rPr>
          <w:rFonts w:cs="Times New Roman"/>
          <w:color w:val="000000"/>
        </w:rPr>
        <w:t>2.</w:t>
      </w:r>
      <w:r w:rsidRPr="00FA38B8">
        <w:rPr>
          <w:rFonts w:cs="Times New Roman"/>
          <w:color w:val="000000"/>
        </w:rPr>
        <w:tab/>
        <w:t xml:space="preserve">Kanda, S. Evolution of the regulatory mechanisms for the hypothalamic-pituitary-gonadal axis in vertebrates–hypothesis from a comparative view. </w:t>
      </w:r>
      <w:r w:rsidRPr="00FA38B8">
        <w:rPr>
          <w:rFonts w:cs="Times New Roman"/>
          <w:i/>
          <w:iCs/>
          <w:color w:val="000000"/>
        </w:rPr>
        <w:t>General and Comparative Endocrinology</w:t>
      </w:r>
      <w:r w:rsidRPr="00FA38B8">
        <w:rPr>
          <w:rFonts w:cs="Times New Roman"/>
          <w:color w:val="000000"/>
        </w:rPr>
        <w:t xml:space="preserve"> </w:t>
      </w:r>
      <w:r w:rsidRPr="00FA38B8">
        <w:rPr>
          <w:rFonts w:cs="Times New Roman"/>
          <w:b/>
          <w:bCs/>
          <w:color w:val="000000"/>
        </w:rPr>
        <w:t>284</w:t>
      </w:r>
      <w:r w:rsidRPr="00FA38B8">
        <w:rPr>
          <w:rFonts w:cs="Times New Roman"/>
          <w:color w:val="000000"/>
        </w:rPr>
        <w:t>, 113075 (2019).</w:t>
      </w:r>
    </w:p>
    <w:p w14:paraId="29E57EAC" w14:textId="77777777" w:rsidR="00FA38B8" w:rsidRPr="00FA38B8" w:rsidRDefault="00FA38B8" w:rsidP="00FA38B8">
      <w:pPr>
        <w:pStyle w:val="Bibliography"/>
        <w:rPr>
          <w:rFonts w:cs="Times New Roman"/>
          <w:color w:val="000000"/>
        </w:rPr>
      </w:pPr>
      <w:r w:rsidRPr="00FA38B8">
        <w:rPr>
          <w:rFonts w:cs="Times New Roman"/>
          <w:color w:val="000000"/>
        </w:rPr>
        <w:t>3.</w:t>
      </w:r>
      <w:r w:rsidRPr="00FA38B8">
        <w:rPr>
          <w:rFonts w:cs="Times New Roman"/>
          <w:color w:val="000000"/>
        </w:rPr>
        <w:tab/>
        <w:t xml:space="preserve">Parker, C. G. </w:t>
      </w:r>
      <w:r w:rsidRPr="00FA38B8">
        <w:rPr>
          <w:rFonts w:cs="Times New Roman"/>
          <w:i/>
          <w:iCs/>
          <w:color w:val="000000"/>
        </w:rPr>
        <w:t>et al.</w:t>
      </w:r>
      <w:r w:rsidRPr="00FA38B8">
        <w:rPr>
          <w:rFonts w:cs="Times New Roman"/>
          <w:color w:val="000000"/>
        </w:rPr>
        <w:t xml:space="preserve"> New cells added to the preoptic area during sex change in the common clownfish </w:t>
      </w:r>
      <w:proofErr w:type="spellStart"/>
      <w:r w:rsidRPr="00FA38B8">
        <w:rPr>
          <w:rFonts w:cs="Times New Roman"/>
          <w:color w:val="000000"/>
        </w:rPr>
        <w:t>Amphiprion</w:t>
      </w:r>
      <w:proofErr w:type="spellEnd"/>
      <w:r w:rsidRPr="00FA38B8">
        <w:rPr>
          <w:rFonts w:cs="Times New Roman"/>
          <w:color w:val="000000"/>
        </w:rPr>
        <w:t xml:space="preserve"> </w:t>
      </w:r>
      <w:proofErr w:type="spellStart"/>
      <w:r w:rsidRPr="00FA38B8">
        <w:rPr>
          <w:rFonts w:cs="Times New Roman"/>
          <w:color w:val="000000"/>
        </w:rPr>
        <w:t>ocellaris</w:t>
      </w:r>
      <w:proofErr w:type="spellEnd"/>
      <w:r w:rsidRPr="00FA38B8">
        <w:rPr>
          <w:rFonts w:cs="Times New Roman"/>
          <w:color w:val="000000"/>
        </w:rPr>
        <w:t xml:space="preserve">. </w:t>
      </w:r>
      <w:r w:rsidRPr="00FA38B8">
        <w:rPr>
          <w:rFonts w:cs="Times New Roman"/>
          <w:i/>
          <w:iCs/>
          <w:color w:val="000000"/>
        </w:rPr>
        <w:t>General and Comparative Endocrinology</w:t>
      </w:r>
      <w:r w:rsidRPr="00FA38B8">
        <w:rPr>
          <w:rFonts w:cs="Times New Roman"/>
          <w:color w:val="000000"/>
        </w:rPr>
        <w:t xml:space="preserve"> </w:t>
      </w:r>
      <w:r w:rsidRPr="00FA38B8">
        <w:rPr>
          <w:rFonts w:cs="Times New Roman"/>
          <w:b/>
          <w:bCs/>
          <w:color w:val="000000"/>
        </w:rPr>
        <w:t>333</w:t>
      </w:r>
      <w:r w:rsidRPr="00FA38B8">
        <w:rPr>
          <w:rFonts w:cs="Times New Roman"/>
          <w:color w:val="000000"/>
        </w:rPr>
        <w:t>, 114185 (2023).</w:t>
      </w:r>
    </w:p>
    <w:p w14:paraId="6A9D1D48" w14:textId="64395AEF" w:rsidR="00FA38B8" w:rsidRPr="00BD47BC" w:rsidRDefault="00FA38B8" w:rsidP="00BD47BC">
      <w:r>
        <w:fldChar w:fldCharType="end"/>
      </w:r>
    </w:p>
    <w:sectPr w:rsidR="00FA38B8" w:rsidRPr="00BD4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7C8B8" w14:textId="77777777" w:rsidR="00F81D7E" w:rsidRDefault="00F81D7E" w:rsidP="000948D9">
      <w:r>
        <w:separator/>
      </w:r>
    </w:p>
  </w:endnote>
  <w:endnote w:type="continuationSeparator" w:id="0">
    <w:p w14:paraId="05F4D3D9" w14:textId="77777777" w:rsidR="00F81D7E" w:rsidRDefault="00F81D7E" w:rsidP="00094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34D6B" w14:textId="77777777" w:rsidR="00F81D7E" w:rsidRDefault="00F81D7E" w:rsidP="000948D9">
      <w:r>
        <w:separator/>
      </w:r>
    </w:p>
  </w:footnote>
  <w:footnote w:type="continuationSeparator" w:id="0">
    <w:p w14:paraId="330BADFA" w14:textId="77777777" w:rsidR="00F81D7E" w:rsidRDefault="00F81D7E" w:rsidP="00094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E1"/>
    <w:multiLevelType w:val="hybridMultilevel"/>
    <w:tmpl w:val="66CCFFEC"/>
    <w:lvl w:ilvl="0" w:tplc="9698F2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8759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8D9"/>
    <w:rsid w:val="000948D9"/>
    <w:rsid w:val="001F1449"/>
    <w:rsid w:val="00215623"/>
    <w:rsid w:val="002613B6"/>
    <w:rsid w:val="002E29FC"/>
    <w:rsid w:val="00475404"/>
    <w:rsid w:val="005F5289"/>
    <w:rsid w:val="00920258"/>
    <w:rsid w:val="00A31893"/>
    <w:rsid w:val="00A55A77"/>
    <w:rsid w:val="00B36237"/>
    <w:rsid w:val="00BD47BC"/>
    <w:rsid w:val="00F81D7E"/>
    <w:rsid w:val="00FA38B8"/>
    <w:rsid w:val="00FE2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A323A"/>
  <w15:chartTrackingRefBased/>
  <w15:docId w15:val="{561F71C5-0741-2644-BE7B-77495729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8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8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48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8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8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8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8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8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8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48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48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8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8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8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8D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948D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948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8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48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8D9"/>
    <w:rPr>
      <w:i/>
      <w:iCs/>
      <w:color w:val="404040" w:themeColor="text1" w:themeTint="BF"/>
    </w:rPr>
  </w:style>
  <w:style w:type="paragraph" w:styleId="ListParagraph">
    <w:name w:val="List Paragraph"/>
    <w:basedOn w:val="Normal"/>
    <w:uiPriority w:val="34"/>
    <w:qFormat/>
    <w:rsid w:val="000948D9"/>
    <w:pPr>
      <w:ind w:left="720"/>
      <w:contextualSpacing/>
    </w:pPr>
  </w:style>
  <w:style w:type="character" w:styleId="IntenseEmphasis">
    <w:name w:val="Intense Emphasis"/>
    <w:basedOn w:val="DefaultParagraphFont"/>
    <w:uiPriority w:val="21"/>
    <w:qFormat/>
    <w:rsid w:val="000948D9"/>
    <w:rPr>
      <w:i/>
      <w:iCs/>
      <w:color w:val="0F4761" w:themeColor="accent1" w:themeShade="BF"/>
    </w:rPr>
  </w:style>
  <w:style w:type="paragraph" w:styleId="IntenseQuote">
    <w:name w:val="Intense Quote"/>
    <w:basedOn w:val="Normal"/>
    <w:next w:val="Normal"/>
    <w:link w:val="IntenseQuoteChar"/>
    <w:uiPriority w:val="30"/>
    <w:qFormat/>
    <w:rsid w:val="0009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8D9"/>
    <w:rPr>
      <w:i/>
      <w:iCs/>
      <w:color w:val="0F4761" w:themeColor="accent1" w:themeShade="BF"/>
    </w:rPr>
  </w:style>
  <w:style w:type="character" w:styleId="IntenseReference">
    <w:name w:val="Intense Reference"/>
    <w:basedOn w:val="DefaultParagraphFont"/>
    <w:uiPriority w:val="32"/>
    <w:qFormat/>
    <w:rsid w:val="000948D9"/>
    <w:rPr>
      <w:b/>
      <w:bCs/>
      <w:smallCaps/>
      <w:color w:val="0F4761" w:themeColor="accent1" w:themeShade="BF"/>
      <w:spacing w:val="5"/>
    </w:rPr>
  </w:style>
  <w:style w:type="paragraph" w:styleId="Header">
    <w:name w:val="header"/>
    <w:basedOn w:val="Normal"/>
    <w:link w:val="HeaderChar"/>
    <w:uiPriority w:val="99"/>
    <w:unhideWhenUsed/>
    <w:rsid w:val="000948D9"/>
    <w:pPr>
      <w:tabs>
        <w:tab w:val="center" w:pos="4680"/>
        <w:tab w:val="right" w:pos="9360"/>
      </w:tabs>
    </w:pPr>
  </w:style>
  <w:style w:type="character" w:customStyle="1" w:styleId="HeaderChar">
    <w:name w:val="Header Char"/>
    <w:basedOn w:val="DefaultParagraphFont"/>
    <w:link w:val="Header"/>
    <w:uiPriority w:val="99"/>
    <w:rsid w:val="000948D9"/>
  </w:style>
  <w:style w:type="paragraph" w:styleId="Footer">
    <w:name w:val="footer"/>
    <w:basedOn w:val="Normal"/>
    <w:link w:val="FooterChar"/>
    <w:uiPriority w:val="99"/>
    <w:unhideWhenUsed/>
    <w:rsid w:val="000948D9"/>
    <w:pPr>
      <w:tabs>
        <w:tab w:val="center" w:pos="4680"/>
        <w:tab w:val="right" w:pos="9360"/>
      </w:tabs>
    </w:pPr>
  </w:style>
  <w:style w:type="character" w:customStyle="1" w:styleId="FooterChar">
    <w:name w:val="Footer Char"/>
    <w:basedOn w:val="DefaultParagraphFont"/>
    <w:link w:val="Footer"/>
    <w:uiPriority w:val="99"/>
    <w:rsid w:val="000948D9"/>
  </w:style>
  <w:style w:type="paragraph" w:styleId="Bibliography">
    <w:name w:val="Bibliography"/>
    <w:basedOn w:val="Normal"/>
    <w:next w:val="Normal"/>
    <w:uiPriority w:val="37"/>
    <w:unhideWhenUsed/>
    <w:rsid w:val="00FA38B8"/>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1369</Words>
  <Characters>8146</Characters>
  <Application>Microsoft Office Word</Application>
  <DocSecurity>0</DocSecurity>
  <Lines>121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2</cp:revision>
  <dcterms:created xsi:type="dcterms:W3CDTF">2026-04-02T01:37:00Z</dcterms:created>
  <dcterms:modified xsi:type="dcterms:W3CDTF">2026-04-02T01:37:00Z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id="w0aaGtYr"/&gt;&lt;style id="http://www.zotero.org/styles/nature" hasBibliography="1" bibliographyStyleHasBeenSet="1"/&gt;&lt;prefs&gt;&lt;pref name="fieldType" value="Field"/&gt;&lt;/prefs&gt;&lt;/data&gt;</vt:lpwstr>
  </property>
</Properties>
</file>