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3E900" w14:textId="69E47D4F" w:rsidR="00D7494A" w:rsidRPr="00D7494A" w:rsidRDefault="00D7494A" w:rsidP="00076F6F">
      <w:pPr>
        <w:spacing w:after="0" w:line="240" w:lineRule="auto"/>
        <w:rPr>
          <w:b/>
          <w:bCs/>
        </w:rPr>
      </w:pPr>
      <w:r w:rsidRPr="00D7494A">
        <w:rPr>
          <w:b/>
          <w:bCs/>
        </w:rPr>
        <w:t>Methods</w:t>
      </w:r>
    </w:p>
    <w:p w14:paraId="76B01567" w14:textId="798F722A" w:rsidR="008D09A3" w:rsidRPr="008D09A3" w:rsidRDefault="008D09A3" w:rsidP="00076F6F">
      <w:pPr>
        <w:spacing w:after="0" w:line="240" w:lineRule="auto"/>
        <w:rPr>
          <w:b/>
          <w:bCs/>
          <w:u w:val="single"/>
        </w:rPr>
      </w:pPr>
      <w:r w:rsidRPr="008D09A3">
        <w:rPr>
          <w:b/>
          <w:bCs/>
          <w:u w:val="single"/>
        </w:rPr>
        <w:t>Candidate transcription factor regulatory network analysis</w:t>
      </w:r>
    </w:p>
    <w:p w14:paraId="5C3214D1" w14:textId="77777777" w:rsidR="008D09A3" w:rsidRPr="008D09A3" w:rsidRDefault="008D09A3" w:rsidP="00076F6F">
      <w:pPr>
        <w:spacing w:after="0" w:line="240" w:lineRule="auto"/>
      </w:pPr>
      <w:r w:rsidRPr="008D09A3">
        <w:t>To identify candidate transcriptional regulators of gene-expression changes in clusters 1 (radial glia) and 6 (POA neurosecretory neurons) during sex change, we integrated differential gene expression, chromatin accessibility, peak-to-gene correlations, and transcription factor (TF) motif information within each cell cluster. We first identified a restricted set of target genes for which gene expression was associated with local chromatin accessibility and either expression or accessibility differed across sex-change groups. Thus, target genes were identified through two complementary routes. First, DEGs were retained when expression of the gene was significantly correlated with accessibility of at least one locally associated ATAC peak across individuals (Pearson’s correlation, P ≤ 0.05). Second, genes associated with DARs were retained when their expression was significantly correlated with accessibility of the associated DAR (Pearson’s correlation, P ≤ 0.05). The union of genes identified through these two approaches was defined as the set of accessibility-supported target genes for subsequent regulatory analysis.</w:t>
      </w:r>
    </w:p>
    <w:p w14:paraId="08556E45" w14:textId="77777777" w:rsidR="008D09A3" w:rsidRPr="008D09A3" w:rsidRDefault="008D09A3" w:rsidP="00076F6F">
      <w:pPr>
        <w:spacing w:after="0" w:line="240" w:lineRule="auto"/>
      </w:pPr>
    </w:p>
    <w:p w14:paraId="50740676" w14:textId="77777777" w:rsidR="008D09A3" w:rsidRDefault="008D09A3" w:rsidP="00076F6F">
      <w:pPr>
        <w:spacing w:after="0" w:line="240" w:lineRule="auto"/>
      </w:pPr>
      <w:r w:rsidRPr="008D09A3">
        <w:rPr>
          <w:u w:val="single"/>
        </w:rPr>
        <w:t>Transcription factor motif annotation.</w:t>
      </w:r>
      <w:r w:rsidRPr="008D09A3">
        <w:t xml:space="preserve"> TF-binding motifs were annotated within the ATAC-seq dataset using Signac. ATAC peak sequences were referenced to the </w:t>
      </w:r>
      <w:proofErr w:type="spellStart"/>
      <w:r w:rsidRPr="008D09A3">
        <w:t>Amphiprion</w:t>
      </w:r>
      <w:proofErr w:type="spellEnd"/>
      <w:r w:rsidRPr="008D09A3">
        <w:t xml:space="preserve"> </w:t>
      </w:r>
      <w:proofErr w:type="spellStart"/>
      <w:r w:rsidRPr="008D09A3">
        <w:t>ocellaris</w:t>
      </w:r>
      <w:proofErr w:type="spellEnd"/>
      <w:r w:rsidRPr="008D09A3">
        <w:t xml:space="preserve"> reference genome FASTA used for alignment (</w:t>
      </w:r>
      <w:proofErr w:type="spellStart"/>
      <w:r w:rsidRPr="008D09A3">
        <w:t>STAR_Ref_Genome_ocellaris</w:t>
      </w:r>
      <w:proofErr w:type="spellEnd"/>
      <w:r w:rsidRPr="008D09A3">
        <w:t>/</w:t>
      </w:r>
      <w:proofErr w:type="spellStart"/>
      <w:r w:rsidRPr="008D09A3">
        <w:t>fasta</w:t>
      </w:r>
      <w:proofErr w:type="spellEnd"/>
      <w:r w:rsidRPr="008D09A3">
        <w:t>/</w:t>
      </w:r>
      <w:proofErr w:type="spellStart"/>
      <w:proofErr w:type="gramStart"/>
      <w:r w:rsidRPr="008D09A3">
        <w:t>genome.fa</w:t>
      </w:r>
      <w:proofErr w:type="spellEnd"/>
      <w:proofErr w:type="gramEnd"/>
      <w:r w:rsidRPr="008D09A3">
        <w:t>). A collection of TF position frequency matrices (PFMs) in JASPAR matrix format (</w:t>
      </w:r>
      <w:proofErr w:type="spellStart"/>
      <w:r w:rsidRPr="008D09A3">
        <w:t>motifs.pfm</w:t>
      </w:r>
      <w:proofErr w:type="spellEnd"/>
      <w:r w:rsidRPr="008D09A3">
        <w:t xml:space="preserve">) was imported using </w:t>
      </w:r>
      <w:proofErr w:type="spellStart"/>
      <w:proofErr w:type="gramStart"/>
      <w:r w:rsidRPr="008D09A3">
        <w:t>TFBSTools</w:t>
      </w:r>
      <w:proofErr w:type="spellEnd"/>
      <w:r w:rsidRPr="008D09A3">
        <w:t>::</w:t>
      </w:r>
      <w:proofErr w:type="spellStart"/>
      <w:proofErr w:type="gramEnd"/>
      <w:r w:rsidRPr="008D09A3">
        <w:t>readJASPARMatrix</w:t>
      </w:r>
      <w:proofErr w:type="spellEnd"/>
      <w:r w:rsidRPr="008D09A3">
        <w:t xml:space="preserve">. The source and version of the motif collection were </w:t>
      </w:r>
      <w:proofErr w:type="spellStart"/>
      <w:r w:rsidRPr="00C81874">
        <w:rPr>
          <w:highlight w:val="yellow"/>
        </w:rPr>
        <w:t>xxKatie</w:t>
      </w:r>
      <w:proofErr w:type="spellEnd"/>
      <w:r w:rsidRPr="008D09A3">
        <w:t xml:space="preserve">. Motif occurrences within ATAC peaks were identified using </w:t>
      </w:r>
      <w:proofErr w:type="gramStart"/>
      <w:r w:rsidRPr="008D09A3">
        <w:t>Signac::</w:t>
      </w:r>
      <w:proofErr w:type="spellStart"/>
      <w:proofErr w:type="gramEnd"/>
      <w:r w:rsidRPr="008D09A3">
        <w:t>AddMotifs</w:t>
      </w:r>
      <w:proofErr w:type="spellEnd"/>
      <w:r w:rsidRPr="008D09A3">
        <w:t xml:space="preserve">, with motif matching performed using </w:t>
      </w:r>
      <w:proofErr w:type="spellStart"/>
      <w:r w:rsidRPr="008D09A3">
        <w:t>motifmatchr</w:t>
      </w:r>
      <w:proofErr w:type="spellEnd"/>
      <w:r w:rsidRPr="008D09A3">
        <w:t xml:space="preserve">, and the resulting peak-by-motif annotations were stored in the Motif object associated with the ATAC assay. </w:t>
      </w:r>
      <w:proofErr w:type="spellStart"/>
      <w:r w:rsidRPr="00C81874">
        <w:rPr>
          <w:highlight w:val="yellow"/>
        </w:rPr>
        <w:t>xxKatie</w:t>
      </w:r>
      <w:proofErr w:type="spellEnd"/>
      <w:r w:rsidRPr="008D09A3">
        <w:t xml:space="preserve">: please confirm source/version and composition of </w:t>
      </w:r>
      <w:proofErr w:type="spellStart"/>
      <w:r w:rsidRPr="008D09A3">
        <w:t>motifs.pfm</w:t>
      </w:r>
      <w:proofErr w:type="spellEnd"/>
      <w:r w:rsidRPr="008D09A3">
        <w:t>.</w:t>
      </w:r>
    </w:p>
    <w:p w14:paraId="0574BEF1" w14:textId="77777777" w:rsidR="008239B8" w:rsidRPr="008D09A3" w:rsidRDefault="008239B8" w:rsidP="00076F6F">
      <w:pPr>
        <w:spacing w:after="0" w:line="240" w:lineRule="auto"/>
      </w:pPr>
    </w:p>
    <w:p w14:paraId="0E28BBF4" w14:textId="18A313F4" w:rsidR="008D09A3" w:rsidRPr="008D09A3" w:rsidRDefault="008D09A3" w:rsidP="00076F6F">
      <w:pPr>
        <w:spacing w:after="0" w:line="240" w:lineRule="auto"/>
        <w:rPr>
          <w:u w:val="single"/>
        </w:rPr>
      </w:pPr>
      <w:r w:rsidRPr="008D09A3">
        <w:rPr>
          <w:u w:val="single"/>
        </w:rPr>
        <w:t>Regulatory network construction</w:t>
      </w:r>
    </w:p>
    <w:p w14:paraId="4BBF465F" w14:textId="77777777" w:rsidR="008D09A3" w:rsidRPr="008D09A3" w:rsidRDefault="008D09A3" w:rsidP="00076F6F">
      <w:pPr>
        <w:spacing w:after="0" w:line="240" w:lineRule="auto"/>
      </w:pPr>
      <w:r w:rsidRPr="008D09A3">
        <w:t xml:space="preserve">For the regulatory analysis, motif-annotated ATAC peaks associated with each accessibility-supported target gene were used to identify candidate upstream TFs. Motif identities were mapped to TF genes represented in the RNA dataset using direct symbol matching, gene-name annotations, teleost paralog aliases, and manual mapping where necessary. TFs without a corresponding RNA feature in the dataset were excluded. RNA counts of candidate TFs were </w:t>
      </w:r>
      <w:proofErr w:type="spellStart"/>
      <w:r w:rsidRPr="008D09A3">
        <w:t>pseudobulked</w:t>
      </w:r>
      <w:proofErr w:type="spellEnd"/>
      <w:r w:rsidRPr="008D09A3">
        <w:t xml:space="preserve"> by </w:t>
      </w:r>
      <w:proofErr w:type="gramStart"/>
      <w:r w:rsidRPr="008D09A3">
        <w:t>individual</w:t>
      </w:r>
      <w:proofErr w:type="gramEnd"/>
      <w:r w:rsidRPr="008D09A3">
        <w:t xml:space="preserve"> within each cell cluster by summing counts across nuclei and normalizing to log2 counts per million (</w:t>
      </w:r>
      <w:proofErr w:type="spellStart"/>
      <w:r w:rsidRPr="008D09A3">
        <w:t>logCPM</w:t>
      </w:r>
      <w:proofErr w:type="spellEnd"/>
      <w:r w:rsidRPr="008D09A3">
        <w:t>). Candidate TFs were required to have detectable expression in at least 50% of individuals.</w:t>
      </w:r>
    </w:p>
    <w:p w14:paraId="03FB9656" w14:textId="77777777" w:rsidR="008D09A3" w:rsidRPr="008D09A3" w:rsidRDefault="008D09A3" w:rsidP="00076F6F">
      <w:pPr>
        <w:spacing w:after="0" w:line="240" w:lineRule="auto"/>
      </w:pPr>
    </w:p>
    <w:p w14:paraId="0A2F2F4D" w14:textId="0148B50C" w:rsidR="008D09A3" w:rsidRDefault="008D09A3" w:rsidP="00076F6F">
      <w:pPr>
        <w:spacing w:after="0" w:line="240" w:lineRule="auto"/>
      </w:pPr>
      <w:r w:rsidRPr="008D09A3">
        <w:t xml:space="preserve">We next evaluated Pearson’s correlations across individuals between </w:t>
      </w:r>
      <w:proofErr w:type="spellStart"/>
      <w:r w:rsidRPr="008D09A3">
        <w:t>pseudobulk</w:t>
      </w:r>
      <w:proofErr w:type="spellEnd"/>
      <w:r w:rsidRPr="008D09A3">
        <w:t xml:space="preserve"> TF expression and </w:t>
      </w:r>
      <w:proofErr w:type="spellStart"/>
      <w:r w:rsidRPr="008D09A3">
        <w:t>pseudobulk</w:t>
      </w:r>
      <w:proofErr w:type="spellEnd"/>
      <w:r w:rsidRPr="008D09A3">
        <w:t xml:space="preserve"> expression of each target gene. TF–target relationships were retained when |r| ≥ 0.40 and P ≤ 0.10. A candidate TF was not required to itself be differentially expressed </w:t>
      </w:r>
      <w:r>
        <w:t xml:space="preserve">across groups </w:t>
      </w:r>
      <w:r w:rsidRPr="008D09A3">
        <w:t xml:space="preserve">because TF activity may change without a corresponding change in transcript abundance. However, whether </w:t>
      </w:r>
      <w:proofErr w:type="gramStart"/>
      <w:r w:rsidRPr="008D09A3">
        <w:t>the TF</w:t>
      </w:r>
      <w:proofErr w:type="gramEnd"/>
      <w:r w:rsidRPr="008D09A3">
        <w:t xml:space="preserve"> was itself a DEG was retained as additional supporting information. Regulatory direction was inferred from the sign of the TF–target expression correlation. Positive TF–target correlations were </w:t>
      </w:r>
      <w:r w:rsidRPr="008D09A3">
        <w:lastRenderedPageBreak/>
        <w:t>classified as candidate activating relationships, whereas negative correlations were classified as candidate repressive relationships. The direction and magnitude of the independently determined peak-accessibility–target-gene expression correlation were retained alongside each relationship.</w:t>
      </w:r>
    </w:p>
    <w:p w14:paraId="76D2ECCC" w14:textId="77777777" w:rsidR="008239B8" w:rsidRPr="008D09A3" w:rsidRDefault="008239B8" w:rsidP="00076F6F">
      <w:pPr>
        <w:spacing w:after="0" w:line="240" w:lineRule="auto"/>
      </w:pPr>
    </w:p>
    <w:p w14:paraId="71F57ABB" w14:textId="467DBA45" w:rsidR="008D09A3" w:rsidRDefault="008D09A3" w:rsidP="00076F6F">
      <w:pPr>
        <w:spacing w:after="0" w:line="240" w:lineRule="auto"/>
      </w:pPr>
      <w:r w:rsidRPr="008D09A3">
        <w:t xml:space="preserve">Application of this accessibility-coupled analysis revealed different regulatory </w:t>
      </w:r>
      <w:r w:rsidR="00C81874">
        <w:t>networks</w:t>
      </w:r>
      <w:r w:rsidRPr="008D09A3">
        <w:t xml:space="preserve"> in the two cell populations. </w:t>
      </w:r>
      <w:r w:rsidR="008239B8" w:rsidRPr="008239B8">
        <w:t>Cluster 1 formed an extensive interconnected network of accessibility-supported TF–target relationships, whereas the corresponding relationships in cluster 6 formed a more restricted set of modules.</w:t>
      </w:r>
      <w:r w:rsidR="008239B8">
        <w:t xml:space="preserve"> </w:t>
      </w:r>
      <w:r w:rsidRPr="008D09A3">
        <w:t xml:space="preserve"> We therefore used </w:t>
      </w:r>
      <w:proofErr w:type="gramStart"/>
      <w:r w:rsidRPr="008D09A3">
        <w:t>the accessibility</w:t>
      </w:r>
      <w:proofErr w:type="gramEnd"/>
      <w:r w:rsidRPr="008D09A3">
        <w:t xml:space="preserve">-supported relationships as the basis for the cluster 1 regulatory network but performed an additional analysis in cluster 6 to evaluate candidate TF regulation of DEGs whose expression was not significantly correlated with local chromatin accessibility. This complementary analysis was designed to identify </w:t>
      </w:r>
      <w:proofErr w:type="gramStart"/>
      <w:r w:rsidRPr="008D09A3">
        <w:t>regulation</w:t>
      </w:r>
      <w:proofErr w:type="gramEnd"/>
      <w:r w:rsidRPr="008D09A3">
        <w:t xml:space="preserve"> that could occur through variation in TF abundance or activity at chromatin regions that were already accessible, without requiring variation in chromatin accessibility itself to explain variation in target-gene expression.</w:t>
      </w:r>
    </w:p>
    <w:p w14:paraId="5201EFC4" w14:textId="77777777" w:rsidR="008239B8" w:rsidRPr="008D09A3" w:rsidRDefault="008239B8" w:rsidP="00076F6F">
      <w:pPr>
        <w:spacing w:after="0" w:line="240" w:lineRule="auto"/>
      </w:pPr>
    </w:p>
    <w:p w14:paraId="71724DDE" w14:textId="77777777" w:rsidR="008D09A3" w:rsidRPr="008D09A3" w:rsidRDefault="008D09A3" w:rsidP="00076F6F">
      <w:pPr>
        <w:spacing w:after="0" w:line="240" w:lineRule="auto"/>
      </w:pPr>
      <w:r w:rsidRPr="008D09A3">
        <w:t>For this complementary cluster 6 analysis, we began with DEGs lacking a significant correlation between gene expression and accessibility of their locally associated ATAC peaks. Motifs within these peaks were used to identify candidate upstream TFs as described above, but peak accessibility was not required to correlate with target-gene expression. Instead, at least one associated motif-containing peak was required to be detectably accessible in ≥50% of eligible individuals, providing evidence that the candidate regulatory region was broadly accessible for potential TF binding. Candidate TFs were again required to have detectable expression in at least 50% of individuals, and TF–target relationships were retained when TF and target expression were correlated across individuals (|Pearson’s r| ≥ 0.40, P ≤ 0.10). As in the accessibility-coupled analysis, TFs were not required to themselves be DEGs, and positive and negative TF–target correlations were classified as candidate activating and repressive relationships, respectively.</w:t>
      </w:r>
    </w:p>
    <w:p w14:paraId="49223A41" w14:textId="77777777" w:rsidR="008D09A3" w:rsidRPr="008D09A3" w:rsidRDefault="008D09A3" w:rsidP="00076F6F">
      <w:pPr>
        <w:spacing w:after="0" w:line="240" w:lineRule="auto"/>
      </w:pPr>
    </w:p>
    <w:p w14:paraId="4121AC26" w14:textId="1AD1DF12" w:rsidR="008D09A3" w:rsidRPr="008D09A3" w:rsidRDefault="008D09A3" w:rsidP="00076F6F">
      <w:pPr>
        <w:spacing w:after="0" w:line="240" w:lineRule="auto"/>
      </w:pPr>
      <w:r w:rsidRPr="008D09A3">
        <w:t xml:space="preserve">Network construction was guided by the regulatory architecture revealed by these analyses. For cluster 1, the network was restricted to accessibility-supported target genes and their candidate TF regulators because these relationships formed an extensive interconnected regulatory </w:t>
      </w:r>
      <w:r w:rsidR="00C81874">
        <w:t>network</w:t>
      </w:r>
      <w:r w:rsidRPr="008D09A3">
        <w:t xml:space="preserve">. TFs were </w:t>
      </w:r>
      <w:r>
        <w:t>included only if they were</w:t>
      </w:r>
      <w:r w:rsidRPr="008D09A3">
        <w:t xml:space="preserve"> recurrent candidate regulatory hubs with at least three distinct accessibility-supported target genes. Because TFs could themselves be accessibility-supported target genes, TF-to-TF regulatory relationships were retained, allowing potential regulatory hierarchies to emerge. Pairwise Pearson correlations were then calculated across individuals among target genes already represented in each hub module, and strong </w:t>
      </w:r>
      <w:proofErr w:type="spellStart"/>
      <w:r w:rsidRPr="008D09A3">
        <w:t>coexpression</w:t>
      </w:r>
      <w:proofErr w:type="spellEnd"/>
      <w:r w:rsidRPr="008D09A3">
        <w:t xml:space="preserve"> relationships were retained at |r| ≥ 0.60 and P ≤ 0.05. No additional genes were introduced </w:t>
      </w:r>
      <w:proofErr w:type="gramStart"/>
      <w:r w:rsidRPr="008D09A3">
        <w:t>on the basis of</w:t>
      </w:r>
      <w:proofErr w:type="gramEnd"/>
      <w:r w:rsidRPr="008D09A3">
        <w:t xml:space="preserve"> </w:t>
      </w:r>
      <w:proofErr w:type="spellStart"/>
      <w:r w:rsidRPr="008D09A3">
        <w:t>coexpression</w:t>
      </w:r>
      <w:proofErr w:type="spellEnd"/>
      <w:r w:rsidRPr="008D09A3">
        <w:t xml:space="preserve">. The resulting hub modules were combined into a single integrated cluster 1 network, with shared target genes represented once. Directed edges represent candidate TF–target regulatory relationships, whereas undirected dotted edges represent strong target–target </w:t>
      </w:r>
      <w:r w:rsidRPr="008D09A3">
        <w:lastRenderedPageBreak/>
        <w:t>expression correlations. Edge color indicates the sign of the correlation, and edge thickness is proportional to |r|.</w:t>
      </w:r>
    </w:p>
    <w:p w14:paraId="43D61428" w14:textId="77777777" w:rsidR="008D09A3" w:rsidRPr="008D09A3" w:rsidRDefault="008D09A3" w:rsidP="00076F6F">
      <w:pPr>
        <w:spacing w:after="0" w:line="240" w:lineRule="auto"/>
      </w:pPr>
    </w:p>
    <w:p w14:paraId="7533C5DA" w14:textId="06D02105" w:rsidR="00CC20F9" w:rsidRDefault="008D09A3" w:rsidP="00076F6F">
      <w:pPr>
        <w:spacing w:after="0" w:line="240" w:lineRule="auto"/>
      </w:pPr>
      <w:r w:rsidRPr="008D09A3">
        <w:t xml:space="preserve">For cluster 6, candidate TF–target relationships from the two complementary analyses were integrated into a single regulatory network. The first class consisted of accessibility-coupled relationships, in which target-gene expression was significantly correlated with local chromatin accessibility. The second consisted of TF-associated relationships on accessible chromatin, in which the target was a DEG whose expression did not significantly correlate with local accessibility, but at least one associated motif-containing peak was accessible in ≥50% of individuals and TF expression correlated with target expression. Because the complete cluster 6 network contained </w:t>
      </w:r>
      <w:proofErr w:type="gramStart"/>
      <w:r w:rsidRPr="008D09A3">
        <w:t>a large number of</w:t>
      </w:r>
      <w:proofErr w:type="gramEnd"/>
      <w:r w:rsidRPr="008D09A3">
        <w:t xml:space="preserve"> candidate relationships, the displayed network was focused on neuroendocrine genes implicated in regulation of the reproductive axis and retained their associated candidate regulators and connected targets. Solid directed edges denote accessibility-coupled relationships, whereas dashed directed edges denote TF-associated relationships on accessible chromatin without significant accessibility–expression coupling. Edge color indicates the sign of the TF–target correlation, and edge thickness is proportional to |r|.</w:t>
      </w:r>
    </w:p>
    <w:p w14:paraId="3B6447A9" w14:textId="77777777" w:rsidR="008D09A3" w:rsidRPr="008D09A3" w:rsidRDefault="008D09A3" w:rsidP="00076F6F">
      <w:pPr>
        <w:spacing w:after="0" w:line="240" w:lineRule="auto"/>
      </w:pPr>
    </w:p>
    <w:p w14:paraId="4EE5AD9F" w14:textId="77777777" w:rsidR="003C2A6F" w:rsidRPr="003C2A6F" w:rsidRDefault="003C2A6F" w:rsidP="00076F6F">
      <w:pPr>
        <w:spacing w:after="0" w:line="240" w:lineRule="auto"/>
        <w:rPr>
          <w:b/>
          <w:bCs/>
        </w:rPr>
      </w:pPr>
      <w:r w:rsidRPr="003C2A6F">
        <w:rPr>
          <w:b/>
          <w:bCs/>
        </w:rPr>
        <w:t>Results</w:t>
      </w:r>
    </w:p>
    <w:p w14:paraId="5C429822" w14:textId="77777777" w:rsidR="003C2A6F" w:rsidRPr="003C2A6F" w:rsidRDefault="003C2A6F" w:rsidP="00076F6F">
      <w:pPr>
        <w:spacing w:after="0" w:line="240" w:lineRule="auto"/>
        <w:rPr>
          <w:b/>
          <w:bCs/>
        </w:rPr>
      </w:pPr>
    </w:p>
    <w:p w14:paraId="18080BB6" w14:textId="5D493F2B" w:rsidR="00712899" w:rsidRDefault="00712899" w:rsidP="00076F6F">
      <w:pPr>
        <w:spacing w:after="0" w:line="240" w:lineRule="auto"/>
      </w:pPr>
      <w:r>
        <w:t xml:space="preserve">To identify candidate transcription factor (TF) regulators of gene-expression changes during sex change, we integrated differential gene expression with chromatin accessibility, TF-binding motifs, and TF–target expression correlations. We focused on clusters 1 and 6, corresponding to radial glia and preoptic area neurosecretory neurons, respectively. We first identified accessibility-supported target genes whose expression covaried with an associated ATAC peak and then identified candidate regulators with binding motifs in those regions whose expression correlated with target-gene expression across individuals (|Pearson’s </w:t>
      </w:r>
      <w:r w:rsidRPr="00712899">
        <w:rPr>
          <w:i/>
          <w:iCs/>
        </w:rPr>
        <w:t>r</w:t>
      </w:r>
      <w:r>
        <w:t>| ≥ 0.40, P ≤ 0.10). This analysis revealed distinct regulatory networks in the two populations. Cluster 1 formed an extensive interconnected network of accessibility-supported TF–target relationships, whereas cluster 6 contained a more restricted set of accessibility-coupled modules. We therefore additionally examined cluster 6 DEGs whose expression was not correlated with local chromatin accessibility, asking whether their expression instead covaried with candidate TFs whose motifs occurred within chromatin that remained accessible across individuals (</w:t>
      </w:r>
      <w:r w:rsidRPr="00F31C19">
        <w:rPr>
          <w:highlight w:val="yellow"/>
        </w:rPr>
        <w:t>Fig. xx</w:t>
      </w:r>
      <w:r>
        <w:t>).</w:t>
      </w:r>
    </w:p>
    <w:p w14:paraId="59454A4C" w14:textId="77777777" w:rsidR="00E46132" w:rsidRDefault="00E46132" w:rsidP="00076F6F">
      <w:pPr>
        <w:spacing w:after="0" w:line="240" w:lineRule="auto"/>
      </w:pPr>
    </w:p>
    <w:p w14:paraId="134D2B03" w14:textId="77777777" w:rsidR="00C81874" w:rsidRDefault="00F31C19" w:rsidP="00076F6F">
      <w:pPr>
        <w:spacing w:after="0" w:line="240" w:lineRule="auto"/>
      </w:pPr>
      <w:r w:rsidRPr="00F31C19">
        <w:t>This complementary analysis identified candidate regulators of several genes implicated in neuroendocrine control of reproduction that were not captured by the accessibility-coupled analysis (</w:t>
      </w:r>
      <w:r w:rsidRPr="00F31C19">
        <w:rPr>
          <w:highlight w:val="yellow"/>
        </w:rPr>
        <w:t>Fig. xx</w:t>
      </w:r>
      <w:r w:rsidRPr="00F31C19">
        <w:t xml:space="preserve">). </w:t>
      </w:r>
      <w:r w:rsidRPr="00F31C19">
        <w:rPr>
          <w:i/>
          <w:iCs/>
        </w:rPr>
        <w:t>drd3</w:t>
      </w:r>
      <w:r w:rsidRPr="00F31C19">
        <w:t xml:space="preserve">, which was late upregulated during sex change, was positively associated with </w:t>
      </w:r>
      <w:r w:rsidRPr="00F31C19">
        <w:rPr>
          <w:i/>
          <w:iCs/>
        </w:rPr>
        <w:t>fezf2</w:t>
      </w:r>
      <w:r w:rsidRPr="00F31C19">
        <w:t xml:space="preserve"> (r = 0.43, P = 0.045) and </w:t>
      </w:r>
      <w:r w:rsidRPr="00F31C19">
        <w:rPr>
          <w:i/>
          <w:iCs/>
        </w:rPr>
        <w:t>sox2</w:t>
      </w:r>
      <w:r w:rsidRPr="00F31C19">
        <w:t xml:space="preserve"> (r = 0.46, P = 0.029). </w:t>
      </w:r>
      <w:r w:rsidR="00C81874" w:rsidRPr="00C81874">
        <w:t xml:space="preserve">SOX2 regulates neural progenitor maintenance and developmental competence, including maintaining neuronal differentiation programs in a state permissive for later activation, whereas FEZF2 participates in the specification of differentiated neuronal phenotypes, including neuroendocrine cell types in the teleost hypothalamus. Their association with the </w:t>
      </w:r>
      <w:r w:rsidR="00C81874" w:rsidRPr="00C81874">
        <w:lastRenderedPageBreak/>
        <w:t>late increase in drd3 is therefore particularly interesting given our evidence that new cells are recruited and mature into this POA population during sex change.</w:t>
      </w:r>
      <w:r w:rsidR="00C81874">
        <w:t xml:space="preserve"> </w:t>
      </w:r>
    </w:p>
    <w:p w14:paraId="04FA0E44" w14:textId="77777777" w:rsidR="00E46132" w:rsidRDefault="00E46132" w:rsidP="00076F6F">
      <w:pPr>
        <w:spacing w:after="0" w:line="240" w:lineRule="auto"/>
      </w:pPr>
    </w:p>
    <w:p w14:paraId="094E9BD2" w14:textId="7D8817DE" w:rsidR="00C81874" w:rsidRDefault="00C81874" w:rsidP="00076F6F">
      <w:pPr>
        <w:spacing w:after="0" w:line="240" w:lineRule="auto"/>
      </w:pPr>
      <w:r w:rsidRPr="00C81874">
        <w:t xml:space="preserve">In addition to these candidate regulators of neuronal differentiation, the network identified a second set of TFs that could link changes in neuronal signaling to altered neuroendocrine gene expression. </w:t>
      </w:r>
      <w:proofErr w:type="gramStart"/>
      <w:r w:rsidRPr="00C81874">
        <w:t>Early-downregulated</w:t>
      </w:r>
      <w:proofErr w:type="gramEnd"/>
      <w:r w:rsidRPr="00C81874">
        <w:t xml:space="preserve"> </w:t>
      </w:r>
      <w:r w:rsidRPr="00C81874">
        <w:rPr>
          <w:i/>
          <w:iCs/>
        </w:rPr>
        <w:t>npy7r</w:t>
      </w:r>
      <w:r w:rsidRPr="00C81874">
        <w:t xml:space="preserve"> was positively associated with </w:t>
      </w:r>
      <w:r w:rsidRPr="00C81874">
        <w:rPr>
          <w:i/>
          <w:iCs/>
        </w:rPr>
        <w:t>egr1</w:t>
      </w:r>
      <w:r w:rsidRPr="00C81874">
        <w:t xml:space="preserve"> (</w:t>
      </w:r>
      <w:r w:rsidRPr="00C81874">
        <w:rPr>
          <w:i/>
          <w:iCs/>
        </w:rPr>
        <w:t>r</w:t>
      </w:r>
      <w:r w:rsidRPr="00C81874">
        <w:t xml:space="preserve"> = 0.53, P = 0.011) and negatively associated with </w:t>
      </w:r>
      <w:r w:rsidRPr="00C81874">
        <w:rPr>
          <w:i/>
          <w:iCs/>
        </w:rPr>
        <w:t>zbtb14</w:t>
      </w:r>
      <w:r w:rsidRPr="00C81874">
        <w:t xml:space="preserve"> (</w:t>
      </w:r>
      <w:r w:rsidRPr="00C81874">
        <w:rPr>
          <w:i/>
          <w:iCs/>
        </w:rPr>
        <w:t>r</w:t>
      </w:r>
      <w:r w:rsidRPr="00C81874">
        <w:t xml:space="preserve"> = −0.41, P = 0.056), while late-downregulated </w:t>
      </w:r>
      <w:r w:rsidRPr="00C81874">
        <w:rPr>
          <w:i/>
          <w:iCs/>
        </w:rPr>
        <w:t>tacr3a</w:t>
      </w:r>
      <w:r w:rsidRPr="00C81874">
        <w:t xml:space="preserve"> was positively associated with </w:t>
      </w:r>
      <w:r w:rsidRPr="00C81874">
        <w:rPr>
          <w:i/>
          <w:iCs/>
        </w:rPr>
        <w:t>elk1</w:t>
      </w:r>
      <w:r w:rsidRPr="00C81874">
        <w:t xml:space="preserve"> (</w:t>
      </w:r>
      <w:r w:rsidRPr="00C81874">
        <w:rPr>
          <w:i/>
          <w:iCs/>
        </w:rPr>
        <w:t>r</w:t>
      </w:r>
      <w:r w:rsidRPr="00C81874">
        <w:t xml:space="preserve"> = 0.49, P = 0.021). Particularly notable was EGR1 (Zif268</w:t>
      </w:r>
      <w:r w:rsidR="00B4498F">
        <w:t xml:space="preserve"> or Zenk</w:t>
      </w:r>
      <w:r w:rsidRPr="00C81874">
        <w:t xml:space="preserve">), an activity-dependent immediate-early transcription factor that can translate changes in neuronal activity into downstream transcriptional responses and is rapidly induced in the POA of </w:t>
      </w:r>
      <w:r w:rsidR="00B4498F">
        <w:t>cichlid fishes</w:t>
      </w:r>
      <w:r w:rsidRPr="00C81874">
        <w:t xml:space="preserve"> following a change in social status. ELK1 provides a complementary potential mechanism, as it is activated downstream of MAPK/ERK signaling and regulates stimulus-responsive and immediate-early transcription. Thus, EGR1 and ELK1 provide plausible molecular links through which changes in extracellular signaling or neuronal activity following a social cue could be converted into longer-lasting changes in neuroendocrine gene expression. In each case, the candidate TF motif occurred within accessible chromatin, but variation in accessibility was not significantly associated with variation in target-gene expression. These relationships therefore identify candidate TF-dependent mechanisms for regulating neuroendocrine genes during sex change and provide potential entry points for tracing how the physiological response to a change in the social environment is translated into remodeling of neuroendocrine cell state.</w:t>
      </w:r>
    </w:p>
    <w:p w14:paraId="4E1891B2" w14:textId="77777777" w:rsidR="00E46132" w:rsidRDefault="00E46132" w:rsidP="00076F6F">
      <w:pPr>
        <w:spacing w:after="0" w:line="240" w:lineRule="auto"/>
      </w:pPr>
    </w:p>
    <w:p w14:paraId="14EF8911" w14:textId="6A70ED5B" w:rsidR="00712899" w:rsidRDefault="00712899" w:rsidP="00076F6F">
      <w:pPr>
        <w:spacing w:after="0" w:line="240" w:lineRule="auto"/>
      </w:pPr>
      <w:r>
        <w:t xml:space="preserve">The more stringent accessibility-coupled component of the cluster 6 network prominently implicated steroid hormone signaling. </w:t>
      </w:r>
      <w:proofErr w:type="spellStart"/>
      <w:r w:rsidRPr="00F31C19">
        <w:rPr>
          <w:i/>
          <w:iCs/>
        </w:rPr>
        <w:t>pgr</w:t>
      </w:r>
      <w:proofErr w:type="spellEnd"/>
      <w:r w:rsidRPr="00F31C19">
        <w:rPr>
          <w:i/>
          <w:iCs/>
        </w:rPr>
        <w:t>,</w:t>
      </w:r>
      <w:r>
        <w:t xml:space="preserve"> which was itself transiently downregulated, was strongly positively associated with the transiently downregulated </w:t>
      </w:r>
      <w:r w:rsidRPr="00F31C19">
        <w:rPr>
          <w:i/>
          <w:iCs/>
        </w:rPr>
        <w:t>lrp8</w:t>
      </w:r>
      <w:r>
        <w:t xml:space="preserve"> (r = 0.66, P &lt; 0.001). </w:t>
      </w:r>
      <w:r w:rsidRPr="00F31C19">
        <w:rPr>
          <w:i/>
          <w:iCs/>
        </w:rPr>
        <w:t>esr2b</w:t>
      </w:r>
      <w:r>
        <w:t xml:space="preserve"> was also positively associated with</w:t>
      </w:r>
      <w:r w:rsidRPr="00F31C19">
        <w:rPr>
          <w:i/>
          <w:iCs/>
        </w:rPr>
        <w:t xml:space="preserve"> lrp8</w:t>
      </w:r>
      <w:r>
        <w:t xml:space="preserve"> (r = 0.41, P = 0.061), whereas </w:t>
      </w:r>
      <w:r w:rsidRPr="00F31C19">
        <w:rPr>
          <w:i/>
          <w:iCs/>
        </w:rPr>
        <w:t>sox14</w:t>
      </w:r>
      <w:r>
        <w:t xml:space="preserve"> was strongly negatively associated with </w:t>
      </w:r>
      <w:r w:rsidRPr="00F31C19">
        <w:rPr>
          <w:i/>
          <w:iCs/>
        </w:rPr>
        <w:t>lrp8</w:t>
      </w:r>
      <w:r>
        <w:t xml:space="preserve"> (r = −0.60, P = 0.003). Thus,</w:t>
      </w:r>
      <w:r w:rsidRPr="00F31C19">
        <w:rPr>
          <w:i/>
          <w:iCs/>
        </w:rPr>
        <w:t xml:space="preserve"> lrp8</w:t>
      </w:r>
      <w:r>
        <w:t xml:space="preserve"> emerged as a point of convergence among multiple candidate regulators, including positive steroid-receptor inputs and negative SOX14 regulation, with its expression additionally coupled to local chromatin accessibility. Because LRP8/ApoER2 mediates Reelin signaling involved in neuronal positioning, dendritic organization, and synaptic plasticity, regulation of </w:t>
      </w:r>
      <w:r w:rsidRPr="00F31C19">
        <w:rPr>
          <w:i/>
          <w:iCs/>
        </w:rPr>
        <w:t>lrp8</w:t>
      </w:r>
      <w:r>
        <w:t xml:space="preserve"> provides a potential mechanism linking steroid-responsive transcription and chromatin remodeling to structural and functional changes in these POA neurons during sex change.</w:t>
      </w:r>
      <w:r w:rsidRPr="003C2A6F">
        <w:t xml:space="preserve"> </w:t>
      </w:r>
    </w:p>
    <w:p w14:paraId="2119EDDD" w14:textId="2C8B99FB" w:rsidR="003C2A6F" w:rsidRDefault="003C2A6F" w:rsidP="00076F6F">
      <w:pPr>
        <w:spacing w:after="0" w:line="240" w:lineRule="auto"/>
      </w:pPr>
      <w:r w:rsidRPr="003C2A6F">
        <w:t>Cluster 1, corresponding to radial glia, revealed a more interconnected network organized around several candidate TF hubs (</w:t>
      </w:r>
      <w:r w:rsidRPr="003C2A6F">
        <w:rPr>
          <w:highlight w:val="yellow"/>
        </w:rPr>
        <w:t>Fig. xx</w:t>
      </w:r>
      <w:r w:rsidRPr="003C2A6F">
        <w:t xml:space="preserve">). </w:t>
      </w:r>
      <w:r w:rsidRPr="003C2A6F">
        <w:rPr>
          <w:i/>
          <w:iCs/>
        </w:rPr>
        <w:t>gli1</w:t>
      </w:r>
      <w:r w:rsidRPr="003C2A6F">
        <w:t xml:space="preserve"> occupied a central position and was associated with multiple accessibility-supported targets, including strong positive relationships with </w:t>
      </w:r>
      <w:r w:rsidRPr="003C2A6F">
        <w:rPr>
          <w:i/>
          <w:iCs/>
        </w:rPr>
        <w:t>il1rapl1a</w:t>
      </w:r>
      <w:r w:rsidRPr="003C2A6F">
        <w:t xml:space="preserve"> (r = 0.71), </w:t>
      </w:r>
      <w:r w:rsidRPr="003C2A6F">
        <w:rPr>
          <w:i/>
          <w:iCs/>
        </w:rPr>
        <w:t>tmtc2b</w:t>
      </w:r>
      <w:r w:rsidRPr="003C2A6F">
        <w:t xml:space="preserve"> (r = 0.76), and </w:t>
      </w:r>
      <w:r w:rsidRPr="003C2A6F">
        <w:rPr>
          <w:i/>
          <w:iCs/>
        </w:rPr>
        <w:t>ccdc85cb</w:t>
      </w:r>
      <w:r w:rsidRPr="003C2A6F">
        <w:t xml:space="preserve"> (r = 0.75). </w:t>
      </w:r>
      <w:r w:rsidRPr="003C2A6F">
        <w:rPr>
          <w:i/>
          <w:iCs/>
        </w:rPr>
        <w:t>gli1</w:t>
      </w:r>
      <w:r w:rsidRPr="003C2A6F">
        <w:t xml:space="preserve"> was itself an accessibility-supported target receiving candidate regulatory input from other TFs, while </w:t>
      </w:r>
      <w:r w:rsidRPr="003C2A6F">
        <w:rPr>
          <w:i/>
          <w:iCs/>
        </w:rPr>
        <w:t>zic3</w:t>
      </w:r>
      <w:r w:rsidRPr="003C2A6F">
        <w:t xml:space="preserve"> and other hubs converged with </w:t>
      </w:r>
      <w:r w:rsidRPr="003C2A6F">
        <w:rPr>
          <w:i/>
          <w:iCs/>
        </w:rPr>
        <w:t>gli1</w:t>
      </w:r>
      <w:r w:rsidRPr="003C2A6F">
        <w:t xml:space="preserve"> on shared downstream targets, suggesting a hierarchical and coordinated regulatory </w:t>
      </w:r>
      <w:r w:rsidR="00B4498F">
        <w:t>network</w:t>
      </w:r>
      <w:r w:rsidRPr="003C2A6F">
        <w:t>. Several GLI1-associated targets have functions potentially relevant to radial glia, including cell polarity and progenitor organization (</w:t>
      </w:r>
      <w:r w:rsidRPr="003A728D">
        <w:rPr>
          <w:i/>
          <w:iCs/>
        </w:rPr>
        <w:t>ccdc85cb</w:t>
      </w:r>
      <w:r w:rsidRPr="003C2A6F">
        <w:t>), ER Ca²</w:t>
      </w:r>
      <w:r w:rsidRPr="003C2A6F">
        <w:rPr>
          <w:rFonts w:ascii="Cambria Math" w:hAnsi="Cambria Math" w:cs="Cambria Math"/>
        </w:rPr>
        <w:t>⁺</w:t>
      </w:r>
      <w:r w:rsidRPr="003C2A6F">
        <w:t xml:space="preserve"> homeostasis (</w:t>
      </w:r>
      <w:r w:rsidRPr="003A728D">
        <w:rPr>
          <w:i/>
          <w:iCs/>
        </w:rPr>
        <w:t>tmtc2b</w:t>
      </w:r>
      <w:r w:rsidRPr="003C2A6F">
        <w:t xml:space="preserve">), and cell-surface adhesion and </w:t>
      </w:r>
      <w:r w:rsidRPr="003C2A6F">
        <w:lastRenderedPageBreak/>
        <w:t>signaling (</w:t>
      </w:r>
      <w:r w:rsidRPr="003A728D">
        <w:rPr>
          <w:i/>
          <w:iCs/>
        </w:rPr>
        <w:t>il1rapl1a</w:t>
      </w:r>
      <w:r w:rsidRPr="003C2A6F">
        <w:t>), although their specific functions in radial glia remain to be established.</w:t>
      </w:r>
    </w:p>
    <w:p w14:paraId="29239C5C" w14:textId="77777777" w:rsidR="00E46132" w:rsidRPr="003C2A6F" w:rsidRDefault="00E46132" w:rsidP="00076F6F">
      <w:pPr>
        <w:spacing w:after="0" w:line="240" w:lineRule="auto"/>
      </w:pPr>
    </w:p>
    <w:p w14:paraId="20E01B83" w14:textId="3A1D2ADA" w:rsidR="004D27F3" w:rsidRDefault="004D27F3" w:rsidP="00076F6F">
      <w:pPr>
        <w:spacing w:after="0" w:line="240" w:lineRule="auto"/>
      </w:pPr>
      <w:r>
        <w:t>A particularly coherent component of the cluster 1 network centered on</w:t>
      </w:r>
      <w:r>
        <w:rPr>
          <w:i/>
          <w:iCs/>
        </w:rPr>
        <w:t xml:space="preserve"> </w:t>
      </w:r>
      <w:r>
        <w:t xml:space="preserve">the TF UNCX. </w:t>
      </w:r>
      <w:proofErr w:type="spellStart"/>
      <w:r w:rsidRPr="004D27F3">
        <w:rPr>
          <w:i/>
          <w:iCs/>
        </w:rPr>
        <w:t>uncx</w:t>
      </w:r>
      <w:proofErr w:type="spellEnd"/>
      <w:r>
        <w:t xml:space="preserve"> was positively associated with </w:t>
      </w:r>
      <w:r w:rsidRPr="004D27F3">
        <w:rPr>
          <w:i/>
          <w:iCs/>
        </w:rPr>
        <w:t>znf710b</w:t>
      </w:r>
      <w:r>
        <w:t xml:space="preserve">, a zinc-finger TF that was transiently upregulated, and negatively associated with </w:t>
      </w:r>
      <w:r w:rsidRPr="004D27F3">
        <w:rPr>
          <w:i/>
          <w:iCs/>
        </w:rPr>
        <w:t>cyp19a1b</w:t>
      </w:r>
      <w:r>
        <w:t xml:space="preserve">, which encodes brain aromatase and was transiently downregulated. Thus, the directions of the inferred UNCX regulatory relationships closely matched the opposing transient </w:t>
      </w:r>
      <w:r w:rsidR="00696E76">
        <w:t xml:space="preserve">gene expression patterns </w:t>
      </w:r>
      <w:r>
        <w:t xml:space="preserve">of its two targets. Particularly notable was the identification of </w:t>
      </w:r>
      <w:r w:rsidRPr="004D27F3">
        <w:rPr>
          <w:i/>
          <w:iCs/>
        </w:rPr>
        <w:t>cyp19a1b</w:t>
      </w:r>
      <w:r>
        <w:t xml:space="preserve"> as an accessibility-supported UNCX target despite the stringent criteria required to establish a candidate regulatory relationship (</w:t>
      </w:r>
      <w:r w:rsidRPr="00B4498F">
        <w:rPr>
          <w:i/>
          <w:iCs/>
        </w:rPr>
        <w:t>r</w:t>
      </w:r>
      <w:r>
        <w:t xml:space="preserve"> = −0.47, P = 0.026). This identifies UNCX as a candidate regulator of the transient reduction in brain aromatase expression during sex change, while its positive relationship with </w:t>
      </w:r>
      <w:r w:rsidRPr="004D27F3">
        <w:rPr>
          <w:i/>
          <w:iCs/>
        </w:rPr>
        <w:t>znf710b</w:t>
      </w:r>
      <w:r>
        <w:t xml:space="preserve"> suggests that the same regulatory program may simultaneously activate another transcriptional regulator. Determining the upstream mechanisms controlling </w:t>
      </w:r>
      <w:proofErr w:type="spellStart"/>
      <w:r w:rsidRPr="004D27F3">
        <w:rPr>
          <w:i/>
          <w:iCs/>
        </w:rPr>
        <w:t>uncx</w:t>
      </w:r>
      <w:proofErr w:type="spellEnd"/>
      <w:r w:rsidRPr="004D27F3">
        <w:rPr>
          <w:i/>
          <w:iCs/>
        </w:rPr>
        <w:t xml:space="preserve"> </w:t>
      </w:r>
      <w:r>
        <w:t>could therefore provide an entry point for identifying the regulatory cascade that drives this transient radial-glial state.</w:t>
      </w:r>
    </w:p>
    <w:p w14:paraId="62964BD5" w14:textId="77777777" w:rsidR="00E46132" w:rsidRDefault="00E46132" w:rsidP="00076F6F">
      <w:pPr>
        <w:spacing w:after="0" w:line="240" w:lineRule="auto"/>
      </w:pPr>
    </w:p>
    <w:p w14:paraId="0CCE8847" w14:textId="7D1D8783" w:rsidR="004D27F3" w:rsidRDefault="004D27F3" w:rsidP="00076F6F">
      <w:pPr>
        <w:spacing w:after="0" w:line="240" w:lineRule="auto"/>
      </w:pPr>
      <w:r>
        <w:t xml:space="preserve">The candidate regulation of </w:t>
      </w:r>
      <w:r w:rsidRPr="004D27F3">
        <w:rPr>
          <w:i/>
          <w:iCs/>
        </w:rPr>
        <w:t>cyp19a1b</w:t>
      </w:r>
      <w:r>
        <w:t xml:space="preserve"> is particularly significant because </w:t>
      </w:r>
      <w:r w:rsidR="00076F6F">
        <w:t>it</w:t>
      </w:r>
      <w:r>
        <w:t xml:space="preserve"> provides a potential functional connection between the two networks: while the cluster 1 network identifies a candidate pathway regulating local estradiol production, </w:t>
      </w:r>
      <w:r w:rsidRPr="004D27F3">
        <w:rPr>
          <w:i/>
          <w:iCs/>
        </w:rPr>
        <w:t>esr2b</w:t>
      </w:r>
      <w:r>
        <w:t xml:space="preserve"> emerged as a prominent candidate regulator in cluster 6 neurosecretory neurons. Together, these results raise the possibility that regulation of aromatase in radial glia and estrogen-responsive transcription in neighboring neuronal populations represent coordinated components of the transcriptional remodeling associated with sex change.</w:t>
      </w:r>
    </w:p>
    <w:p w14:paraId="6B42FDC5" w14:textId="77777777" w:rsidR="004D27F3" w:rsidRDefault="004D27F3" w:rsidP="00076F6F">
      <w:pPr>
        <w:spacing w:after="0" w:line="240" w:lineRule="auto"/>
      </w:pPr>
    </w:p>
    <w:p w14:paraId="66A8C2C8" w14:textId="59694C0A" w:rsidR="00076F6F" w:rsidRPr="00076F6F" w:rsidRDefault="00076F6F" w:rsidP="00076F6F">
      <w:pPr>
        <w:spacing w:after="0" w:line="240" w:lineRule="auto"/>
        <w:rPr>
          <w:b/>
          <w:bCs/>
        </w:rPr>
      </w:pPr>
      <w:r w:rsidRPr="00076F6F">
        <w:rPr>
          <w:b/>
          <w:bCs/>
        </w:rPr>
        <w:t xml:space="preserve">Figure </w:t>
      </w:r>
      <w:r w:rsidR="00E46132">
        <w:rPr>
          <w:b/>
          <w:bCs/>
        </w:rPr>
        <w:t>xx</w:t>
      </w:r>
      <w:r w:rsidRPr="00076F6F">
        <w:rPr>
          <w:b/>
          <w:bCs/>
        </w:rPr>
        <w:t>. Accessibility-coupled transcriptional regulatory network in radial glia during sex change.</w:t>
      </w:r>
      <w:r>
        <w:rPr>
          <w:b/>
          <w:bCs/>
        </w:rPr>
        <w:t xml:space="preserve"> </w:t>
      </w:r>
      <w:r w:rsidRPr="00076F6F">
        <w:t>The network was constructed from accessibility-supported target genes and their candidate transcriptional regulators. Rectangles represent transcription factors (TFs) and ovals represent target genes. Node color indicates the pattern and direction of differential expression across males (M), intermediates (I), and females (F), distinguishing early, late, progressive, and transient changes and whether expression was up- or downregulated. Genes that were not differentially expressed are shown in gray. Solid arrows indicate candidate TF–target regulatory relationships in which the TF motif was present within an associated chromatin region, accessibility of the associated region was significantly correlated with target-gene expression, the TF was detected in ≥50% of individuals, and TF and target-gene expression were correlated across individuals (|r| ≥ 0.40, P ≤ 0.10). TFs could themselves serve as target genes, allowing potential regulatory hierarchies to emerge within the network. Dotted lines indicate strong co-expression relationships between genes already represented in the network (|r| ≥ 0.60, P ≤ 0.05). Blue and red edges indicate positive and negative correlations, respectively, and edge thickness is proportional to the absolute magnitude of the correlation (|r|).</w:t>
      </w:r>
    </w:p>
    <w:p w14:paraId="7345582E" w14:textId="77777777" w:rsidR="00076F6F" w:rsidRPr="00076F6F" w:rsidRDefault="00076F6F" w:rsidP="00076F6F">
      <w:pPr>
        <w:spacing w:after="0" w:line="240" w:lineRule="auto"/>
        <w:rPr>
          <w:b/>
          <w:bCs/>
        </w:rPr>
      </w:pPr>
    </w:p>
    <w:p w14:paraId="1190FC79" w14:textId="256DCEAC" w:rsidR="000208C3" w:rsidRPr="00076F6F" w:rsidRDefault="00076F6F" w:rsidP="00076F6F">
      <w:pPr>
        <w:spacing w:after="0" w:line="240" w:lineRule="auto"/>
        <w:rPr>
          <w:b/>
          <w:bCs/>
        </w:rPr>
      </w:pPr>
      <w:r w:rsidRPr="00076F6F">
        <w:rPr>
          <w:b/>
          <w:bCs/>
        </w:rPr>
        <w:t xml:space="preserve">Figure </w:t>
      </w:r>
      <w:r w:rsidR="00E46132">
        <w:rPr>
          <w:b/>
          <w:bCs/>
        </w:rPr>
        <w:t>xx</w:t>
      </w:r>
      <w:r w:rsidRPr="00076F6F">
        <w:rPr>
          <w:b/>
          <w:bCs/>
        </w:rPr>
        <w:t>. Combined transcriptional regulatory network in POA neurosecretory neurons during sex change.</w:t>
      </w:r>
      <w:r>
        <w:rPr>
          <w:b/>
          <w:bCs/>
        </w:rPr>
        <w:t xml:space="preserve"> </w:t>
      </w:r>
      <w:r w:rsidRPr="00076F6F">
        <w:t xml:space="preserve">Candidate transcription factor regulatory network for cluster </w:t>
      </w:r>
      <w:r w:rsidRPr="00076F6F">
        <w:lastRenderedPageBreak/>
        <w:t>6 preoptic area (POA) neurosecretory neurons. The network integrates two classes of candidate regulatory relationships identified by complementary analyses of chromatin accessibility and TF–target expression. Rectangles represent transcription factors (TFs) and ovals represent target genes. Node color indicates the pattern and direction of differential expression across males (M), intermediates (I), and females (F), distinguishing early, late, progressive, and transient changes and whether expression was up- or downregulated. Genes that were not differentially expressed are shown in gray. Solid arrows indicate accessibility-coupled relationships, in which the candidate TF motif was present within an associated chromatin region, accessibility of the associated region was significantly correlated with target-gene expression, and TF and target-gene expression were correlated across individuals. Dashed arrows indicate TF-associated relationships on accessible chromatin, in which the candidate TF motif occurred within a region accessible in ≥50% of individuals and TF expression was correlated with target-gene expression, but accessibility itself was not significantly correlated with target-gene expression. For both classes, candidate TFs were detected in ≥50% of individuals and TF–target expression correlations met |</w:t>
      </w:r>
      <w:r w:rsidRPr="00076F6F">
        <w:rPr>
          <w:i/>
          <w:iCs/>
        </w:rPr>
        <w:t>r</w:t>
      </w:r>
      <w:r w:rsidRPr="00076F6F">
        <w:t>| ≥ 0.40 and P ≤ 0.10. Blue and red arrows indicate positive and negative TF–target correlations, respectively, and edge thickness is proportional to |</w:t>
      </w:r>
      <w:r w:rsidRPr="00076F6F">
        <w:rPr>
          <w:i/>
          <w:iCs/>
        </w:rPr>
        <w:t>r</w:t>
      </w:r>
      <w:r w:rsidRPr="00076F6F">
        <w:t>|. The displayed network is focused on neuroendocrine genes implicated in regulation of the reproductive axis and their connected candidate regulators and targets.</w:t>
      </w:r>
    </w:p>
    <w:p w14:paraId="5C73412D" w14:textId="77777777" w:rsidR="00076F6F" w:rsidRPr="00076F6F" w:rsidRDefault="00076F6F">
      <w:pPr>
        <w:spacing w:after="0" w:line="240" w:lineRule="auto"/>
      </w:pPr>
    </w:p>
    <w:sectPr w:rsidR="00076F6F" w:rsidRPr="00076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7B1"/>
    <w:rsid w:val="000208C3"/>
    <w:rsid w:val="00076F6F"/>
    <w:rsid w:val="000839C7"/>
    <w:rsid w:val="0009625A"/>
    <w:rsid w:val="000F1827"/>
    <w:rsid w:val="00100AE5"/>
    <w:rsid w:val="0010171C"/>
    <w:rsid w:val="003A728D"/>
    <w:rsid w:val="003C2A6F"/>
    <w:rsid w:val="0042579E"/>
    <w:rsid w:val="00464399"/>
    <w:rsid w:val="00467D99"/>
    <w:rsid w:val="0049206E"/>
    <w:rsid w:val="004D27F3"/>
    <w:rsid w:val="00592AD8"/>
    <w:rsid w:val="0061716E"/>
    <w:rsid w:val="006228DE"/>
    <w:rsid w:val="006367B1"/>
    <w:rsid w:val="00696E76"/>
    <w:rsid w:val="00712899"/>
    <w:rsid w:val="00755838"/>
    <w:rsid w:val="007663FF"/>
    <w:rsid w:val="007C7C91"/>
    <w:rsid w:val="008239B8"/>
    <w:rsid w:val="008B6793"/>
    <w:rsid w:val="008D09A3"/>
    <w:rsid w:val="00911C12"/>
    <w:rsid w:val="009928EB"/>
    <w:rsid w:val="00A1032D"/>
    <w:rsid w:val="00AF66BE"/>
    <w:rsid w:val="00B4498F"/>
    <w:rsid w:val="00BD17A8"/>
    <w:rsid w:val="00C81874"/>
    <w:rsid w:val="00CC20F9"/>
    <w:rsid w:val="00D7494A"/>
    <w:rsid w:val="00E1675B"/>
    <w:rsid w:val="00E20C37"/>
    <w:rsid w:val="00E46132"/>
    <w:rsid w:val="00E72B64"/>
    <w:rsid w:val="00E917A8"/>
    <w:rsid w:val="00F31C19"/>
    <w:rsid w:val="00FB6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C076"/>
  <w15:chartTrackingRefBased/>
  <w15:docId w15:val="{9AAF2F58-8604-457B-958A-BE7566494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7B1"/>
    <w:rPr>
      <w:rFonts w:eastAsiaTheme="majorEastAsia" w:cstheme="majorBidi"/>
      <w:color w:val="272727" w:themeColor="text1" w:themeTint="D8"/>
    </w:rPr>
  </w:style>
  <w:style w:type="paragraph" w:styleId="Title">
    <w:name w:val="Title"/>
    <w:basedOn w:val="Normal"/>
    <w:next w:val="Normal"/>
    <w:link w:val="TitleChar"/>
    <w:uiPriority w:val="10"/>
    <w:qFormat/>
    <w:rsid w:val="00636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7B1"/>
    <w:pPr>
      <w:spacing w:before="160"/>
      <w:jc w:val="center"/>
    </w:pPr>
    <w:rPr>
      <w:i/>
      <w:iCs/>
      <w:color w:val="404040" w:themeColor="text1" w:themeTint="BF"/>
    </w:rPr>
  </w:style>
  <w:style w:type="character" w:customStyle="1" w:styleId="QuoteChar">
    <w:name w:val="Quote Char"/>
    <w:basedOn w:val="DefaultParagraphFont"/>
    <w:link w:val="Quote"/>
    <w:uiPriority w:val="29"/>
    <w:rsid w:val="006367B1"/>
    <w:rPr>
      <w:i/>
      <w:iCs/>
      <w:color w:val="404040" w:themeColor="text1" w:themeTint="BF"/>
    </w:rPr>
  </w:style>
  <w:style w:type="paragraph" w:styleId="ListParagraph">
    <w:name w:val="List Paragraph"/>
    <w:basedOn w:val="Normal"/>
    <w:uiPriority w:val="34"/>
    <w:qFormat/>
    <w:rsid w:val="006367B1"/>
    <w:pPr>
      <w:ind w:left="720"/>
      <w:contextualSpacing/>
    </w:pPr>
  </w:style>
  <w:style w:type="character" w:styleId="IntenseEmphasis">
    <w:name w:val="Intense Emphasis"/>
    <w:basedOn w:val="DefaultParagraphFont"/>
    <w:uiPriority w:val="21"/>
    <w:qFormat/>
    <w:rsid w:val="006367B1"/>
    <w:rPr>
      <w:i/>
      <w:iCs/>
      <w:color w:val="0F4761" w:themeColor="accent1" w:themeShade="BF"/>
    </w:rPr>
  </w:style>
  <w:style w:type="paragraph" w:styleId="IntenseQuote">
    <w:name w:val="Intense Quote"/>
    <w:basedOn w:val="Normal"/>
    <w:next w:val="Normal"/>
    <w:link w:val="IntenseQuoteChar"/>
    <w:uiPriority w:val="30"/>
    <w:qFormat/>
    <w:rsid w:val="00636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7B1"/>
    <w:rPr>
      <w:i/>
      <w:iCs/>
      <w:color w:val="0F4761" w:themeColor="accent1" w:themeShade="BF"/>
    </w:rPr>
  </w:style>
  <w:style w:type="character" w:styleId="IntenseReference">
    <w:name w:val="Intense Reference"/>
    <w:basedOn w:val="DefaultParagraphFont"/>
    <w:uiPriority w:val="32"/>
    <w:qFormat/>
    <w:rsid w:val="006367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3140</Words>
  <Characters>15293</Characters>
  <Application>Microsoft Office Word</Application>
  <DocSecurity>0</DocSecurity>
  <Lines>493</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Rhodes, Justin S</dc:creator>
  <cp:keywords/>
  <dc:description/>
  <cp:lastModifiedBy>Rhodes, Justin S</cp:lastModifiedBy>
  <cp:revision>2</cp:revision>
  <dcterms:created xsi:type="dcterms:W3CDTF">2026-08-15T14:41:00Z</dcterms:created>
  <dcterms:modified xsi:type="dcterms:W3CDTF">2026-08-15T14:41:00Z</dcterms:modified>
</cp:coreProperties>
</file>