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B2DC33" w14:textId="77777777" w:rsidR="00B278B6" w:rsidRPr="007A682B" w:rsidRDefault="00B278B6" w:rsidP="00B278B6">
      <w:pPr>
        <w:rPr>
          <w:rFonts w:ascii="Arial" w:hAnsi="Arial" w:cs="Arial"/>
          <w:b/>
          <w:sz w:val="28"/>
          <w:szCs w:val="28"/>
        </w:rPr>
      </w:pPr>
      <w:r w:rsidRPr="007A682B">
        <w:rPr>
          <w:rFonts w:ascii="Arial" w:hAnsi="Arial" w:cs="Arial"/>
          <w:b/>
          <w:sz w:val="28"/>
          <w:szCs w:val="28"/>
        </w:rPr>
        <w:t>Main Manuscript for</w:t>
      </w:r>
    </w:p>
    <w:p w14:paraId="47C3FD1F" w14:textId="4F5B6FD9" w:rsidR="00013D8B" w:rsidRPr="007A682B" w:rsidRDefault="00AE16ED" w:rsidP="004816FA">
      <w:pPr>
        <w:rPr>
          <w:rFonts w:ascii="Arial" w:hAnsi="Arial" w:cs="Arial"/>
          <w:sz w:val="20"/>
          <w:szCs w:val="20"/>
        </w:rPr>
      </w:pPr>
      <w:r w:rsidRPr="007A682B">
        <w:rPr>
          <w:rFonts w:ascii="Arial" w:hAnsi="Arial" w:cs="Arial"/>
          <w:sz w:val="28"/>
          <w:szCs w:val="28"/>
        </w:rPr>
        <w:t>Coordinated remodeling of Radial Glial Cells and Preoptic Area Neurons</w:t>
      </w:r>
      <w:r w:rsidR="00943A57" w:rsidRPr="007A682B">
        <w:rPr>
          <w:rFonts w:ascii="Arial" w:hAnsi="Arial" w:cs="Arial"/>
          <w:sz w:val="28"/>
          <w:szCs w:val="28"/>
        </w:rPr>
        <w:t xml:space="preserve"> Drive</w:t>
      </w:r>
      <w:r w:rsidRPr="007A682B">
        <w:rPr>
          <w:rFonts w:ascii="Arial" w:hAnsi="Arial" w:cs="Arial"/>
          <w:sz w:val="28"/>
          <w:szCs w:val="28"/>
        </w:rPr>
        <w:t xml:space="preserve"> Protandrous Sex Change</w:t>
      </w:r>
    </w:p>
    <w:p w14:paraId="677098E3" w14:textId="30EFBD56" w:rsidR="006112BF" w:rsidRPr="007A682B" w:rsidRDefault="004816FA" w:rsidP="004816FA">
      <w:pPr>
        <w:rPr>
          <w:rFonts w:ascii="Arial" w:hAnsi="Arial" w:cs="Arial"/>
          <w:sz w:val="20"/>
          <w:szCs w:val="20"/>
          <w:vertAlign w:val="superscript"/>
        </w:rPr>
      </w:pPr>
      <w:r w:rsidRPr="007A682B">
        <w:rPr>
          <w:rFonts w:ascii="Arial" w:hAnsi="Arial" w:cs="Arial"/>
          <w:sz w:val="20"/>
          <w:szCs w:val="20"/>
        </w:rPr>
        <w:t>Gabriel J. Graham</w:t>
      </w:r>
      <w:r w:rsidRPr="007A682B">
        <w:rPr>
          <w:rFonts w:ascii="Arial" w:hAnsi="Arial" w:cs="Arial"/>
          <w:sz w:val="20"/>
          <w:szCs w:val="20"/>
          <w:vertAlign w:val="superscript"/>
        </w:rPr>
        <w:t>1</w:t>
      </w:r>
      <w:r w:rsidRPr="007A682B">
        <w:rPr>
          <w:rFonts w:ascii="Arial" w:hAnsi="Arial" w:cs="Arial"/>
          <w:sz w:val="20"/>
          <w:szCs w:val="20"/>
        </w:rPr>
        <w:t>, Kathryn E. Leatherbury</w:t>
      </w:r>
      <w:r w:rsidR="00CB445F" w:rsidRPr="007A682B">
        <w:rPr>
          <w:rFonts w:ascii="Arial" w:hAnsi="Arial" w:cs="Arial"/>
          <w:sz w:val="20"/>
          <w:szCs w:val="20"/>
          <w:vertAlign w:val="superscript"/>
        </w:rPr>
        <w:t>2</w:t>
      </w:r>
      <w:r w:rsidRPr="007A682B">
        <w:rPr>
          <w:rFonts w:ascii="Arial" w:hAnsi="Arial" w:cs="Arial"/>
          <w:sz w:val="20"/>
          <w:szCs w:val="20"/>
        </w:rPr>
        <w:t>, Yash Deswal</w:t>
      </w:r>
      <w:r w:rsidR="00CB445F" w:rsidRPr="007A682B">
        <w:rPr>
          <w:rFonts w:ascii="Arial" w:hAnsi="Arial" w:cs="Arial"/>
          <w:sz w:val="20"/>
          <w:szCs w:val="20"/>
          <w:vertAlign w:val="superscript"/>
        </w:rPr>
        <w:t>3</w:t>
      </w:r>
      <w:r w:rsidRPr="007A682B">
        <w:rPr>
          <w:rFonts w:ascii="Arial" w:hAnsi="Arial" w:cs="Arial"/>
          <w:sz w:val="20"/>
          <w:szCs w:val="20"/>
        </w:rPr>
        <w:t>, Emma M. Ibanez</w:t>
      </w:r>
      <w:r w:rsidR="00725FD3" w:rsidRPr="007A682B">
        <w:rPr>
          <w:rFonts w:ascii="Arial" w:hAnsi="Arial" w:cs="Arial"/>
          <w:sz w:val="20"/>
          <w:szCs w:val="20"/>
          <w:vertAlign w:val="superscript"/>
        </w:rPr>
        <w:t>4</w:t>
      </w:r>
      <w:r w:rsidRPr="007A682B">
        <w:rPr>
          <w:rFonts w:ascii="Arial" w:hAnsi="Arial" w:cs="Arial"/>
          <w:sz w:val="20"/>
          <w:szCs w:val="20"/>
        </w:rPr>
        <w:t>, Meghan G. Connolly</w:t>
      </w:r>
      <w:r w:rsidR="00725FD3" w:rsidRPr="007A682B">
        <w:rPr>
          <w:rFonts w:ascii="Arial" w:hAnsi="Arial" w:cs="Arial"/>
          <w:sz w:val="20"/>
          <w:szCs w:val="20"/>
          <w:vertAlign w:val="superscript"/>
        </w:rPr>
        <w:t>5</w:t>
      </w:r>
      <w:r w:rsidRPr="007A682B">
        <w:rPr>
          <w:rFonts w:ascii="Arial" w:hAnsi="Arial" w:cs="Arial"/>
          <w:sz w:val="20"/>
          <w:szCs w:val="20"/>
        </w:rPr>
        <w:t>, Coltan G. Parker</w:t>
      </w:r>
      <w:r w:rsidR="00725FD3" w:rsidRPr="007A682B">
        <w:rPr>
          <w:rFonts w:ascii="Arial" w:hAnsi="Arial" w:cs="Arial"/>
          <w:sz w:val="20"/>
          <w:szCs w:val="20"/>
          <w:vertAlign w:val="superscript"/>
        </w:rPr>
        <w:t>6</w:t>
      </w:r>
      <w:r w:rsidRPr="007A682B">
        <w:rPr>
          <w:rFonts w:ascii="Arial" w:hAnsi="Arial" w:cs="Arial"/>
          <w:sz w:val="20"/>
          <w:szCs w:val="20"/>
        </w:rPr>
        <w:t>, Zachary V. Johnson</w:t>
      </w:r>
      <w:r w:rsidR="00725FD3" w:rsidRPr="007A682B">
        <w:rPr>
          <w:rFonts w:ascii="Arial" w:hAnsi="Arial" w:cs="Arial"/>
          <w:sz w:val="20"/>
          <w:szCs w:val="20"/>
          <w:vertAlign w:val="superscript"/>
        </w:rPr>
        <w:t>7</w:t>
      </w:r>
      <w:r w:rsidRPr="007A682B">
        <w:rPr>
          <w:rFonts w:ascii="Arial" w:hAnsi="Arial" w:cs="Arial"/>
          <w:sz w:val="20"/>
          <w:szCs w:val="20"/>
        </w:rPr>
        <w:t>, Jeffrey T. Streelman</w:t>
      </w:r>
      <w:r w:rsidR="00725FD3" w:rsidRPr="007A682B">
        <w:rPr>
          <w:rFonts w:ascii="Arial" w:hAnsi="Arial" w:cs="Arial"/>
          <w:sz w:val="20"/>
          <w:szCs w:val="20"/>
          <w:vertAlign w:val="superscript"/>
        </w:rPr>
        <w:t>2</w:t>
      </w:r>
      <w:r w:rsidRPr="007A682B">
        <w:rPr>
          <w:rFonts w:ascii="Arial" w:hAnsi="Arial" w:cs="Arial"/>
          <w:sz w:val="20"/>
          <w:szCs w:val="20"/>
        </w:rPr>
        <w:t>, Justin S. Rhodes</w:t>
      </w:r>
      <w:r w:rsidR="00725FD3" w:rsidRPr="007A682B">
        <w:rPr>
          <w:rFonts w:ascii="Arial" w:hAnsi="Arial" w:cs="Arial"/>
          <w:sz w:val="20"/>
          <w:szCs w:val="20"/>
          <w:vertAlign w:val="superscript"/>
        </w:rPr>
        <w:t>3</w:t>
      </w:r>
    </w:p>
    <w:p w14:paraId="25E24BA8" w14:textId="77777777" w:rsidR="006112BF" w:rsidRPr="007A682B" w:rsidRDefault="006112BF" w:rsidP="004816FA">
      <w:pPr>
        <w:rPr>
          <w:rFonts w:ascii="Arial" w:hAnsi="Arial" w:cs="Arial"/>
          <w:sz w:val="20"/>
          <w:szCs w:val="20"/>
          <w:vertAlign w:val="superscript"/>
        </w:rPr>
      </w:pPr>
    </w:p>
    <w:p w14:paraId="6840D396" w14:textId="77777777" w:rsidR="006537FF" w:rsidRPr="007A682B" w:rsidRDefault="006112BF">
      <w:pPr>
        <w:rPr>
          <w:rFonts w:ascii="Arial" w:hAnsi="Arial" w:cs="Arial"/>
          <w:sz w:val="20"/>
          <w:szCs w:val="20"/>
        </w:rPr>
      </w:pPr>
      <w:r w:rsidRPr="007A682B">
        <w:rPr>
          <w:rFonts w:ascii="Arial" w:hAnsi="Arial" w:cs="Arial"/>
          <w:sz w:val="20"/>
          <w:szCs w:val="20"/>
          <w:vertAlign w:val="superscript"/>
        </w:rPr>
        <w:t>1</w:t>
      </w:r>
      <w:r w:rsidRPr="007A682B">
        <w:rPr>
          <w:rFonts w:ascii="Arial" w:hAnsi="Arial" w:cs="Arial"/>
          <w:sz w:val="20"/>
          <w:szCs w:val="20"/>
        </w:rPr>
        <w:t xml:space="preserve"> </w:t>
      </w:r>
      <w:r w:rsidR="006537FF" w:rsidRPr="007A682B">
        <w:rPr>
          <w:rFonts w:ascii="Arial" w:hAnsi="Arial" w:cs="Arial"/>
          <w:sz w:val="20"/>
          <w:szCs w:val="20"/>
        </w:rPr>
        <w:t xml:space="preserve">Mortimer B. Zuckerman Mind, Brain, and Behavior Institute, Columbia University, New York, NY, 10027, United States of America </w:t>
      </w:r>
    </w:p>
    <w:p w14:paraId="27F84D17" w14:textId="0F05E934" w:rsidR="006537FF" w:rsidRPr="007A682B" w:rsidRDefault="006537FF" w:rsidP="006537FF">
      <w:pPr>
        <w:rPr>
          <w:rFonts w:ascii="Arial" w:hAnsi="Arial" w:cs="Arial"/>
          <w:sz w:val="20"/>
          <w:szCs w:val="20"/>
          <w:vertAlign w:val="superscript"/>
        </w:rPr>
      </w:pPr>
      <w:r w:rsidRPr="007A682B">
        <w:rPr>
          <w:rFonts w:ascii="Arial" w:hAnsi="Arial" w:cs="Arial"/>
          <w:sz w:val="20"/>
          <w:szCs w:val="20"/>
          <w:vertAlign w:val="superscript"/>
        </w:rPr>
        <w:t xml:space="preserve">2 </w:t>
      </w:r>
      <w:r w:rsidR="00AA2D9D" w:rsidRPr="007A682B">
        <w:rPr>
          <w:rFonts w:ascii="Arial" w:hAnsi="Arial" w:cs="Arial"/>
          <w:sz w:val="20"/>
          <w:szCs w:val="20"/>
        </w:rPr>
        <w:t>School of Biological Sciences, Georgia Institute of Technology, Atlanta, GA, 30332, USA</w:t>
      </w:r>
    </w:p>
    <w:p w14:paraId="400F7F98" w14:textId="05C95C5D" w:rsidR="006537FF" w:rsidRPr="007A682B" w:rsidRDefault="006537FF" w:rsidP="006537FF">
      <w:pPr>
        <w:rPr>
          <w:rFonts w:ascii="Arial" w:hAnsi="Arial" w:cs="Arial"/>
          <w:sz w:val="20"/>
          <w:szCs w:val="20"/>
        </w:rPr>
      </w:pPr>
      <w:r w:rsidRPr="007A682B">
        <w:rPr>
          <w:rFonts w:ascii="Arial" w:hAnsi="Arial" w:cs="Arial"/>
          <w:sz w:val="20"/>
          <w:szCs w:val="20"/>
          <w:vertAlign w:val="superscript"/>
        </w:rPr>
        <w:t>3</w:t>
      </w:r>
      <w:r w:rsidR="00AA2D9D" w:rsidRPr="007A682B">
        <w:rPr>
          <w:rFonts w:ascii="Arial" w:hAnsi="Arial" w:cs="Arial"/>
          <w:sz w:val="20"/>
          <w:szCs w:val="20"/>
        </w:rPr>
        <w:t xml:space="preserve"> Department of Psychology, University of Illinois at Urbana-Champaign, Urbana, IL 61801, USA</w:t>
      </w:r>
    </w:p>
    <w:p w14:paraId="2DA00076" w14:textId="39C422B5" w:rsidR="006537FF" w:rsidRPr="007A682B" w:rsidRDefault="006537FF" w:rsidP="006537FF">
      <w:pPr>
        <w:rPr>
          <w:rFonts w:ascii="Arial" w:hAnsi="Arial" w:cs="Arial"/>
          <w:sz w:val="20"/>
          <w:szCs w:val="20"/>
        </w:rPr>
      </w:pPr>
      <w:r w:rsidRPr="007A682B">
        <w:rPr>
          <w:rFonts w:ascii="Arial" w:hAnsi="Arial" w:cs="Arial"/>
          <w:sz w:val="20"/>
          <w:szCs w:val="20"/>
          <w:vertAlign w:val="superscript"/>
        </w:rPr>
        <w:t>4</w:t>
      </w:r>
      <w:r w:rsidR="00AA2D9D" w:rsidRPr="007A682B">
        <w:rPr>
          <w:rFonts w:ascii="Arial" w:hAnsi="Arial" w:cs="Arial"/>
          <w:sz w:val="20"/>
          <w:szCs w:val="20"/>
        </w:rPr>
        <w:t xml:space="preserve"> Department of Biology, MIT, Cambridge, MA 02139, USA</w:t>
      </w:r>
    </w:p>
    <w:p w14:paraId="7AC39591" w14:textId="5A79CB78" w:rsidR="006537FF" w:rsidRPr="007A682B" w:rsidRDefault="006537FF" w:rsidP="006537FF">
      <w:pPr>
        <w:rPr>
          <w:rFonts w:ascii="Arial" w:hAnsi="Arial" w:cs="Arial"/>
          <w:sz w:val="20"/>
          <w:szCs w:val="20"/>
          <w:vertAlign w:val="superscript"/>
        </w:rPr>
      </w:pPr>
      <w:r w:rsidRPr="007A682B">
        <w:rPr>
          <w:rFonts w:ascii="Arial" w:hAnsi="Arial" w:cs="Arial"/>
          <w:sz w:val="20"/>
          <w:szCs w:val="20"/>
          <w:vertAlign w:val="superscript"/>
        </w:rPr>
        <w:t>5</w:t>
      </w:r>
      <w:r w:rsidR="001770F5" w:rsidRPr="007A682B">
        <w:rPr>
          <w:rFonts w:ascii="Arial" w:hAnsi="Arial" w:cs="Arial"/>
          <w:sz w:val="20"/>
          <w:szCs w:val="20"/>
        </w:rPr>
        <w:t xml:space="preserve"> Department of Chemistry, University of Alberta, Edmonton, Alberta, Canada</w:t>
      </w:r>
    </w:p>
    <w:p w14:paraId="5D5ED9A6" w14:textId="755EC211" w:rsidR="006537FF" w:rsidRPr="007A682B" w:rsidRDefault="006537FF" w:rsidP="006537FF">
      <w:pPr>
        <w:rPr>
          <w:rFonts w:ascii="Arial" w:hAnsi="Arial" w:cs="Arial"/>
          <w:sz w:val="20"/>
          <w:szCs w:val="20"/>
        </w:rPr>
      </w:pPr>
      <w:r w:rsidRPr="007A682B">
        <w:rPr>
          <w:rFonts w:ascii="Arial" w:hAnsi="Arial" w:cs="Arial"/>
          <w:sz w:val="20"/>
          <w:szCs w:val="20"/>
          <w:highlight w:val="yellow"/>
          <w:vertAlign w:val="superscript"/>
        </w:rPr>
        <w:t>6</w:t>
      </w:r>
      <w:r w:rsidR="00AA2D9D" w:rsidRPr="007A682B">
        <w:rPr>
          <w:rFonts w:ascii="Arial" w:hAnsi="Arial" w:cs="Arial"/>
          <w:sz w:val="20"/>
          <w:szCs w:val="20"/>
          <w:highlight w:val="yellow"/>
          <w:vertAlign w:val="superscript"/>
        </w:rPr>
        <w:t xml:space="preserve"> </w:t>
      </w:r>
      <w:r w:rsidR="004A27C9" w:rsidRPr="004A27C9">
        <w:rPr>
          <w:rFonts w:ascii="Arial" w:hAnsi="Arial" w:cs="Arial"/>
          <w:sz w:val="20"/>
          <w:szCs w:val="20"/>
          <w:highlight w:val="yellow"/>
        </w:rPr>
        <w:t>xx</w:t>
      </w:r>
      <w:r w:rsidR="00AA2D9D" w:rsidRPr="007A682B">
        <w:rPr>
          <w:rFonts w:ascii="Arial" w:hAnsi="Arial" w:cs="Arial"/>
          <w:sz w:val="20"/>
          <w:szCs w:val="20"/>
          <w:highlight w:val="yellow"/>
        </w:rPr>
        <w:t>Coltan please add</w:t>
      </w:r>
    </w:p>
    <w:p w14:paraId="6C9A2FC2" w14:textId="24D0B2F6" w:rsidR="00C613B5" w:rsidRPr="007A682B" w:rsidRDefault="00514562" w:rsidP="006537FF">
      <w:pPr>
        <w:rPr>
          <w:rFonts w:ascii="Arial" w:hAnsi="Arial" w:cs="Arial"/>
          <w:sz w:val="20"/>
          <w:szCs w:val="20"/>
          <w:vertAlign w:val="superscript"/>
        </w:rPr>
      </w:pPr>
      <w:r w:rsidRPr="007A682B">
        <w:rPr>
          <w:rFonts w:ascii="Arial" w:hAnsi="Arial" w:cs="Arial"/>
          <w:sz w:val="20"/>
          <w:szCs w:val="20"/>
          <w:vertAlign w:val="superscript"/>
        </w:rPr>
        <w:t xml:space="preserve">7 </w:t>
      </w:r>
      <w:r w:rsidR="00AA2D9D" w:rsidRPr="007A682B">
        <w:rPr>
          <w:rFonts w:ascii="Arial" w:hAnsi="Arial" w:cs="Arial"/>
          <w:sz w:val="20"/>
          <w:szCs w:val="20"/>
        </w:rPr>
        <w:t>Emory National Primate Research Center, Emory University, Atlanta, GA, USA</w:t>
      </w:r>
    </w:p>
    <w:p w14:paraId="34F89003" w14:textId="77777777" w:rsidR="00FF577F" w:rsidRPr="007A682B" w:rsidRDefault="00FF577F" w:rsidP="00FF577F">
      <w:pPr>
        <w:rPr>
          <w:rFonts w:ascii="Arial" w:hAnsi="Arial" w:cs="Arial"/>
          <w:sz w:val="20"/>
          <w:szCs w:val="20"/>
        </w:rPr>
      </w:pPr>
    </w:p>
    <w:p w14:paraId="3EB991C4" w14:textId="77777777" w:rsidR="00FF577F" w:rsidRPr="007A682B" w:rsidRDefault="00FF577F" w:rsidP="003218DF">
      <w:pPr>
        <w:rPr>
          <w:rFonts w:ascii="Arial" w:hAnsi="Arial" w:cs="Arial"/>
          <w:sz w:val="20"/>
          <w:szCs w:val="20"/>
        </w:rPr>
      </w:pPr>
      <w:r w:rsidRPr="007A682B">
        <w:rPr>
          <w:rFonts w:ascii="Arial" w:hAnsi="Arial" w:cs="Arial"/>
          <w:sz w:val="20"/>
          <w:szCs w:val="20"/>
        </w:rPr>
        <w:t xml:space="preserve">Corresponding author:  </w:t>
      </w:r>
    </w:p>
    <w:p w14:paraId="7019DB66" w14:textId="77777777" w:rsidR="00FF577F" w:rsidRPr="007A682B" w:rsidRDefault="00FF577F" w:rsidP="003218DF">
      <w:pPr>
        <w:rPr>
          <w:rFonts w:ascii="Arial" w:hAnsi="Arial" w:cs="Arial"/>
          <w:sz w:val="20"/>
          <w:szCs w:val="20"/>
        </w:rPr>
      </w:pPr>
      <w:r w:rsidRPr="007A682B">
        <w:rPr>
          <w:rFonts w:ascii="Arial" w:hAnsi="Arial" w:cs="Arial"/>
          <w:sz w:val="20"/>
          <w:szCs w:val="20"/>
        </w:rPr>
        <w:t>Justin S. Rhodes</w:t>
      </w:r>
    </w:p>
    <w:p w14:paraId="2B02D809" w14:textId="77777777" w:rsidR="00FF577F" w:rsidRPr="007A682B" w:rsidRDefault="00FF577F" w:rsidP="003218DF">
      <w:pPr>
        <w:rPr>
          <w:rFonts w:ascii="Arial" w:hAnsi="Arial" w:cs="Arial"/>
          <w:sz w:val="20"/>
          <w:szCs w:val="20"/>
        </w:rPr>
      </w:pPr>
      <w:r w:rsidRPr="007A682B">
        <w:rPr>
          <w:rFonts w:ascii="Arial" w:hAnsi="Arial" w:cs="Arial"/>
          <w:sz w:val="20"/>
          <w:szCs w:val="20"/>
        </w:rPr>
        <w:t>Department of Psychology</w:t>
      </w:r>
    </w:p>
    <w:p w14:paraId="27268E0A" w14:textId="77777777" w:rsidR="00FF577F" w:rsidRPr="007A682B" w:rsidRDefault="00FF577F" w:rsidP="003218DF">
      <w:pPr>
        <w:rPr>
          <w:rFonts w:ascii="Arial" w:hAnsi="Arial" w:cs="Arial"/>
          <w:sz w:val="20"/>
          <w:szCs w:val="20"/>
        </w:rPr>
      </w:pPr>
      <w:r w:rsidRPr="007A682B">
        <w:rPr>
          <w:rFonts w:ascii="Arial" w:hAnsi="Arial" w:cs="Arial"/>
          <w:sz w:val="20"/>
          <w:szCs w:val="20"/>
        </w:rPr>
        <w:t>603 East Daniel St., Champaign, IL 61820</w:t>
      </w:r>
    </w:p>
    <w:p w14:paraId="0D23D507" w14:textId="77777777" w:rsidR="00FF577F" w:rsidRPr="007A682B" w:rsidRDefault="00FF577F" w:rsidP="003218DF">
      <w:pPr>
        <w:rPr>
          <w:rFonts w:ascii="Arial" w:hAnsi="Arial" w:cs="Arial"/>
          <w:sz w:val="20"/>
          <w:szCs w:val="20"/>
        </w:rPr>
      </w:pPr>
      <w:r w:rsidRPr="007A682B">
        <w:rPr>
          <w:rFonts w:ascii="Arial" w:hAnsi="Arial" w:cs="Arial"/>
          <w:sz w:val="20"/>
          <w:szCs w:val="20"/>
        </w:rPr>
        <w:t>Email: jrhodes@illinois.edu</w:t>
      </w:r>
    </w:p>
    <w:p w14:paraId="304419E3" w14:textId="77777777" w:rsidR="00370690" w:rsidRPr="007A682B" w:rsidRDefault="00FF577F" w:rsidP="003218DF">
      <w:pPr>
        <w:rPr>
          <w:rFonts w:ascii="Arial" w:hAnsi="Arial" w:cs="Arial"/>
          <w:sz w:val="20"/>
          <w:szCs w:val="20"/>
        </w:rPr>
      </w:pPr>
      <w:r w:rsidRPr="007A682B">
        <w:rPr>
          <w:rFonts w:ascii="Arial" w:hAnsi="Arial" w:cs="Arial"/>
          <w:sz w:val="20"/>
          <w:szCs w:val="20"/>
        </w:rPr>
        <w:t>Phone: 503-413-9241</w:t>
      </w:r>
    </w:p>
    <w:p w14:paraId="2C025C1F" w14:textId="77777777" w:rsidR="00370690" w:rsidRPr="007A682B" w:rsidRDefault="00370690" w:rsidP="00370690">
      <w:pPr>
        <w:tabs>
          <w:tab w:val="left" w:pos="2405"/>
        </w:tabs>
        <w:rPr>
          <w:rFonts w:ascii="Arial" w:hAnsi="Arial" w:cs="Arial"/>
          <w:sz w:val="20"/>
          <w:szCs w:val="20"/>
        </w:rPr>
      </w:pPr>
    </w:p>
    <w:p w14:paraId="69B2089E" w14:textId="77777777" w:rsidR="00370690" w:rsidRPr="007A682B" w:rsidRDefault="00370690" w:rsidP="00370690">
      <w:pPr>
        <w:tabs>
          <w:tab w:val="left" w:pos="2405"/>
        </w:tabs>
        <w:rPr>
          <w:rFonts w:ascii="Arial" w:hAnsi="Arial" w:cs="Arial"/>
          <w:b/>
          <w:bCs/>
          <w:sz w:val="20"/>
          <w:szCs w:val="20"/>
        </w:rPr>
      </w:pPr>
      <w:r w:rsidRPr="007A682B">
        <w:rPr>
          <w:rFonts w:ascii="Arial" w:hAnsi="Arial" w:cs="Arial"/>
          <w:b/>
          <w:bCs/>
          <w:sz w:val="20"/>
          <w:szCs w:val="20"/>
        </w:rPr>
        <w:t>Author Contributions</w:t>
      </w:r>
    </w:p>
    <w:p w14:paraId="42F29D12" w14:textId="77777777" w:rsidR="00370690" w:rsidRPr="007A682B" w:rsidRDefault="00370690" w:rsidP="00370690">
      <w:pPr>
        <w:tabs>
          <w:tab w:val="left" w:pos="2405"/>
        </w:tabs>
        <w:rPr>
          <w:rFonts w:ascii="Arial" w:hAnsi="Arial" w:cs="Arial"/>
          <w:b/>
          <w:bCs/>
          <w:sz w:val="20"/>
          <w:szCs w:val="20"/>
        </w:rPr>
      </w:pPr>
      <w:r w:rsidRPr="007A682B">
        <w:rPr>
          <w:rFonts w:ascii="Arial" w:hAnsi="Arial" w:cs="Arial"/>
          <w:b/>
          <w:bCs/>
          <w:sz w:val="20"/>
          <w:szCs w:val="20"/>
        </w:rPr>
        <w:t>Competing Interest Statement</w:t>
      </w:r>
    </w:p>
    <w:p w14:paraId="34331622" w14:textId="77777777" w:rsidR="00370690" w:rsidRPr="007A682B" w:rsidRDefault="00370690" w:rsidP="00370690">
      <w:pPr>
        <w:tabs>
          <w:tab w:val="left" w:pos="2405"/>
        </w:tabs>
        <w:rPr>
          <w:rFonts w:ascii="Arial" w:hAnsi="Arial" w:cs="Arial"/>
          <w:b/>
          <w:bCs/>
          <w:sz w:val="20"/>
          <w:szCs w:val="20"/>
        </w:rPr>
      </w:pPr>
      <w:r w:rsidRPr="007A682B">
        <w:rPr>
          <w:rFonts w:ascii="Arial" w:hAnsi="Arial" w:cs="Arial"/>
          <w:b/>
          <w:bCs/>
          <w:sz w:val="20"/>
          <w:szCs w:val="20"/>
        </w:rPr>
        <w:t>Classification</w:t>
      </w:r>
    </w:p>
    <w:p w14:paraId="1B4B289E" w14:textId="77777777" w:rsidR="00370690" w:rsidRPr="007A682B" w:rsidRDefault="00370690" w:rsidP="00370690">
      <w:pPr>
        <w:tabs>
          <w:tab w:val="left" w:pos="2405"/>
        </w:tabs>
        <w:rPr>
          <w:rFonts w:ascii="Arial" w:hAnsi="Arial" w:cs="Arial"/>
          <w:b/>
          <w:bCs/>
          <w:sz w:val="20"/>
          <w:szCs w:val="20"/>
        </w:rPr>
      </w:pPr>
      <w:r w:rsidRPr="007A682B">
        <w:rPr>
          <w:rFonts w:ascii="Arial" w:hAnsi="Arial" w:cs="Arial"/>
          <w:b/>
          <w:bCs/>
          <w:sz w:val="20"/>
          <w:szCs w:val="20"/>
        </w:rPr>
        <w:t>Keywords</w:t>
      </w:r>
    </w:p>
    <w:p w14:paraId="25D9234C" w14:textId="77777777" w:rsidR="00370690" w:rsidRPr="007A682B" w:rsidRDefault="00370690" w:rsidP="00370690">
      <w:pPr>
        <w:rPr>
          <w:rFonts w:ascii="Arial" w:hAnsi="Arial" w:cs="Arial"/>
          <w:b/>
          <w:bCs/>
          <w:sz w:val="20"/>
          <w:szCs w:val="20"/>
        </w:rPr>
      </w:pPr>
    </w:p>
    <w:p w14:paraId="162BEE62" w14:textId="77777777" w:rsidR="00370690" w:rsidRPr="007A682B" w:rsidRDefault="00370690" w:rsidP="00370690">
      <w:pPr>
        <w:rPr>
          <w:rFonts w:ascii="Arial" w:hAnsi="Arial" w:cs="Arial"/>
          <w:b/>
          <w:bCs/>
          <w:sz w:val="20"/>
          <w:szCs w:val="20"/>
        </w:rPr>
      </w:pPr>
      <w:r w:rsidRPr="007A682B">
        <w:rPr>
          <w:rFonts w:ascii="Arial" w:hAnsi="Arial" w:cs="Arial"/>
          <w:b/>
          <w:bCs/>
          <w:sz w:val="20"/>
          <w:szCs w:val="20"/>
        </w:rPr>
        <w:t>This PDF file includes:</w:t>
      </w:r>
    </w:p>
    <w:p w14:paraId="2E64DBED" w14:textId="77777777" w:rsidR="00370690" w:rsidRPr="007A682B" w:rsidRDefault="00370690" w:rsidP="00370690">
      <w:pPr>
        <w:ind w:firstLine="720"/>
        <w:rPr>
          <w:rFonts w:ascii="Arial" w:hAnsi="Arial" w:cs="Arial"/>
          <w:sz w:val="20"/>
          <w:szCs w:val="20"/>
        </w:rPr>
      </w:pPr>
      <w:r w:rsidRPr="007A682B">
        <w:rPr>
          <w:rFonts w:ascii="Arial" w:hAnsi="Arial" w:cs="Arial"/>
          <w:sz w:val="20"/>
          <w:szCs w:val="20"/>
        </w:rPr>
        <w:t>Main Text</w:t>
      </w:r>
    </w:p>
    <w:p w14:paraId="6E55E105" w14:textId="758BAA4B" w:rsidR="00370690" w:rsidRPr="007A682B" w:rsidRDefault="00370690" w:rsidP="00370690">
      <w:pPr>
        <w:ind w:firstLine="720"/>
        <w:rPr>
          <w:rFonts w:ascii="Arial" w:hAnsi="Arial" w:cs="Arial"/>
          <w:sz w:val="20"/>
          <w:szCs w:val="20"/>
        </w:rPr>
      </w:pPr>
      <w:r w:rsidRPr="007A682B">
        <w:rPr>
          <w:rFonts w:ascii="Arial" w:hAnsi="Arial" w:cs="Arial"/>
          <w:sz w:val="20"/>
          <w:szCs w:val="20"/>
        </w:rPr>
        <w:t xml:space="preserve">Figures 1 to </w:t>
      </w:r>
      <w:r w:rsidR="00433BD8" w:rsidRPr="007A682B">
        <w:rPr>
          <w:rFonts w:ascii="Arial" w:hAnsi="Arial" w:cs="Arial"/>
          <w:sz w:val="20"/>
          <w:szCs w:val="20"/>
        </w:rPr>
        <w:t>S11</w:t>
      </w:r>
    </w:p>
    <w:p w14:paraId="448614B8" w14:textId="1E20D458" w:rsidR="00E1149A" w:rsidRPr="007A682B" w:rsidRDefault="006537FF" w:rsidP="00370690">
      <w:pPr>
        <w:rPr>
          <w:rFonts w:ascii="Arial" w:hAnsi="Arial" w:cs="Arial"/>
          <w:b/>
          <w:bCs/>
          <w:sz w:val="20"/>
          <w:szCs w:val="20"/>
        </w:rPr>
      </w:pPr>
      <w:r w:rsidRPr="007A682B">
        <w:rPr>
          <w:rFonts w:ascii="Arial" w:hAnsi="Arial" w:cs="Arial"/>
          <w:b/>
          <w:bCs/>
          <w:sz w:val="20"/>
          <w:szCs w:val="20"/>
        </w:rPr>
        <w:br w:type="page"/>
      </w:r>
      <w:r w:rsidR="00E1149A" w:rsidRPr="007A682B">
        <w:rPr>
          <w:rFonts w:ascii="Arial" w:hAnsi="Arial" w:cs="Arial"/>
          <w:b/>
          <w:bCs/>
          <w:sz w:val="20"/>
          <w:szCs w:val="20"/>
        </w:rPr>
        <w:lastRenderedPageBreak/>
        <w:t>Abstract</w:t>
      </w:r>
    </w:p>
    <w:p w14:paraId="30ED63F8" w14:textId="1B295D13" w:rsidR="00E1149A" w:rsidRPr="007A682B" w:rsidRDefault="00A335BB" w:rsidP="00B27562">
      <w:pPr>
        <w:ind w:firstLine="720"/>
        <w:rPr>
          <w:rFonts w:ascii="Arial" w:hAnsi="Arial" w:cs="Arial"/>
          <w:sz w:val="20"/>
          <w:szCs w:val="20"/>
        </w:rPr>
      </w:pPr>
      <w:r w:rsidRPr="007A682B">
        <w:rPr>
          <w:rFonts w:ascii="Arial" w:hAnsi="Arial" w:cs="Arial"/>
          <w:sz w:val="20"/>
          <w:szCs w:val="20"/>
        </w:rPr>
        <w:t>Phenotypic plasticity allows organisms to modify behavior, physiology, and morphology in response to environmental change. Among its most dramatic forms is adult sex change, in which social cues trigger transformation from one functional sex to another. In the protandrous anemonefish (</w:t>
      </w:r>
      <w:r w:rsidRPr="007A682B">
        <w:rPr>
          <w:rFonts w:ascii="Arial" w:hAnsi="Arial" w:cs="Arial"/>
          <w:i/>
          <w:iCs/>
          <w:sz w:val="20"/>
          <w:szCs w:val="20"/>
        </w:rPr>
        <w:t>Amphiprion ocellaris</w:t>
      </w:r>
      <w:r w:rsidRPr="007A682B">
        <w:rPr>
          <w:rFonts w:ascii="Arial" w:hAnsi="Arial" w:cs="Arial"/>
          <w:sz w:val="20"/>
          <w:szCs w:val="20"/>
        </w:rPr>
        <w:t xml:space="preserve">), males become females after attaining social dominance, but how the brain orchestrates this transition remains poorly understood. We combined single-nucleus multiomics (RNA and ATAC), spatial transcriptomics, </w:t>
      </w:r>
      <w:r w:rsidR="00540717" w:rsidRPr="007A682B">
        <w:rPr>
          <w:rFonts w:ascii="Arial" w:hAnsi="Arial" w:cs="Arial"/>
          <w:sz w:val="20"/>
          <w:szCs w:val="20"/>
        </w:rPr>
        <w:t>sex hormone profiling, gonadal histology and</w:t>
      </w:r>
      <w:r w:rsidRPr="007A682B">
        <w:rPr>
          <w:rFonts w:ascii="Arial" w:hAnsi="Arial" w:cs="Arial"/>
          <w:sz w:val="20"/>
          <w:szCs w:val="20"/>
        </w:rPr>
        <w:t xml:space="preserve"> behavior</w:t>
      </w:r>
      <w:r w:rsidR="00540717" w:rsidRPr="007A682B">
        <w:rPr>
          <w:rFonts w:ascii="Arial" w:hAnsi="Arial" w:cs="Arial"/>
          <w:sz w:val="20"/>
          <w:szCs w:val="20"/>
        </w:rPr>
        <w:t>al analysis</w:t>
      </w:r>
      <w:r w:rsidRPr="007A682B">
        <w:rPr>
          <w:rFonts w:ascii="Arial" w:hAnsi="Arial" w:cs="Arial"/>
          <w:sz w:val="20"/>
          <w:szCs w:val="20"/>
        </w:rPr>
        <w:t xml:space="preserve"> to characterize remodeling of the preoptic area (POA) and adjacent regions across sex change. Analysis of 35,364 nuclei revealed extensive cell-type-specific remodeling, with radial glia cells (RGCs) and POA neurons showing </w:t>
      </w:r>
      <w:r w:rsidR="00540717" w:rsidRPr="007A682B">
        <w:rPr>
          <w:rFonts w:ascii="Arial" w:hAnsi="Arial" w:cs="Arial"/>
          <w:sz w:val="20"/>
          <w:szCs w:val="20"/>
        </w:rPr>
        <w:t xml:space="preserve">the most </w:t>
      </w:r>
      <w:r w:rsidRPr="007A682B">
        <w:rPr>
          <w:rFonts w:ascii="Arial" w:hAnsi="Arial" w:cs="Arial"/>
          <w:sz w:val="20"/>
          <w:szCs w:val="20"/>
        </w:rPr>
        <w:t xml:space="preserve">prominent changes in abundance, gene expression, and chromatin accessibility. Machine-learning models revealed asynchronous transitions across cell types, with many female-specific transcriptional programs emerging only after gonadal transformation. During the intermediate phase, RGCs showed reduced brain aromatase and transcriptional and chromatin signatures consistent with increased neurogenic activity. POA neurons concurrently showed evidence of immature-neuron incorporation, including expansion of a cholecystokinin-expressing population implicated in ovarian development. Changes in POA neuropeptide expression </w:t>
      </w:r>
      <w:r w:rsidR="00D70532" w:rsidRPr="007A682B">
        <w:rPr>
          <w:rFonts w:ascii="Arial" w:hAnsi="Arial" w:cs="Arial"/>
          <w:sz w:val="20"/>
          <w:szCs w:val="20"/>
        </w:rPr>
        <w:t>predict</w:t>
      </w:r>
      <w:r w:rsidRPr="007A682B">
        <w:rPr>
          <w:rFonts w:ascii="Arial" w:hAnsi="Arial" w:cs="Arial"/>
          <w:sz w:val="20"/>
          <w:szCs w:val="20"/>
        </w:rPr>
        <w:t xml:space="preserve"> decreased luteinizing hormone</w:t>
      </w:r>
      <w:r w:rsidR="000B4F36" w:rsidRPr="007A682B">
        <w:rPr>
          <w:rFonts w:ascii="Arial" w:hAnsi="Arial" w:cs="Arial"/>
          <w:sz w:val="20"/>
          <w:szCs w:val="20"/>
        </w:rPr>
        <w:t xml:space="preserve"> (LH)</w:t>
      </w:r>
      <w:r w:rsidRPr="007A682B">
        <w:rPr>
          <w:rFonts w:ascii="Arial" w:hAnsi="Arial" w:cs="Arial"/>
          <w:sz w:val="20"/>
          <w:szCs w:val="20"/>
        </w:rPr>
        <w:t xml:space="preserve"> and increased follicle-stimulating hormone</w:t>
      </w:r>
      <w:r w:rsidR="000B4F36" w:rsidRPr="007A682B">
        <w:rPr>
          <w:rFonts w:ascii="Arial" w:hAnsi="Arial" w:cs="Arial"/>
          <w:sz w:val="20"/>
          <w:szCs w:val="20"/>
        </w:rPr>
        <w:t xml:space="preserve"> (FSH)</w:t>
      </w:r>
      <w:r w:rsidRPr="007A682B">
        <w:rPr>
          <w:rFonts w:ascii="Arial" w:hAnsi="Arial" w:cs="Arial"/>
          <w:sz w:val="20"/>
          <w:szCs w:val="20"/>
        </w:rPr>
        <w:t xml:space="preserve"> production</w:t>
      </w:r>
      <w:r w:rsidR="00540717" w:rsidRPr="007A682B">
        <w:rPr>
          <w:rFonts w:ascii="Arial" w:hAnsi="Arial" w:cs="Arial"/>
          <w:sz w:val="20"/>
          <w:szCs w:val="20"/>
        </w:rPr>
        <w:t xml:space="preserve"> as sex change progressed</w:t>
      </w:r>
      <w:r w:rsidRPr="007A682B">
        <w:rPr>
          <w:rFonts w:ascii="Arial" w:hAnsi="Arial" w:cs="Arial"/>
          <w:sz w:val="20"/>
          <w:szCs w:val="20"/>
        </w:rPr>
        <w:t xml:space="preserve">. Regulatory analyses implicated </w:t>
      </w:r>
      <w:r w:rsidRPr="007A682B">
        <w:rPr>
          <w:rFonts w:ascii="Arial" w:hAnsi="Arial" w:cs="Arial"/>
          <w:i/>
          <w:iCs/>
          <w:sz w:val="20"/>
          <w:szCs w:val="20"/>
        </w:rPr>
        <w:t>gli1</w:t>
      </w:r>
      <w:r w:rsidRPr="007A682B">
        <w:rPr>
          <w:rFonts w:ascii="Arial" w:hAnsi="Arial" w:cs="Arial"/>
          <w:sz w:val="20"/>
          <w:szCs w:val="20"/>
        </w:rPr>
        <w:t xml:space="preserve"> and </w:t>
      </w:r>
      <w:r w:rsidRPr="007A682B">
        <w:rPr>
          <w:rFonts w:ascii="Arial" w:hAnsi="Arial" w:cs="Arial"/>
          <w:i/>
          <w:iCs/>
          <w:sz w:val="20"/>
          <w:szCs w:val="20"/>
        </w:rPr>
        <w:t>uncx</w:t>
      </w:r>
      <w:r w:rsidRPr="007A682B">
        <w:rPr>
          <w:rFonts w:ascii="Arial" w:hAnsi="Arial" w:cs="Arial"/>
          <w:sz w:val="20"/>
          <w:szCs w:val="20"/>
        </w:rPr>
        <w:t xml:space="preserve"> in RGC remodeling and </w:t>
      </w:r>
      <w:r w:rsidRPr="007A682B">
        <w:rPr>
          <w:rFonts w:ascii="Arial" w:hAnsi="Arial" w:cs="Arial"/>
          <w:i/>
          <w:iCs/>
          <w:sz w:val="20"/>
          <w:szCs w:val="20"/>
        </w:rPr>
        <w:t>esr2b</w:t>
      </w:r>
      <w:r w:rsidRPr="007A682B">
        <w:rPr>
          <w:rFonts w:ascii="Arial" w:hAnsi="Arial" w:cs="Arial"/>
          <w:sz w:val="20"/>
          <w:szCs w:val="20"/>
        </w:rPr>
        <w:t xml:space="preserve">, </w:t>
      </w:r>
      <w:r w:rsidRPr="007A682B">
        <w:rPr>
          <w:rFonts w:ascii="Arial" w:hAnsi="Arial" w:cs="Arial"/>
          <w:i/>
          <w:iCs/>
          <w:sz w:val="20"/>
          <w:szCs w:val="20"/>
        </w:rPr>
        <w:t>pgr</w:t>
      </w:r>
      <w:r w:rsidRPr="007A682B">
        <w:rPr>
          <w:rFonts w:ascii="Arial" w:hAnsi="Arial" w:cs="Arial"/>
          <w:sz w:val="20"/>
          <w:szCs w:val="20"/>
        </w:rPr>
        <w:t xml:space="preserve">, </w:t>
      </w:r>
      <w:r w:rsidRPr="007A682B">
        <w:rPr>
          <w:rFonts w:ascii="Arial" w:hAnsi="Arial" w:cs="Arial"/>
          <w:i/>
          <w:iCs/>
          <w:sz w:val="20"/>
          <w:szCs w:val="20"/>
        </w:rPr>
        <w:t>ar</w:t>
      </w:r>
      <w:r w:rsidRPr="007A682B">
        <w:rPr>
          <w:rFonts w:ascii="Arial" w:hAnsi="Arial" w:cs="Arial"/>
          <w:sz w:val="20"/>
          <w:szCs w:val="20"/>
        </w:rPr>
        <w:t xml:space="preserve">, and </w:t>
      </w:r>
      <w:r w:rsidRPr="007A682B">
        <w:rPr>
          <w:rFonts w:ascii="Arial" w:hAnsi="Arial" w:cs="Arial"/>
          <w:i/>
          <w:iCs/>
          <w:sz w:val="20"/>
          <w:szCs w:val="20"/>
        </w:rPr>
        <w:t>egr1</w:t>
      </w:r>
      <w:r w:rsidRPr="007A682B">
        <w:rPr>
          <w:rFonts w:ascii="Arial" w:hAnsi="Arial" w:cs="Arial"/>
          <w:sz w:val="20"/>
          <w:szCs w:val="20"/>
        </w:rPr>
        <w:t xml:space="preserve"> in POA neurons. Together, these findings support a </w:t>
      </w:r>
      <w:r w:rsidR="003405A4" w:rsidRPr="007A682B">
        <w:rPr>
          <w:rFonts w:ascii="Arial" w:hAnsi="Arial" w:cs="Arial"/>
          <w:sz w:val="20"/>
          <w:szCs w:val="20"/>
        </w:rPr>
        <w:t>two-stage</w:t>
      </w:r>
      <w:r w:rsidRPr="007A682B">
        <w:rPr>
          <w:rFonts w:ascii="Arial" w:hAnsi="Arial" w:cs="Arial"/>
          <w:sz w:val="20"/>
          <w:szCs w:val="20"/>
        </w:rPr>
        <w:t xml:space="preserve"> model in which remodeling of LH-regulating cells and production of new FSH-stimulating cells establish a neural substrate for sex change, while broader feminization</w:t>
      </w:r>
      <w:r w:rsidR="001E3631">
        <w:rPr>
          <w:rFonts w:ascii="Arial" w:hAnsi="Arial" w:cs="Arial"/>
          <w:sz w:val="20"/>
          <w:szCs w:val="20"/>
        </w:rPr>
        <w:t xml:space="preserve"> </w:t>
      </w:r>
      <w:r w:rsidRPr="007A682B">
        <w:rPr>
          <w:rFonts w:ascii="Arial" w:hAnsi="Arial" w:cs="Arial"/>
          <w:sz w:val="20"/>
          <w:szCs w:val="20"/>
        </w:rPr>
        <w:t>follows ovarian development and the altered sex-steroid milieu.</w:t>
      </w:r>
    </w:p>
    <w:p w14:paraId="285DA173" w14:textId="77777777" w:rsidR="00E1149A" w:rsidRPr="007A682B" w:rsidRDefault="00E1149A">
      <w:pPr>
        <w:rPr>
          <w:rFonts w:ascii="Arial" w:hAnsi="Arial" w:cs="Arial"/>
          <w:b/>
          <w:bCs/>
          <w:sz w:val="20"/>
          <w:szCs w:val="20"/>
          <w:u w:val="single"/>
        </w:rPr>
      </w:pPr>
      <w:r w:rsidRPr="007A682B">
        <w:rPr>
          <w:rFonts w:ascii="Arial" w:hAnsi="Arial" w:cs="Arial"/>
          <w:b/>
          <w:bCs/>
          <w:sz w:val="20"/>
          <w:szCs w:val="20"/>
          <w:u w:val="single"/>
        </w:rPr>
        <w:br w:type="page"/>
      </w:r>
    </w:p>
    <w:p w14:paraId="2275A4A1" w14:textId="756DED22" w:rsidR="00551E7E" w:rsidRPr="007A682B" w:rsidRDefault="00551E7E" w:rsidP="003218DF">
      <w:pPr>
        <w:rPr>
          <w:rFonts w:ascii="Arial" w:hAnsi="Arial" w:cs="Arial"/>
          <w:b/>
          <w:bCs/>
          <w:sz w:val="20"/>
          <w:szCs w:val="20"/>
        </w:rPr>
      </w:pPr>
      <w:r w:rsidRPr="007A682B">
        <w:rPr>
          <w:rFonts w:ascii="Arial" w:hAnsi="Arial" w:cs="Arial"/>
          <w:b/>
          <w:bCs/>
          <w:sz w:val="20"/>
          <w:szCs w:val="20"/>
        </w:rPr>
        <w:lastRenderedPageBreak/>
        <w:t>Main Text</w:t>
      </w:r>
    </w:p>
    <w:p w14:paraId="1E20ED99" w14:textId="427876E2" w:rsidR="00E1149A" w:rsidRPr="007A682B" w:rsidRDefault="00E1149A" w:rsidP="003218DF">
      <w:pPr>
        <w:rPr>
          <w:rFonts w:ascii="Arial" w:hAnsi="Arial" w:cs="Arial"/>
          <w:b/>
          <w:bCs/>
          <w:sz w:val="20"/>
          <w:szCs w:val="20"/>
        </w:rPr>
      </w:pPr>
      <w:r w:rsidRPr="007A682B">
        <w:rPr>
          <w:rFonts w:ascii="Arial" w:hAnsi="Arial" w:cs="Arial"/>
          <w:b/>
          <w:bCs/>
          <w:sz w:val="20"/>
          <w:szCs w:val="20"/>
        </w:rPr>
        <w:t>Introduction</w:t>
      </w:r>
    </w:p>
    <w:p w14:paraId="1FC47503" w14:textId="5CD846E0" w:rsidR="00E1149A" w:rsidRPr="007A682B" w:rsidRDefault="00E1149A" w:rsidP="003E4206">
      <w:pPr>
        <w:ind w:firstLine="720"/>
        <w:rPr>
          <w:rFonts w:ascii="Arial" w:hAnsi="Arial" w:cs="Arial"/>
          <w:sz w:val="20"/>
          <w:szCs w:val="20"/>
        </w:rPr>
      </w:pPr>
      <w:r w:rsidRPr="007A682B">
        <w:rPr>
          <w:rFonts w:ascii="Arial" w:hAnsi="Arial" w:cs="Arial"/>
          <w:sz w:val="20"/>
          <w:szCs w:val="20"/>
        </w:rPr>
        <w:t xml:space="preserve">The ability of the adult brain to reorganize in response to changing environmental conditions is one of the most remarkable adaptations in biology. Across </w:t>
      </w:r>
      <w:r w:rsidR="00810A40" w:rsidRPr="007A682B">
        <w:rPr>
          <w:rFonts w:ascii="Arial" w:hAnsi="Arial" w:cs="Arial"/>
          <w:sz w:val="20"/>
          <w:szCs w:val="20"/>
        </w:rPr>
        <w:t>vertebrate taxa</w:t>
      </w:r>
      <w:r w:rsidRPr="007A682B">
        <w:rPr>
          <w:rFonts w:ascii="Arial" w:hAnsi="Arial" w:cs="Arial"/>
          <w:sz w:val="20"/>
          <w:szCs w:val="20"/>
        </w:rPr>
        <w:t xml:space="preserve">, </w:t>
      </w:r>
      <w:r w:rsidR="00810A40" w:rsidRPr="007A682B">
        <w:rPr>
          <w:rFonts w:ascii="Arial" w:hAnsi="Arial" w:cs="Arial"/>
          <w:sz w:val="20"/>
          <w:szCs w:val="20"/>
        </w:rPr>
        <w:t>neuroplasticity</w:t>
      </w:r>
      <w:r w:rsidRPr="007A682B">
        <w:rPr>
          <w:rFonts w:ascii="Arial" w:hAnsi="Arial" w:cs="Arial"/>
          <w:sz w:val="20"/>
          <w:szCs w:val="20"/>
        </w:rPr>
        <w:t xml:space="preserve"> allows animals to modify behavior, physiology, and reproduction in ways that improve fitness in an unpredictable world. </w:t>
      </w:r>
      <w:r w:rsidR="00CC4CF3" w:rsidRPr="007A682B">
        <w:rPr>
          <w:rFonts w:ascii="Arial" w:hAnsi="Arial" w:cs="Arial"/>
          <w:sz w:val="20"/>
          <w:szCs w:val="20"/>
        </w:rPr>
        <w:t xml:space="preserve">Such plasticity can be extensive, ranging from changes in neural structure and connectivity to adult neurogenesis </w:t>
      </w:r>
      <w:r w:rsidR="0016224F" w:rsidRPr="007A682B">
        <w:rPr>
          <w:rFonts w:ascii="Arial" w:hAnsi="Arial" w:cs="Arial"/>
          <w:sz w:val="20"/>
          <w:szCs w:val="20"/>
        </w:rPr>
        <w:t>or</w:t>
      </w:r>
      <w:r w:rsidR="00CC4CF3" w:rsidRPr="007A682B">
        <w:rPr>
          <w:rFonts w:ascii="Arial" w:hAnsi="Arial" w:cs="Arial"/>
          <w:sz w:val="20"/>
          <w:szCs w:val="20"/>
        </w:rPr>
        <w:t xml:space="preserve"> regeneration of damaged neural tissue </w:t>
      </w:r>
      <w:r w:rsidR="000B4F36"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pmDzwsFy","properties":{"unsorted":false,"formattedCitation":"(1\\uc0\\u8211{}3)","plainCitation":"(1–3)","noteIndex":0},"citationItems":[{"id":6605,"uris":["http://zotero.org/users/11313215/items/SLRSZL5X"],"itemData":{"id":6605,"type":"article-journal","abstract":"Traumatic brain injury (TBI) is a global health challenge, leading to chronic cognitive and motor deficits. The limited neuroregenerative capacity of adult mammals hampers the development of effective therapies. In contrast, zebrafish exhibit remarkable brain regeneration, making them an ideal model for studying molecular and cellular mechanisms underlying TBI.","container-title":"Journal of Translational Medicine","DOI":"10.1186/s12967-025-07400-7","ISSN":"1479-5876","issue":"1","journalAbbreviation":"J Transl Med","language":"en","page":"87","source":"Springer Link","title":"From injury to recovery: transcriptomic dynamics in zebrafish brain regeneration","title-short":"From injury to recovery","volume":"24","author":[{"family":"Bhasin","given":"Sidharth"},{"family":"Kaushal","given":"Shruti"},{"family":"Srivastava","given":"Priyanka Prakash"},{"family":"Menon","given":"Manoj B."},{"family":"Ramachandran","given":"Rajesh"},{"family":"Dhanjal","given":"Jaspreet Kaur"},{"family":"Minocha","given":"Shilpi"}],"issued":{"date-parts":[["2025",12,2]]}}},{"id":6612,"uris":["http://zotero.org/users/11313215/items/N8VY9388"],"itemData":{"id":6612,"type":"article-journal","abstract":"The capacity of the central nervous system for structural plasticity and regeneration is commonly believed to show a decreasing progression from “small and simple” brains to the larger, more complex brains of mammals. However, recent findings revealed that some forms of neural plasticity can show a reverse trend. Although plasticity is a well-preserved, transversal feature across the animal world, a variety of cell populations and mechanisms seem to have evolved to enable structural modifications to take place in widely different brains, likely as adaptations to selective pressures. Increasing evidence now indicates that a trade-off has occurred between regenerative (mostly stem cell–driven) plasticity and developmental (mostly juvenile) remodeling, with the latter primarily aimed not at brain repair but rather at “sculpting” the neural circuits based on experience. In particular, an evolutionary trade-off has occurred between neurogenic processes intended to support the possibility of recruiting new neurons throughout life and the different ways of obtaining new neurons, and between the different brain locations in which plasticity occurs. This review first briefly surveys the different types of plasticity and the complexity of their possible outcomes and then focuses on recent findings showing that the mammalian brain has a stem cell–independent integration of new neurons into pre-existing (mature) neural circuits. This process is still largely unknown but involves neuronal cells that have been blocked in arrested maturation since their embryonic origin (also termed “immature” or “dormant” neurons). These cells can then restart maturation throughout the animal’s lifespan to become functional neurons in brain regions, such as the cerebral cortex and amygdala, that are relevant to high-order cognition and emotions. Unlike stem cell–driven postnatal/adult neurogenesis, which significantly decreases from small-brained, short-living species to large-brained ones, immature neurons are particularly abundant in large-brained, long-living mammals, including humans. The immature neural cell populations hosted in these complex brains are an interesting example of an “enlarged road” in the phylogenetic trend of plastic potential decreases commonly observed in the animal world. The topic of dormant neurons that covary with brain size and gyrencephaly represents a prospective turning point in the field of neuroplasticity, with important translational outcomes. These cells can represent a reservoir of undifferentiated neurons, potentially granting plasticity within the high-order circuits subserving the most sophisticated cognitive skills that are important in the growing brains of young, healthy individuals and are frequently affected by debilitating neurodevelopmental and degenerative disorders.","container-title":"Neural Regeneration Research","DOI":"10.4103/NRR.NRR-D-24-01438","ISSN":"1673-5374","issue":"5","journalAbbreviation":"Neural Regen Res","page":"1669-1680","PMID":"40145954","PMCID":"PMC12694648","source":"PubMed Central","title":"Brain structural plasticity in large-brained mammals: Not only narrowing roads","title-short":"Brain structural plasticity in large-brained mammals","volume":"21","author":[{"family":"Ghibaudi","given":"Marco"},{"family":"Zanone","given":"Alessandro"},{"family":"Bonfanti","given":"Luca"}],"issued":{"date-parts":[["2025",3,25]]}}},{"id":6609,"uris":["http://zotero.org/users/11313215/items/SQNBBMBA"],"itemData":{"id":6609,"type":"article-journal","abstract":"In all vertebrate species studied thus far, the adult central nervous system harbors neural stem cells that sustain constitutive neurogenesis, as well as latent neural progenitors that can be awakened in lesional contexts. In spite of this common theme, many species differ dramatically in their ability to recruit constitutive progenitors, to awaken latent progenitors, or to enhance or bias neural progenitor fate to achieve successful neuronal repair. This Review summarizes the striking similarities in the essential molecular and cellular properties of adult neural stem cells between different vertebrate species, both under physiological and reparative conditions. It also emphasizes the differences in the reparative process across evolution and how the study of non-mammalian models can provide insights into both basic neural stem cell properties and stimulatory cues shared between vertebrates, and subsequent neurogenic events, which are abortive under reparative conditions in mammals.","container-title":"Development","DOI":"10.1242/dev.122796","ISSN":"0950-1991","issue":"5","journalAbbreviation":"Development","page":"741-753","source":"Silverchair","title":"A comparative view of regenerative neurogenesis in vertebrates","volume":"143","author":[{"family":"Alunni","given":"Alessandro"},{"family":"Bally-Cuif","given":"Laure"}],"issued":{"date-parts":[["2016",3,1]]}}}],"schema":"https://github.com/citation-style-language/schema/raw/master/csl-citation.json"} </w:instrText>
      </w:r>
      <w:r w:rsidR="000B4F36" w:rsidRPr="007A682B">
        <w:rPr>
          <w:rFonts w:ascii="Arial" w:hAnsi="Arial" w:cs="Arial"/>
          <w:sz w:val="20"/>
          <w:szCs w:val="20"/>
        </w:rPr>
        <w:fldChar w:fldCharType="separate"/>
      </w:r>
      <w:r w:rsidR="0072390C" w:rsidRPr="007A682B">
        <w:rPr>
          <w:rFonts w:ascii="Arial" w:hAnsi="Arial" w:cs="Arial"/>
          <w:kern w:val="0"/>
          <w:sz w:val="20"/>
          <w:szCs w:val="20"/>
        </w:rPr>
        <w:t>(1–3)</w:t>
      </w:r>
      <w:r w:rsidR="000B4F36" w:rsidRPr="007A682B">
        <w:rPr>
          <w:rFonts w:ascii="Arial" w:hAnsi="Arial" w:cs="Arial"/>
          <w:sz w:val="20"/>
          <w:szCs w:val="20"/>
        </w:rPr>
        <w:fldChar w:fldCharType="end"/>
      </w:r>
      <w:r w:rsidR="00CC4CF3" w:rsidRPr="007A682B">
        <w:rPr>
          <w:rFonts w:ascii="Arial" w:hAnsi="Arial" w:cs="Arial"/>
          <w:sz w:val="20"/>
          <w:szCs w:val="20"/>
        </w:rPr>
        <w:t xml:space="preserve">. Yet few naturally occurring forms of adult plasticity require the brain to coordinate a transformation across so many levels of biological organization </w:t>
      </w:r>
      <w:r w:rsidR="001770F5"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{"citationID":"FJ79bzys","properties":{"unsorted":false,"formattedCitation":"(4)","plainCitation":"(4)","noteIndex":0},"citationItems":[{"id":6607,"uris":["http://zotero.org/users/11313215/items/XI4NN9JR"],"itemData":{"id":6607,"type":"article","abstract":"Animals inhabiting aquatic or terrestrial habitats experience different constraints on their physiology and locomotion, and are exposed to fundamentally different sensory environments. Across evolutionary timescales, most species have adapted to live exclusively either in water or on land. Newts are among the vertebrates that defy this rule and split their adult lives between freshwater ponds and terrestrial habitats. In these amphibians, transitions across environments cause remarkable phenotypic plasticity in their body morphology. But whether and how the nervous system and behavior also adapt to these environmental changes remains poorly explored. Here, we establish the Iberian ribbed newt Pleurodeles waltl as a new model to study the neurobiology of environmental plasticity in a vertebrate. We first show that experimental transitions between aquatic and terrestrial laboratory settings recapitulate morphological changes observed in the wild. Furthermore, aquatic and terrestrial newts display plasticity in sensory and motor behaviors, including differences in walking gait and odor responsiveness. In the olfactory system, the transition from water to land involves a profound remodeling of the nasal epithelium, including reversible transcriptomic changes in secretory and support cells, and an increase of neurogenesis. Together, our findings reveal how plasticity of specific cell types in the nervous system supports behavioral adaptations across environments. More broadly, this work establishes newts as a model to study the functional constraints and convergent adaptations that may have shaped the evolution of vertebrate nervous systems in water and on land.","DOI":"10.64898/2026.07.25.740661","language":"en","license":"© 2026, Posted by openRxiv. This pre-print is available under a Creative Commons License (Attribution-NonCommercial-NoDerivs 4.0 International), CC BY-NC-ND 4.0, as described at http://creativecommons.org/licenses/by-nc-nd/4.0/","note":"ISSN: 2692-8205\npage: 2026.07.25.740661\nsection: New Results","publisher":"bioRxiv","source":"bioRxiv","title":"Cell-type Plasticity Supports Behavioral Adaptations at the Water-to-Land Interface","URL":"https://www.biorxiv.org/content/10.64898/2026.07.25.740661v1","author":[{"family":"Matheson","given":"Andrew MM"},{"family":"Woych","given":"Jamie"},{"family":"Zinga","given":"Therese G."},{"family":"Spollen","given":"Nat"},{"family":"Policarpo","given":"Maxime"},{"family":"Gattoni","given":"Giacomo"},{"family":"Graham","given":"Gabriel J."},{"family":"Geiger","given":"Luke T."},{"family":"Ortega-Gurrola","given":"Alonso"},{"family":"Jaeger","given":"Eliza CB"},{"family":"Salzburger","given":"Walter"},{"family":"Tosches","given":"Maria Antonietta"}],"accessed":{"date-parts":[["2026",9,9]]},"issued":{"date-parts":[["2026",7,25]]}}}],"schema":"https://github.com/citation-style-language/schema/raw/master/csl-citation.json"} </w:instrText>
      </w:r>
      <w:r w:rsidR="001770F5" w:rsidRPr="007A682B">
        <w:rPr>
          <w:rFonts w:ascii="Arial" w:hAnsi="Arial" w:cs="Arial"/>
          <w:sz w:val="20"/>
          <w:szCs w:val="20"/>
        </w:rPr>
        <w:fldChar w:fldCharType="separate"/>
      </w:r>
      <w:r w:rsidR="0072390C" w:rsidRPr="007A682B">
        <w:rPr>
          <w:rFonts w:ascii="Arial" w:hAnsi="Arial" w:cs="Arial"/>
          <w:noProof/>
          <w:sz w:val="20"/>
          <w:szCs w:val="20"/>
        </w:rPr>
        <w:t>(4)</w:t>
      </w:r>
      <w:r w:rsidR="001770F5" w:rsidRPr="007A682B">
        <w:rPr>
          <w:rFonts w:ascii="Arial" w:hAnsi="Arial" w:cs="Arial"/>
          <w:sz w:val="20"/>
          <w:szCs w:val="20"/>
        </w:rPr>
        <w:fldChar w:fldCharType="end"/>
      </w:r>
      <w:r w:rsidR="00CC4CF3" w:rsidRPr="007A682B">
        <w:rPr>
          <w:rFonts w:ascii="Arial" w:hAnsi="Arial" w:cs="Arial"/>
          <w:sz w:val="20"/>
          <w:szCs w:val="20"/>
        </w:rPr>
        <w:t>. Sex change represents an extraordinary example: social cues initiate a transition from one fully functional adult sexual phenotype to another, requiring coordinated changes in behavior, neuroendocrine state, gonadal function, physiology, and morphology. How the adult brain initiates and orchestrates such organism-wide transformation remains a</w:t>
      </w:r>
      <w:r w:rsidR="0016224F" w:rsidRPr="007A682B">
        <w:rPr>
          <w:rFonts w:ascii="Arial" w:hAnsi="Arial" w:cs="Arial"/>
          <w:sz w:val="20"/>
          <w:szCs w:val="20"/>
        </w:rPr>
        <w:t xml:space="preserve">n open question </w:t>
      </w:r>
      <w:r w:rsidR="00CC4CF3" w:rsidRPr="007A682B">
        <w:rPr>
          <w:rFonts w:ascii="Arial" w:hAnsi="Arial" w:cs="Arial"/>
          <w:sz w:val="20"/>
          <w:szCs w:val="20"/>
        </w:rPr>
        <w:t>in biology</w:t>
      </w:r>
      <w:r w:rsidR="006B2C09" w:rsidRPr="007A682B">
        <w:rPr>
          <w:rFonts w:ascii="Arial" w:hAnsi="Arial" w:cs="Arial"/>
          <w:sz w:val="20"/>
          <w:szCs w:val="20"/>
        </w:rPr>
        <w:t xml:space="preserve"> </w:t>
      </w:r>
      <w:r w:rsidR="001770F5"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UbtRywHq","properties":{"unsorted":false,"formattedCitation":"(4\\uc0\\u8211{}7)","plainCitation":"(4–7)","noteIndex":0},"citationItems":[{"id":6607,"uris":["http://zotero.org/users/11313215/items/XI4NN9JR"],"itemData":{"id":6607,"type":"article","abstract":"Animals inhabiting aquatic or terrestrial habitats experience different constraints on their physiology and locomotion, and are exposed to fundamentally different sensory environments. Across evolutionary timescales, most species have adapted to live exclusively either in water or on land. Newts are among the vertebrates that defy this rule and split their adult lives between freshwater ponds and terrestrial habitats. In these amphibians, transitions across environments cause remarkable phenotypic plasticity in their body morphology. But whether and how the nervous system and behavior also adapt to these environmental changes remains poorly explored. Here, we establish the Iberian ribbed newt Pleurodeles waltl as a new model to study the neurobiology of environmental plasticity in a vertebrate. We first show that experimental transitions between aquatic and terrestrial laboratory settings recapitulate morphological changes observed in the wild. Furthermore, aquatic and terrestrial newts display plasticity in sensory and motor behaviors, including differences in walking gait and odor responsiveness. In the olfactory system, the transition from water to land involves a profound remodeling of the nasal epithelium, including reversible transcriptomic changes in secretory and support cells, and an increase of neurogenesis. Together, our findings reveal how plasticity of specific cell types in the nervous system supports behavioral adaptations across environments. More broadly, this work establishes newts as a model to study the functional constraints and convergent adaptations that may have shaped the evolution of vertebrate nervous systems in water and on land.","DOI":"10.64898/2026.07.25.740661","language":"en","license":"© 2026, Posted by openRxiv. This pre-print is available under a Creative Commons License (Attribution-NonCommercial-NoDerivs 4.0 International), CC BY-NC-ND 4.0, as described at http://creativecommons.org/licenses/by-nc-nd/4.0/","note":"ISSN: 2692-8205\npage: 2026.07.25.740661\nsection: New Results","publisher":"bioRxiv","source":"bioRxiv","title":"Cell-type Plasticity Supports Behavioral Adaptations at the Water-to-Land Interface","URL":"https://www.biorxiv.org/content/10.64898/2026.07.25.740661v1","author":[{"family":"Matheson","given":"Andrew MM"},{"family":"Woych","given":"Jamie"},{"family":"Zinga","given":"Therese G."},{"family":"Spollen","given":"Nat"},{"family":"Policarpo","given":"Maxime"},{"family":"Gattoni","given":"Giacomo"},{"family":"Graham","given":"Gabriel J."},{"family":"Geiger","given":"Luke T."},{"family":"Ortega-Gurrola","given":"Alonso"},{"family":"Jaeger","given":"Eliza CB"},{"family":"Salzburger","given":"Walter"},{"family":"Tosches","given":"Maria Antonietta"}],"accessed":{"date-parts":[["2026",9,9]]},"issued":{"date-parts":[["2026",7,25]]}}},{"id":3227,"uris":["http://zotero.org/users/11313215/items/RWMZ9QFA"],"itemData":{"id":3227,"type":"article-journal","abstract":"BACKGROUND: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001770F5" w:rsidRPr="007A682B">
        <w:rPr>
          <w:rFonts w:ascii="Arial" w:hAnsi="Arial" w:cs="Arial"/>
          <w:sz w:val="20"/>
          <w:szCs w:val="20"/>
        </w:rPr>
        <w:fldChar w:fldCharType="separate"/>
      </w:r>
      <w:r w:rsidR="0072390C" w:rsidRPr="007A682B">
        <w:rPr>
          <w:rFonts w:ascii="Arial" w:hAnsi="Arial" w:cs="Arial"/>
          <w:kern w:val="0"/>
          <w:sz w:val="20"/>
          <w:szCs w:val="20"/>
        </w:rPr>
        <w:t>(4–7)</w:t>
      </w:r>
      <w:r w:rsidR="001770F5" w:rsidRPr="007A682B">
        <w:rPr>
          <w:rFonts w:ascii="Arial" w:hAnsi="Arial" w:cs="Arial"/>
          <w:sz w:val="20"/>
          <w:szCs w:val="20"/>
        </w:rPr>
        <w:fldChar w:fldCharType="end"/>
      </w:r>
      <w:r w:rsidR="00CC4CF3" w:rsidRPr="007A682B">
        <w:rPr>
          <w:rFonts w:ascii="Arial" w:hAnsi="Arial" w:cs="Arial"/>
          <w:sz w:val="20"/>
          <w:szCs w:val="20"/>
        </w:rPr>
        <w:t>.</w:t>
      </w:r>
    </w:p>
    <w:p w14:paraId="29FD2E0A" w14:textId="5853045E" w:rsidR="00E1149A" w:rsidRPr="007A682B" w:rsidRDefault="00E1149A" w:rsidP="003E4206">
      <w:pPr>
        <w:ind w:firstLine="720"/>
        <w:rPr>
          <w:rFonts w:ascii="Arial" w:hAnsi="Arial" w:cs="Arial"/>
          <w:sz w:val="20"/>
          <w:szCs w:val="20"/>
        </w:rPr>
      </w:pPr>
      <w:r w:rsidRPr="007A682B">
        <w:rPr>
          <w:rFonts w:ascii="Arial" w:hAnsi="Arial" w:cs="Arial"/>
          <w:sz w:val="20"/>
          <w:szCs w:val="20"/>
        </w:rPr>
        <w:t xml:space="preserve">Most mechanistic studies of sex change have focused on protogynous species in which females transform into males following changes in social status. In these species, behavioral masculinization often occurs rapidly, within hours or days of social ascent, and is followed by progressive gonadal transformation and increased androgen production. Current models emphasize changes in neuroendocrine signaling, including alterations in aromatase activity and hypothalamic regulation of pituitary gonadotropins, which ultimately drive ovarian degeneration and testicular development. Once the gonads </w:t>
      </w:r>
      <w:r w:rsidR="00CF7C9D" w:rsidRPr="007A682B">
        <w:rPr>
          <w:rFonts w:ascii="Arial" w:hAnsi="Arial" w:cs="Arial"/>
          <w:sz w:val="20"/>
          <w:szCs w:val="20"/>
        </w:rPr>
        <w:t>change</w:t>
      </w:r>
      <w:r w:rsidRPr="007A682B">
        <w:rPr>
          <w:rFonts w:ascii="Arial" w:hAnsi="Arial" w:cs="Arial"/>
          <w:sz w:val="20"/>
          <w:szCs w:val="20"/>
        </w:rPr>
        <w:t>, gonadal steroid hormones further reinforce male physiology, morphology, and behavior</w:t>
      </w:r>
      <w:r w:rsidR="00933230" w:rsidRPr="007A682B">
        <w:rPr>
          <w:rFonts w:ascii="Arial" w:hAnsi="Arial" w:cs="Arial"/>
          <w:sz w:val="20"/>
          <w:szCs w:val="20"/>
        </w:rPr>
        <w:t xml:space="preserve"> </w:t>
      </w:r>
      <w:r w:rsidR="00933230"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{"citationID":"4RMgEEgJ","properties":{"unsorted":false,"formattedCitation":"(8)","plainCitation":"(8)","noteIndex":0},"citationItems":[{"id":12,"uris":["http://zotero.org/users/11313215/items/XSLSMKMD"],"itemData":{"id":12,"type":"article-journal","abstract":"The study of sex differences has produced major insights into the organization of animal phenotypes and the regulatory mechanisms generating phenotypic variation from similar genetic templates. Teleost fishes display the greatest diversity of sexual expression among vertebrate animals. This diversity appears to arise from diversity in the timing of sex determination and less functional interdependence among the components of sexuality relative to tetrapod vertebrates. Teleost model systems therefore provide powerful models for understanding gonadal and non-gonadal influences on behavioral and physiological variation. This review addresses socially controlled sex change and alternate male phenotypes in fishes. These sexual patterns are informative natural experiments that illustrate how variation in conserved neuroendocrine pathways can give rise to a wide range of reproductive adaptations. Key regulatory factors underlying sex change and alternative male phenotypes that have been identified to date include steroid hormones and the neuropeptides GnRH and arginine vasotocin, but genomic approaches are now implicating a diversity of other influences as well.","container-title":"Frontiers in Neuroendocrinology","DOI":"10.1016/j.yfrne.2010.02.002","ISSN":"00913022","issue":"2","journalAbbreviation":"Frontiers in Neuroendocrinology","language":"en","page":"203-216","source":"DOI.org (Crossref)","title":"Neuroendocrinology of sexual plasticity in teleost fishes","volume":"31","author":[{"family":"Godwin","given":"John"}],"issued":{"date-parts":[["2010",4]]}}}],"schema":"https://github.com/citation-style-language/schema/raw/master/csl-citation.json"} </w:instrText>
      </w:r>
      <w:r w:rsidR="00933230" w:rsidRPr="007A682B">
        <w:rPr>
          <w:rFonts w:ascii="Arial" w:hAnsi="Arial" w:cs="Arial"/>
          <w:sz w:val="20"/>
          <w:szCs w:val="20"/>
        </w:rPr>
        <w:fldChar w:fldCharType="separate"/>
      </w:r>
      <w:r w:rsidR="0072390C" w:rsidRPr="007A682B">
        <w:rPr>
          <w:rFonts w:ascii="Arial" w:hAnsi="Arial" w:cs="Arial"/>
          <w:noProof/>
          <w:sz w:val="20"/>
          <w:szCs w:val="20"/>
        </w:rPr>
        <w:t>(8)</w:t>
      </w:r>
      <w:r w:rsidR="00933230" w:rsidRPr="007A682B">
        <w:rPr>
          <w:rFonts w:ascii="Arial" w:hAnsi="Arial" w:cs="Arial"/>
          <w:sz w:val="20"/>
          <w:szCs w:val="20"/>
        </w:rPr>
        <w:fldChar w:fldCharType="end"/>
      </w:r>
      <w:r w:rsidRPr="007A682B">
        <w:rPr>
          <w:rFonts w:ascii="Arial" w:hAnsi="Arial" w:cs="Arial"/>
          <w:sz w:val="20"/>
          <w:szCs w:val="20"/>
        </w:rPr>
        <w:t>.</w:t>
      </w:r>
    </w:p>
    <w:p w14:paraId="41005808" w14:textId="212D0B8E" w:rsidR="00E1149A" w:rsidRPr="007A682B" w:rsidRDefault="00E1149A" w:rsidP="003E4206">
      <w:pPr>
        <w:ind w:firstLine="720"/>
        <w:rPr>
          <w:rFonts w:ascii="Arial" w:hAnsi="Arial" w:cs="Arial"/>
          <w:sz w:val="20"/>
          <w:szCs w:val="20"/>
        </w:rPr>
      </w:pPr>
      <w:r w:rsidRPr="007A682B">
        <w:rPr>
          <w:rFonts w:ascii="Arial" w:hAnsi="Arial" w:cs="Arial"/>
          <w:sz w:val="20"/>
          <w:szCs w:val="20"/>
        </w:rPr>
        <w:t>Protandrous sex change in anemonefish (</w:t>
      </w:r>
      <w:r w:rsidRPr="007A682B">
        <w:rPr>
          <w:rFonts w:ascii="Arial" w:hAnsi="Arial" w:cs="Arial"/>
          <w:i/>
          <w:iCs/>
          <w:sz w:val="20"/>
          <w:szCs w:val="20"/>
        </w:rPr>
        <w:t>Amphiprion</w:t>
      </w:r>
      <w:r w:rsidRPr="007A682B">
        <w:rPr>
          <w:rFonts w:ascii="Arial" w:hAnsi="Arial" w:cs="Arial"/>
          <w:sz w:val="20"/>
          <w:szCs w:val="20"/>
        </w:rPr>
        <w:t xml:space="preserve"> spp.) appears to follow a fundamentally different trajectory</w:t>
      </w:r>
      <w:r w:rsidR="00933230" w:rsidRPr="007A682B">
        <w:rPr>
          <w:rFonts w:ascii="Arial" w:hAnsi="Arial" w:cs="Arial"/>
          <w:sz w:val="20"/>
          <w:szCs w:val="20"/>
        </w:rPr>
        <w:t xml:space="preserve"> </w:t>
      </w:r>
      <w:r w:rsidR="00933230"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{"citationID":"mZMcj6Re","properties":{"unsorted":false,"formattedCitation":"(9)","plainCitation":"(9)","noteIndex":0},"citationItems":[{"id":4563,"uris":["http://zotero.org/users/11313215/items/8RMJ4EHJ"],"itemData":{"id":4563,"type":"article-journal","abstract":"Sex determination in coral reef fish is highly plastic, with many species displaying socially controlled sequential hermaphroditism. In these species, social hierarchy cues trigger sex change, initiating transformations in neuroanatomy, physiology, morphology, and behavior. The process begins in the brain, where shifts in dominance status alter cortisol release and neuromodulator signaling, including dopamine and arginine vasotocin. Radial glia detect these changes and modulate local estradiol synthesis via brain aromatase production that in turn influences neurogenesis and gene expression in multiple types of glia and neurons involved in pituitary-gonadotroph regulation. The altered gonadotroph control directs the gonadal transformation. Mechanistically, protogyny (female-to-male) typically occurs faster than protandry (male-to-female), with differences in the order of behavioral, gonadal, and morphological changes. Understanding these processes in sex-changing fish provides valuable insights into the neural and endocrine mechanisms underlying reproductive plasticity, with broader implications for neuroendocrinology and the evolution of sex differences in vertebrates.","container-title":"Current Opinion in Neurobiology","DOI":"10.1016/j.conb.2025.103094","ISSN":"0959-4388","journalAbbreviation":"Current Opinion in Neurobiology","license":"All rights reserved","page":"103094","source":"ScienceDirect","title":"Plasticity of brain sexual dimorphism as revealed by sex changing fish","volume":"94","author":[{"family":"Graham","given":"Gabriel J."},{"family":"Rhodes","given":"Justin S."}],"issued":{"date-parts":[["2025",10,1]]}}}],"schema":"https://github.com/citation-style-language/schema/raw/master/csl-citation.json"} </w:instrText>
      </w:r>
      <w:r w:rsidR="00933230" w:rsidRPr="007A682B">
        <w:rPr>
          <w:rFonts w:ascii="Arial" w:hAnsi="Arial" w:cs="Arial"/>
          <w:sz w:val="20"/>
          <w:szCs w:val="20"/>
        </w:rPr>
        <w:fldChar w:fldCharType="separate"/>
      </w:r>
      <w:r w:rsidR="0072390C" w:rsidRPr="007A682B">
        <w:rPr>
          <w:rFonts w:ascii="Arial" w:hAnsi="Arial" w:cs="Arial"/>
          <w:noProof/>
          <w:sz w:val="20"/>
          <w:szCs w:val="20"/>
        </w:rPr>
        <w:t>(9)</w:t>
      </w:r>
      <w:r w:rsidR="00933230" w:rsidRPr="007A682B">
        <w:rPr>
          <w:rFonts w:ascii="Arial" w:hAnsi="Arial" w:cs="Arial"/>
          <w:sz w:val="20"/>
          <w:szCs w:val="20"/>
        </w:rPr>
        <w:fldChar w:fldCharType="end"/>
      </w:r>
      <w:r w:rsidRPr="007A682B">
        <w:rPr>
          <w:rFonts w:ascii="Arial" w:hAnsi="Arial" w:cs="Arial"/>
          <w:sz w:val="20"/>
          <w:szCs w:val="20"/>
        </w:rPr>
        <w:t xml:space="preserve">. Following social ascent, sex-changing individuals can remain in an intermediate state for months before ovarian development occurs. During this period, male reproductive behaviors, circulating steroid </w:t>
      </w:r>
      <w:r w:rsidR="003979F8" w:rsidRPr="007A682B">
        <w:rPr>
          <w:rFonts w:ascii="Arial" w:hAnsi="Arial" w:cs="Arial"/>
          <w:sz w:val="20"/>
          <w:szCs w:val="20"/>
        </w:rPr>
        <w:t>milieu</w:t>
      </w:r>
      <w:r w:rsidRPr="007A682B">
        <w:rPr>
          <w:rFonts w:ascii="Arial" w:hAnsi="Arial" w:cs="Arial"/>
          <w:sz w:val="20"/>
          <w:szCs w:val="20"/>
        </w:rPr>
        <w:t xml:space="preserve">, and portions of the male gonad are retained. Rather than undergoing progressive feminization, the gonads enter a prolonged state characterized by reduced testicular tissue and immature ovarian tissue. Because a similar gonadal phenotype is observed in the reproductive partner of the sex-changing fish, this state </w:t>
      </w:r>
      <w:r w:rsidR="00D770B1" w:rsidRPr="007A682B">
        <w:rPr>
          <w:rFonts w:ascii="Arial" w:hAnsi="Arial" w:cs="Arial"/>
          <w:sz w:val="20"/>
          <w:szCs w:val="20"/>
        </w:rPr>
        <w:t>likely</w:t>
      </w:r>
      <w:r w:rsidRPr="007A682B">
        <w:rPr>
          <w:rFonts w:ascii="Arial" w:hAnsi="Arial" w:cs="Arial"/>
          <w:sz w:val="20"/>
          <w:szCs w:val="20"/>
        </w:rPr>
        <w:t xml:space="preserve"> reflect</w:t>
      </w:r>
      <w:r w:rsidR="00D770B1" w:rsidRPr="007A682B">
        <w:rPr>
          <w:rFonts w:ascii="Arial" w:hAnsi="Arial" w:cs="Arial"/>
          <w:sz w:val="20"/>
          <w:szCs w:val="20"/>
        </w:rPr>
        <w:t>s</w:t>
      </w:r>
      <w:r w:rsidRPr="007A682B">
        <w:rPr>
          <w:rFonts w:ascii="Arial" w:hAnsi="Arial" w:cs="Arial"/>
          <w:sz w:val="20"/>
          <w:szCs w:val="20"/>
        </w:rPr>
        <w:t xml:space="preserve"> reproductive stasis associated with the cessation of spawning rather than gonadal sex change itself. Only later</w:t>
      </w:r>
      <w:r w:rsidR="003979F8" w:rsidRPr="007A682B">
        <w:rPr>
          <w:rFonts w:ascii="Arial" w:hAnsi="Arial" w:cs="Arial"/>
          <w:sz w:val="20"/>
          <w:szCs w:val="20"/>
        </w:rPr>
        <w:t xml:space="preserve"> </w:t>
      </w:r>
      <w:r w:rsidRPr="007A682B">
        <w:rPr>
          <w:rFonts w:ascii="Arial" w:hAnsi="Arial" w:cs="Arial"/>
          <w:sz w:val="20"/>
          <w:szCs w:val="20"/>
        </w:rPr>
        <w:t xml:space="preserve">does the remaining testicular tissue disappear </w:t>
      </w:r>
      <w:r w:rsidR="00E53DE5" w:rsidRPr="007A682B">
        <w:rPr>
          <w:rFonts w:ascii="Arial" w:hAnsi="Arial" w:cs="Arial"/>
          <w:sz w:val="20"/>
          <w:szCs w:val="20"/>
        </w:rPr>
        <w:t xml:space="preserve">and </w:t>
      </w:r>
      <w:r w:rsidR="003979F8" w:rsidRPr="007A682B">
        <w:rPr>
          <w:rFonts w:ascii="Arial" w:hAnsi="Arial" w:cs="Arial"/>
          <w:sz w:val="20"/>
          <w:szCs w:val="20"/>
        </w:rPr>
        <w:t>vitellogenesis occurs</w:t>
      </w:r>
      <w:r w:rsidR="00933230" w:rsidRPr="007A682B">
        <w:rPr>
          <w:rFonts w:ascii="Arial" w:hAnsi="Arial" w:cs="Arial"/>
          <w:sz w:val="20"/>
          <w:szCs w:val="20"/>
        </w:rPr>
        <w:t xml:space="preserve"> </w:t>
      </w:r>
      <w:r w:rsidR="00933230"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{"citationID":"Hew3RTDY","properties":{"unsorted":false,"formattedCitation":"(7)","plainCitation":"(7)","noteIndex":0},"citationItems":[{"id":43,"uris":["http://zotero.org/users/11313215/items/TBICN8KA"],"itemData":{"id":43,"type":"article-journal","abstract":"Many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00933230" w:rsidRPr="007A682B">
        <w:rPr>
          <w:rFonts w:ascii="Arial" w:hAnsi="Arial" w:cs="Arial"/>
          <w:sz w:val="20"/>
          <w:szCs w:val="20"/>
        </w:rPr>
        <w:fldChar w:fldCharType="separate"/>
      </w:r>
      <w:r w:rsidR="0072390C" w:rsidRPr="007A682B">
        <w:rPr>
          <w:rFonts w:ascii="Arial" w:hAnsi="Arial" w:cs="Arial"/>
          <w:noProof/>
          <w:sz w:val="20"/>
          <w:szCs w:val="20"/>
        </w:rPr>
        <w:t>(7)</w:t>
      </w:r>
      <w:r w:rsidR="00933230" w:rsidRPr="007A682B">
        <w:rPr>
          <w:rFonts w:ascii="Arial" w:hAnsi="Arial" w:cs="Arial"/>
          <w:sz w:val="20"/>
          <w:szCs w:val="20"/>
        </w:rPr>
        <w:fldChar w:fldCharType="end"/>
      </w:r>
      <w:r w:rsidRPr="007A682B">
        <w:rPr>
          <w:rFonts w:ascii="Arial" w:hAnsi="Arial" w:cs="Arial"/>
          <w:sz w:val="20"/>
          <w:szCs w:val="20"/>
        </w:rPr>
        <w:t>.</w:t>
      </w:r>
      <w:r w:rsidR="00D14B33" w:rsidRPr="007A682B">
        <w:rPr>
          <w:rFonts w:ascii="Arial" w:hAnsi="Arial" w:cs="Arial"/>
          <w:sz w:val="20"/>
          <w:szCs w:val="20"/>
        </w:rPr>
        <w:t xml:space="preserve"> These observations suggest that, unlike the progressive feminization of protogynous species, sex change in anemonefish proceeds in two distinct stages: a prolonged period of reproductive stasis followed by overt gonadal transformation</w:t>
      </w:r>
      <w:r w:rsidR="00AE0676" w:rsidRPr="007A682B">
        <w:rPr>
          <w:rFonts w:ascii="Arial" w:hAnsi="Arial" w:cs="Arial"/>
          <w:sz w:val="20"/>
          <w:szCs w:val="20"/>
        </w:rPr>
        <w:t>.</w:t>
      </w:r>
      <w:r w:rsidR="009244C4" w:rsidRPr="007A682B">
        <w:rPr>
          <w:rFonts w:ascii="Arial" w:hAnsi="Arial" w:cs="Arial"/>
          <w:sz w:val="20"/>
          <w:szCs w:val="20"/>
        </w:rPr>
        <w:t xml:space="preserve"> </w:t>
      </w:r>
      <w:r w:rsidR="00AE0676" w:rsidRPr="00FC2262">
        <w:rPr>
          <w:rFonts w:ascii="Arial" w:hAnsi="Arial" w:cs="Arial"/>
          <w:sz w:val="20"/>
          <w:szCs w:val="20"/>
        </w:rPr>
        <w:t>A schematic summary of changes in circulating 11-ketotestosterone (11-KT) and estradiol (E2), testicular tissue, vitellogenesis, body mass, neurogenesis in the preoptic area (POA), aggression, and parental care across the progression from male</w:t>
      </w:r>
      <w:r w:rsidR="001E3631">
        <w:rPr>
          <w:rFonts w:ascii="Arial" w:hAnsi="Arial" w:cs="Arial"/>
          <w:sz w:val="20"/>
          <w:szCs w:val="20"/>
        </w:rPr>
        <w:t xml:space="preserve"> (M)</w:t>
      </w:r>
      <w:r w:rsidR="00AE0676" w:rsidRPr="00FC2262">
        <w:rPr>
          <w:rFonts w:ascii="Arial" w:hAnsi="Arial" w:cs="Arial"/>
          <w:sz w:val="20"/>
          <w:szCs w:val="20"/>
        </w:rPr>
        <w:t xml:space="preserve"> through intermediate (I) and late-intermediate (LI) stages to</w:t>
      </w:r>
      <w:r w:rsidR="001E3631">
        <w:rPr>
          <w:rFonts w:ascii="Arial" w:hAnsi="Arial" w:cs="Arial"/>
          <w:sz w:val="20"/>
          <w:szCs w:val="20"/>
        </w:rPr>
        <w:t xml:space="preserve"> </w:t>
      </w:r>
      <w:r w:rsidR="00AE0676" w:rsidRPr="00FC2262">
        <w:rPr>
          <w:rFonts w:ascii="Arial" w:hAnsi="Arial" w:cs="Arial"/>
          <w:sz w:val="20"/>
          <w:szCs w:val="20"/>
        </w:rPr>
        <w:t xml:space="preserve">female </w:t>
      </w:r>
      <w:r w:rsidR="001E3631">
        <w:rPr>
          <w:rFonts w:ascii="Arial" w:hAnsi="Arial" w:cs="Arial"/>
          <w:sz w:val="20"/>
          <w:szCs w:val="20"/>
        </w:rPr>
        <w:t xml:space="preserve">(F) </w:t>
      </w:r>
      <w:r w:rsidR="00AE0676" w:rsidRPr="00FC2262">
        <w:rPr>
          <w:rFonts w:ascii="Arial" w:hAnsi="Arial" w:cs="Arial"/>
          <w:sz w:val="20"/>
          <w:szCs w:val="20"/>
        </w:rPr>
        <w:t>is shown in Fig. 1A. Trajectories summarize patterns observed across our previous studies and are intended to illustrate approximate changes among stages rather than precise temporal dynamics or the relative timing of individual processes.</w:t>
      </w:r>
      <w:r w:rsidR="00AE0676" w:rsidRPr="007A682B">
        <w:rPr>
          <w:rFonts w:ascii="Arial" w:hAnsi="Arial" w:cs="Arial"/>
          <w:sz w:val="20"/>
          <w:szCs w:val="20"/>
        </w:rPr>
        <w:t xml:space="preserve"> </w:t>
      </w:r>
    </w:p>
    <w:p w14:paraId="776B6381" w14:textId="5E746C5B" w:rsidR="00E1149A" w:rsidRPr="007A682B" w:rsidRDefault="00E1149A" w:rsidP="003E4206">
      <w:pPr>
        <w:ind w:firstLine="720"/>
        <w:rPr>
          <w:rFonts w:ascii="Arial" w:hAnsi="Arial" w:cs="Arial"/>
          <w:sz w:val="20"/>
          <w:szCs w:val="20"/>
        </w:rPr>
      </w:pPr>
      <w:r w:rsidRPr="007A682B">
        <w:rPr>
          <w:rFonts w:ascii="Arial" w:hAnsi="Arial" w:cs="Arial"/>
          <w:sz w:val="20"/>
          <w:szCs w:val="20"/>
        </w:rPr>
        <w:t xml:space="preserve">Despite the apparent stability of the gonads during this prolonged intermediate period, previous work suggests that substantial neural remodeling is already underway. The preoptic area (POA), a conserved </w:t>
      </w:r>
      <w:r w:rsidR="003979F8" w:rsidRPr="007A682B">
        <w:rPr>
          <w:rFonts w:ascii="Arial" w:hAnsi="Arial" w:cs="Arial"/>
          <w:sz w:val="20"/>
          <w:szCs w:val="20"/>
        </w:rPr>
        <w:t xml:space="preserve">reproductive </w:t>
      </w:r>
      <w:r w:rsidRPr="007A682B">
        <w:rPr>
          <w:rFonts w:ascii="Arial" w:hAnsi="Arial" w:cs="Arial"/>
          <w:sz w:val="20"/>
          <w:szCs w:val="20"/>
        </w:rPr>
        <w:t xml:space="preserve">center that regulates </w:t>
      </w:r>
      <w:r w:rsidR="00CF7C9D" w:rsidRPr="007A682B">
        <w:rPr>
          <w:rFonts w:ascii="Arial" w:hAnsi="Arial" w:cs="Arial"/>
          <w:sz w:val="20"/>
          <w:szCs w:val="20"/>
        </w:rPr>
        <w:t>pituitary gonadotrophs</w:t>
      </w:r>
      <w:r w:rsidRPr="007A682B">
        <w:rPr>
          <w:rFonts w:ascii="Arial" w:hAnsi="Arial" w:cs="Arial"/>
          <w:sz w:val="20"/>
          <w:szCs w:val="20"/>
        </w:rPr>
        <w:t xml:space="preserve"> and reproductive physiology, has emerged as a particularly important region during protandrous sex change. Earlier studies demonstrated increased cell proliferation and neurogenesis within the POA during sex change, with evidence for a pronounced increase around the time of gonadal transformation. These findings suggest that neural reorganization precede</w:t>
      </w:r>
      <w:r w:rsidR="00CF7C9D" w:rsidRPr="007A682B">
        <w:rPr>
          <w:rFonts w:ascii="Arial" w:hAnsi="Arial" w:cs="Arial"/>
          <w:sz w:val="20"/>
          <w:szCs w:val="20"/>
        </w:rPr>
        <w:t>s</w:t>
      </w:r>
      <w:r w:rsidRPr="007A682B">
        <w:rPr>
          <w:rFonts w:ascii="Arial" w:hAnsi="Arial" w:cs="Arial"/>
          <w:sz w:val="20"/>
          <w:szCs w:val="20"/>
        </w:rPr>
        <w:t xml:space="preserve"> and potentially contribute</w:t>
      </w:r>
      <w:r w:rsidR="00CF7C9D" w:rsidRPr="007A682B">
        <w:rPr>
          <w:rFonts w:ascii="Arial" w:hAnsi="Arial" w:cs="Arial"/>
          <w:sz w:val="20"/>
          <w:szCs w:val="20"/>
        </w:rPr>
        <w:t>s</w:t>
      </w:r>
      <w:r w:rsidRPr="007A682B">
        <w:rPr>
          <w:rFonts w:ascii="Arial" w:hAnsi="Arial" w:cs="Arial"/>
          <w:sz w:val="20"/>
          <w:szCs w:val="20"/>
        </w:rPr>
        <w:t xml:space="preserve"> to subsequent gonadal feminization</w:t>
      </w:r>
      <w:r w:rsidR="00933230" w:rsidRPr="007A682B">
        <w:rPr>
          <w:rFonts w:ascii="Arial" w:hAnsi="Arial" w:cs="Arial"/>
          <w:sz w:val="20"/>
          <w:szCs w:val="20"/>
        </w:rPr>
        <w:t xml:space="preserve"> </w:t>
      </w:r>
      <w:r w:rsidR="00933230"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{"citationID":"C3YqLQBn","properties":{"unsorted":false,"formattedCitation":"(6)","plainCitation":"(6)","noteIndex":0},"citationItems":[{"id":16,"uris":["http://zotero.org/users/11313215/items/VGA9PBJ3"],"itemData":{"id":16,"type":"article-journal","abstract":"Sex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933230" w:rsidRPr="007A682B">
        <w:rPr>
          <w:rFonts w:ascii="Arial" w:hAnsi="Arial" w:cs="Arial"/>
          <w:sz w:val="20"/>
          <w:szCs w:val="20"/>
        </w:rPr>
        <w:fldChar w:fldCharType="separate"/>
      </w:r>
      <w:r w:rsidR="0072390C" w:rsidRPr="007A682B">
        <w:rPr>
          <w:rFonts w:ascii="Arial" w:hAnsi="Arial" w:cs="Arial"/>
          <w:noProof/>
          <w:sz w:val="20"/>
          <w:szCs w:val="20"/>
        </w:rPr>
        <w:t>(6)</w:t>
      </w:r>
      <w:r w:rsidR="00933230" w:rsidRPr="007A682B">
        <w:rPr>
          <w:rFonts w:ascii="Arial" w:hAnsi="Arial" w:cs="Arial"/>
          <w:sz w:val="20"/>
          <w:szCs w:val="20"/>
        </w:rPr>
        <w:fldChar w:fldCharType="end"/>
      </w:r>
      <w:r w:rsidRPr="007A682B">
        <w:rPr>
          <w:rFonts w:ascii="Arial" w:hAnsi="Arial" w:cs="Arial"/>
          <w:sz w:val="20"/>
          <w:szCs w:val="20"/>
        </w:rPr>
        <w:t xml:space="preserve">. However, the identities of the newly generated cells, and the extent to which neurogenesis contributes to functional remodeling of </w:t>
      </w:r>
      <w:r w:rsidR="00E71265" w:rsidRPr="007A682B">
        <w:rPr>
          <w:rFonts w:ascii="Arial" w:hAnsi="Arial" w:cs="Arial"/>
          <w:sz w:val="20"/>
          <w:szCs w:val="20"/>
        </w:rPr>
        <w:t>the POA</w:t>
      </w:r>
      <w:r w:rsidR="003979F8" w:rsidRPr="007A682B">
        <w:rPr>
          <w:rFonts w:ascii="Arial" w:hAnsi="Arial" w:cs="Arial"/>
          <w:sz w:val="20"/>
          <w:szCs w:val="20"/>
        </w:rPr>
        <w:t xml:space="preserve"> </w:t>
      </w:r>
      <w:r w:rsidRPr="007A682B">
        <w:rPr>
          <w:rFonts w:ascii="Arial" w:hAnsi="Arial" w:cs="Arial"/>
          <w:sz w:val="20"/>
          <w:szCs w:val="20"/>
        </w:rPr>
        <w:t>remain</w:t>
      </w:r>
      <w:r w:rsidR="00E71265" w:rsidRPr="007A682B">
        <w:rPr>
          <w:rFonts w:ascii="Arial" w:hAnsi="Arial" w:cs="Arial"/>
          <w:sz w:val="20"/>
          <w:szCs w:val="20"/>
        </w:rPr>
        <w:t>s</w:t>
      </w:r>
      <w:r w:rsidRPr="007A682B">
        <w:rPr>
          <w:rFonts w:ascii="Arial" w:hAnsi="Arial" w:cs="Arial"/>
          <w:sz w:val="20"/>
          <w:szCs w:val="20"/>
        </w:rPr>
        <w:t xml:space="preserve"> unknown.</w:t>
      </w:r>
    </w:p>
    <w:p w14:paraId="29194DD7" w14:textId="7EB386CB" w:rsidR="00E1149A" w:rsidRPr="007A682B" w:rsidRDefault="00E1149A" w:rsidP="003E4206">
      <w:pPr>
        <w:ind w:firstLine="720"/>
        <w:rPr>
          <w:rFonts w:ascii="Arial" w:hAnsi="Arial" w:cs="Arial"/>
          <w:sz w:val="20"/>
          <w:szCs w:val="20"/>
        </w:rPr>
      </w:pPr>
      <w:r w:rsidRPr="007A682B">
        <w:rPr>
          <w:rFonts w:ascii="Arial" w:hAnsi="Arial" w:cs="Arial"/>
          <w:sz w:val="20"/>
          <w:szCs w:val="20"/>
        </w:rPr>
        <w:t xml:space="preserve">A major challenge in understanding protandrous sex change has been the lack of </w:t>
      </w:r>
      <w:r w:rsidR="003979F8" w:rsidRPr="007A682B">
        <w:rPr>
          <w:rFonts w:ascii="Arial" w:hAnsi="Arial" w:cs="Arial"/>
          <w:sz w:val="20"/>
          <w:szCs w:val="20"/>
        </w:rPr>
        <w:t xml:space="preserve">cell-level </w:t>
      </w:r>
      <w:r w:rsidR="00C77AD7" w:rsidRPr="007A682B">
        <w:rPr>
          <w:rFonts w:ascii="Arial" w:hAnsi="Arial" w:cs="Arial"/>
          <w:sz w:val="20"/>
          <w:szCs w:val="20"/>
        </w:rPr>
        <w:t>information</w:t>
      </w:r>
      <w:r w:rsidRPr="007A682B">
        <w:rPr>
          <w:rFonts w:ascii="Arial" w:hAnsi="Arial" w:cs="Arial"/>
          <w:sz w:val="20"/>
          <w:szCs w:val="20"/>
        </w:rPr>
        <w:t xml:space="preserve"> about the neural populations involved. Recently, we generated the first single-nucleus transcriptomic atlas of the anemonefish forebrain, including the telencephalon and </w:t>
      </w:r>
      <w:r w:rsidR="00933230" w:rsidRPr="007A682B">
        <w:rPr>
          <w:rFonts w:ascii="Arial" w:hAnsi="Arial" w:cs="Arial"/>
          <w:sz w:val="20"/>
          <w:szCs w:val="20"/>
        </w:rPr>
        <w:t>POA</w:t>
      </w:r>
      <w:r w:rsidRPr="007A682B">
        <w:rPr>
          <w:rFonts w:ascii="Arial" w:hAnsi="Arial" w:cs="Arial"/>
          <w:sz w:val="20"/>
          <w:szCs w:val="20"/>
        </w:rPr>
        <w:t xml:space="preserve">, and identified extensive </w:t>
      </w:r>
      <w:r w:rsidR="00CF7C9D" w:rsidRPr="007A682B">
        <w:rPr>
          <w:rFonts w:ascii="Arial" w:hAnsi="Arial" w:cs="Arial"/>
          <w:sz w:val="20"/>
          <w:szCs w:val="20"/>
        </w:rPr>
        <w:t>sex differences</w:t>
      </w:r>
      <w:r w:rsidRPr="007A682B">
        <w:rPr>
          <w:rFonts w:ascii="Arial" w:hAnsi="Arial" w:cs="Arial"/>
          <w:sz w:val="20"/>
          <w:szCs w:val="20"/>
        </w:rPr>
        <w:t xml:space="preserve"> across neuronal and glial populations. That study revealed widespread sex differences in gene expression, cell-type abundance</w:t>
      </w:r>
      <w:r w:rsidR="00C77AD7" w:rsidRPr="007A682B">
        <w:rPr>
          <w:rFonts w:ascii="Arial" w:hAnsi="Arial" w:cs="Arial"/>
          <w:sz w:val="20"/>
          <w:szCs w:val="20"/>
        </w:rPr>
        <w:t xml:space="preserve">, </w:t>
      </w:r>
      <w:r w:rsidRPr="007A682B">
        <w:rPr>
          <w:rFonts w:ascii="Arial" w:hAnsi="Arial" w:cs="Arial"/>
          <w:sz w:val="20"/>
          <w:szCs w:val="20"/>
        </w:rPr>
        <w:t>and predicted cellular communication networks. Particularly striking differences were observed among radial glia</w:t>
      </w:r>
      <w:r w:rsidR="00CF7C9D" w:rsidRPr="007A682B">
        <w:rPr>
          <w:rFonts w:ascii="Arial" w:hAnsi="Arial" w:cs="Arial"/>
          <w:sz w:val="20"/>
          <w:szCs w:val="20"/>
        </w:rPr>
        <w:t>l cells (RGCs)</w:t>
      </w:r>
      <w:r w:rsidRPr="007A682B">
        <w:rPr>
          <w:rFonts w:ascii="Arial" w:hAnsi="Arial" w:cs="Arial"/>
          <w:sz w:val="20"/>
          <w:szCs w:val="20"/>
        </w:rPr>
        <w:t xml:space="preserve"> and </w:t>
      </w:r>
      <w:r w:rsidR="00E71265" w:rsidRPr="007A682B">
        <w:rPr>
          <w:rFonts w:ascii="Arial" w:hAnsi="Arial" w:cs="Arial"/>
          <w:sz w:val="20"/>
          <w:szCs w:val="20"/>
        </w:rPr>
        <w:t xml:space="preserve">putatively </w:t>
      </w:r>
      <w:r w:rsidR="00C77AD7" w:rsidRPr="007A682B">
        <w:rPr>
          <w:rFonts w:ascii="Arial" w:hAnsi="Arial" w:cs="Arial"/>
          <w:sz w:val="20"/>
          <w:szCs w:val="20"/>
        </w:rPr>
        <w:t>POA</w:t>
      </w:r>
      <w:r w:rsidRPr="007A682B">
        <w:rPr>
          <w:rFonts w:ascii="Arial" w:hAnsi="Arial" w:cs="Arial"/>
          <w:sz w:val="20"/>
          <w:szCs w:val="20"/>
        </w:rPr>
        <w:t xml:space="preserve"> populations. These findings established the male and female endpoints of neural </w:t>
      </w:r>
      <w:r w:rsidR="00D770B1" w:rsidRPr="007A682B">
        <w:rPr>
          <w:rFonts w:ascii="Arial" w:hAnsi="Arial" w:cs="Arial"/>
          <w:sz w:val="20"/>
          <w:szCs w:val="20"/>
        </w:rPr>
        <w:t>sex change</w:t>
      </w:r>
      <w:r w:rsidRPr="007A682B">
        <w:rPr>
          <w:rFonts w:ascii="Arial" w:hAnsi="Arial" w:cs="Arial"/>
          <w:sz w:val="20"/>
          <w:szCs w:val="20"/>
        </w:rPr>
        <w:t xml:space="preserve"> and identified the </w:t>
      </w:r>
      <w:r w:rsidR="00C77AD7" w:rsidRPr="007A682B">
        <w:rPr>
          <w:rFonts w:ascii="Arial" w:hAnsi="Arial" w:cs="Arial"/>
          <w:sz w:val="20"/>
          <w:szCs w:val="20"/>
        </w:rPr>
        <w:t>POA</w:t>
      </w:r>
      <w:r w:rsidRPr="007A682B">
        <w:rPr>
          <w:rFonts w:ascii="Arial" w:hAnsi="Arial" w:cs="Arial"/>
          <w:sz w:val="20"/>
          <w:szCs w:val="20"/>
        </w:rPr>
        <w:t xml:space="preserve"> as a major site of cellular remodeling </w:t>
      </w:r>
      <w:r w:rsidR="00D770B1" w:rsidRPr="007A682B">
        <w:rPr>
          <w:rFonts w:ascii="Arial" w:hAnsi="Arial" w:cs="Arial"/>
          <w:sz w:val="20"/>
          <w:szCs w:val="20"/>
        </w:rPr>
        <w:t>during the process</w:t>
      </w:r>
      <w:r w:rsidR="00933230" w:rsidRPr="007A682B">
        <w:rPr>
          <w:rFonts w:ascii="Arial" w:hAnsi="Arial" w:cs="Arial"/>
          <w:sz w:val="20"/>
          <w:szCs w:val="20"/>
        </w:rPr>
        <w:t xml:space="preserve"> </w:t>
      </w:r>
      <w:r w:rsidR="00933230"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{"citationID":"HK9AAkqP","properties":{"unsorted":false,"formattedCitation":"(5)","plainCitation":"(5)","noteIndex":0},"citationItems":[{"id":3227,"uris":["http://zotero.org/users/11313215/items/RWMZ9QFA"],"itemData":{"id":3227,"type":"article-journal","abstract":"BACKGROUND: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933230" w:rsidRPr="007A682B">
        <w:rPr>
          <w:rFonts w:ascii="Arial" w:hAnsi="Arial" w:cs="Arial"/>
          <w:sz w:val="20"/>
          <w:szCs w:val="20"/>
        </w:rPr>
        <w:fldChar w:fldCharType="separate"/>
      </w:r>
      <w:r w:rsidR="0072390C" w:rsidRPr="007A682B">
        <w:rPr>
          <w:rFonts w:ascii="Arial" w:hAnsi="Arial" w:cs="Arial"/>
          <w:noProof/>
          <w:sz w:val="20"/>
          <w:szCs w:val="20"/>
        </w:rPr>
        <w:t>(5)</w:t>
      </w:r>
      <w:r w:rsidR="00933230" w:rsidRPr="007A682B">
        <w:rPr>
          <w:rFonts w:ascii="Arial" w:hAnsi="Arial" w:cs="Arial"/>
          <w:sz w:val="20"/>
          <w:szCs w:val="20"/>
        </w:rPr>
        <w:fldChar w:fldCharType="end"/>
      </w:r>
      <w:r w:rsidRPr="007A682B">
        <w:rPr>
          <w:rFonts w:ascii="Arial" w:hAnsi="Arial" w:cs="Arial"/>
          <w:sz w:val="20"/>
          <w:szCs w:val="20"/>
        </w:rPr>
        <w:t>.</w:t>
      </w:r>
    </w:p>
    <w:p w14:paraId="0F290A79" w14:textId="21874390" w:rsidR="00E1149A" w:rsidRPr="007A682B" w:rsidRDefault="00E1149A" w:rsidP="003E4206">
      <w:pPr>
        <w:ind w:firstLine="720"/>
        <w:rPr>
          <w:rFonts w:ascii="Arial" w:hAnsi="Arial" w:cs="Arial"/>
          <w:sz w:val="20"/>
          <w:szCs w:val="20"/>
        </w:rPr>
      </w:pPr>
      <w:r w:rsidRPr="007A682B">
        <w:rPr>
          <w:rFonts w:ascii="Arial" w:hAnsi="Arial" w:cs="Arial"/>
          <w:sz w:val="20"/>
          <w:szCs w:val="20"/>
        </w:rPr>
        <w:t xml:space="preserve">However, the previous </w:t>
      </w:r>
      <w:r w:rsidR="00C77AD7" w:rsidRPr="007A682B">
        <w:rPr>
          <w:rFonts w:ascii="Arial" w:hAnsi="Arial" w:cs="Arial"/>
          <w:sz w:val="20"/>
          <w:szCs w:val="20"/>
        </w:rPr>
        <w:t xml:space="preserve">study </w:t>
      </w:r>
      <w:r w:rsidRPr="007A682B">
        <w:rPr>
          <w:rFonts w:ascii="Arial" w:hAnsi="Arial" w:cs="Arial"/>
          <w:sz w:val="20"/>
          <w:szCs w:val="20"/>
        </w:rPr>
        <w:t xml:space="preserve">compared only reproductively active males and females and therefore could not determine when these cellular differences emerged or whether they preceded or </w:t>
      </w:r>
      <w:r w:rsidRPr="007A682B">
        <w:rPr>
          <w:rFonts w:ascii="Arial" w:hAnsi="Arial" w:cs="Arial"/>
          <w:sz w:val="20"/>
          <w:szCs w:val="20"/>
        </w:rPr>
        <w:lastRenderedPageBreak/>
        <w:t xml:space="preserve">followed gonadal transformation. Consequently, the temporal sequence of neural remodeling during sex change remains unresolved. In particular, it is unknown whether the extensive changes observed in </w:t>
      </w:r>
      <w:r w:rsidR="00C77AD7" w:rsidRPr="007A682B">
        <w:rPr>
          <w:rFonts w:ascii="Arial" w:hAnsi="Arial" w:cs="Arial"/>
          <w:sz w:val="20"/>
          <w:szCs w:val="20"/>
        </w:rPr>
        <w:t>the POA</w:t>
      </w:r>
      <w:r w:rsidRPr="007A682B">
        <w:rPr>
          <w:rFonts w:ascii="Arial" w:hAnsi="Arial" w:cs="Arial"/>
          <w:sz w:val="20"/>
          <w:szCs w:val="20"/>
        </w:rPr>
        <w:t xml:space="preserve"> arise during the prolonged period of reproductive stasis, during gonadal transformation itself, or only after female reproductive physiology has been established. Furthermore, because </w:t>
      </w:r>
      <w:r w:rsidR="00C77AD7" w:rsidRPr="007A682B">
        <w:rPr>
          <w:rFonts w:ascii="Arial" w:hAnsi="Arial" w:cs="Arial"/>
          <w:sz w:val="20"/>
          <w:szCs w:val="20"/>
        </w:rPr>
        <w:t>that analysis</w:t>
      </w:r>
      <w:r w:rsidRPr="007A682B">
        <w:rPr>
          <w:rFonts w:ascii="Arial" w:hAnsi="Arial" w:cs="Arial"/>
          <w:sz w:val="20"/>
          <w:szCs w:val="20"/>
        </w:rPr>
        <w:t xml:space="preserve"> sampled the entire telencephalon</w:t>
      </w:r>
      <w:r w:rsidR="00D770B1" w:rsidRPr="007A682B">
        <w:rPr>
          <w:rFonts w:ascii="Arial" w:hAnsi="Arial" w:cs="Arial"/>
          <w:sz w:val="20"/>
          <w:szCs w:val="20"/>
        </w:rPr>
        <w:t>,</w:t>
      </w:r>
      <w:r w:rsidRPr="007A682B">
        <w:rPr>
          <w:rFonts w:ascii="Arial" w:hAnsi="Arial" w:cs="Arial"/>
          <w:sz w:val="20"/>
          <w:szCs w:val="20"/>
        </w:rPr>
        <w:t xml:space="preserve"> </w:t>
      </w:r>
      <w:r w:rsidR="00CF7C9D" w:rsidRPr="007A682B">
        <w:rPr>
          <w:rFonts w:ascii="Arial" w:hAnsi="Arial" w:cs="Arial"/>
          <w:sz w:val="20"/>
          <w:szCs w:val="20"/>
        </w:rPr>
        <w:t>only a limited number of nuclei from the POA were sampled</w:t>
      </w:r>
      <w:r w:rsidRPr="007A682B">
        <w:rPr>
          <w:rFonts w:ascii="Arial" w:hAnsi="Arial" w:cs="Arial"/>
          <w:sz w:val="20"/>
          <w:szCs w:val="20"/>
        </w:rPr>
        <w:t xml:space="preserve">. Although this population exhibited some of the most striking sex differences in the dataset, its limited representation constrained our ability to resolve </w:t>
      </w:r>
      <w:r w:rsidR="00C77AD7" w:rsidRPr="007A682B">
        <w:rPr>
          <w:rFonts w:ascii="Arial" w:hAnsi="Arial" w:cs="Arial"/>
          <w:sz w:val="20"/>
          <w:szCs w:val="20"/>
        </w:rPr>
        <w:t xml:space="preserve">changes in </w:t>
      </w:r>
      <w:r w:rsidRPr="007A682B">
        <w:rPr>
          <w:rFonts w:ascii="Arial" w:hAnsi="Arial" w:cs="Arial"/>
          <w:sz w:val="20"/>
          <w:szCs w:val="20"/>
        </w:rPr>
        <w:t xml:space="preserve">this key </w:t>
      </w:r>
      <w:r w:rsidR="00CF7C9D" w:rsidRPr="007A682B">
        <w:rPr>
          <w:rFonts w:ascii="Arial" w:hAnsi="Arial" w:cs="Arial"/>
          <w:sz w:val="20"/>
          <w:szCs w:val="20"/>
        </w:rPr>
        <w:t>population</w:t>
      </w:r>
      <w:r w:rsidRPr="007A682B">
        <w:rPr>
          <w:rFonts w:ascii="Arial" w:hAnsi="Arial" w:cs="Arial"/>
          <w:sz w:val="20"/>
          <w:szCs w:val="20"/>
        </w:rPr>
        <w:t xml:space="preserve">. We therefore focused the present study on a targeted dissection centered on the POA and adjacent </w:t>
      </w:r>
      <w:r w:rsidR="00C77AD7" w:rsidRPr="007A682B">
        <w:rPr>
          <w:rFonts w:ascii="Arial" w:hAnsi="Arial" w:cs="Arial"/>
          <w:sz w:val="20"/>
          <w:szCs w:val="20"/>
        </w:rPr>
        <w:t>regions</w:t>
      </w:r>
      <w:r w:rsidRPr="007A682B">
        <w:rPr>
          <w:rFonts w:ascii="Arial" w:hAnsi="Arial" w:cs="Arial"/>
          <w:sz w:val="20"/>
          <w:szCs w:val="20"/>
        </w:rPr>
        <w:t xml:space="preserve"> while removing most of the telencephalon, </w:t>
      </w:r>
      <w:r w:rsidR="00CF7C9D" w:rsidRPr="007A682B">
        <w:rPr>
          <w:rFonts w:ascii="Arial" w:hAnsi="Arial" w:cs="Arial"/>
          <w:sz w:val="20"/>
          <w:szCs w:val="20"/>
        </w:rPr>
        <w:t>enriching</w:t>
      </w:r>
      <w:r w:rsidRPr="007A682B">
        <w:rPr>
          <w:rFonts w:ascii="Arial" w:hAnsi="Arial" w:cs="Arial"/>
          <w:sz w:val="20"/>
          <w:szCs w:val="20"/>
        </w:rPr>
        <w:t xml:space="preserve"> representation of</w:t>
      </w:r>
      <w:r w:rsidR="00CF7C9D" w:rsidRPr="007A682B">
        <w:rPr>
          <w:rFonts w:ascii="Arial" w:hAnsi="Arial" w:cs="Arial"/>
          <w:sz w:val="20"/>
          <w:szCs w:val="20"/>
        </w:rPr>
        <w:t xml:space="preserve"> the</w:t>
      </w:r>
      <w:r w:rsidRPr="007A682B">
        <w:rPr>
          <w:rFonts w:ascii="Arial" w:hAnsi="Arial" w:cs="Arial"/>
          <w:sz w:val="20"/>
          <w:szCs w:val="20"/>
        </w:rPr>
        <w:t xml:space="preserve"> </w:t>
      </w:r>
      <w:r w:rsidR="00CF7C9D" w:rsidRPr="007A682B">
        <w:rPr>
          <w:rFonts w:ascii="Arial" w:hAnsi="Arial" w:cs="Arial"/>
          <w:sz w:val="20"/>
          <w:szCs w:val="20"/>
        </w:rPr>
        <w:t>POA in our dataset</w:t>
      </w:r>
      <w:r w:rsidRPr="007A682B">
        <w:rPr>
          <w:rFonts w:ascii="Arial" w:hAnsi="Arial" w:cs="Arial"/>
          <w:sz w:val="20"/>
          <w:szCs w:val="20"/>
        </w:rPr>
        <w:t>.</w:t>
      </w:r>
    </w:p>
    <w:p w14:paraId="0C75A6B5" w14:textId="2D677C7C" w:rsidR="00E1149A" w:rsidRPr="007A682B" w:rsidRDefault="00D770B1" w:rsidP="003E4206">
      <w:pPr>
        <w:ind w:firstLine="720"/>
        <w:rPr>
          <w:rFonts w:ascii="Arial" w:hAnsi="Arial" w:cs="Arial"/>
          <w:b/>
          <w:bCs/>
          <w:sz w:val="20"/>
          <w:szCs w:val="20"/>
          <w:u w:val="single"/>
        </w:rPr>
      </w:pPr>
      <w:r w:rsidRPr="007A682B">
        <w:rPr>
          <w:rFonts w:ascii="Arial" w:hAnsi="Arial" w:cs="Arial"/>
          <w:sz w:val="20"/>
          <w:szCs w:val="20"/>
        </w:rPr>
        <w:t>Here, w</w:t>
      </w:r>
      <w:r w:rsidR="00AB19C0" w:rsidRPr="007A682B">
        <w:rPr>
          <w:rFonts w:ascii="Arial" w:hAnsi="Arial" w:cs="Arial"/>
          <w:sz w:val="20"/>
          <w:szCs w:val="20"/>
        </w:rPr>
        <w:t xml:space="preserve">e combine single-nucleus multiomics with spatial transcriptomics to characterize the </w:t>
      </w:r>
      <w:r w:rsidR="00CF7C9D" w:rsidRPr="007A682B">
        <w:rPr>
          <w:rFonts w:ascii="Arial" w:hAnsi="Arial" w:cs="Arial"/>
          <w:sz w:val="20"/>
          <w:szCs w:val="20"/>
        </w:rPr>
        <w:t>POA</w:t>
      </w:r>
      <w:r w:rsidR="00AB19C0" w:rsidRPr="007A682B">
        <w:rPr>
          <w:rFonts w:ascii="Arial" w:hAnsi="Arial" w:cs="Arial"/>
          <w:sz w:val="20"/>
          <w:szCs w:val="20"/>
        </w:rPr>
        <w:t xml:space="preserve"> </w:t>
      </w:r>
      <w:r w:rsidR="00B04808" w:rsidRPr="007A682B">
        <w:rPr>
          <w:rFonts w:ascii="Arial" w:hAnsi="Arial" w:cs="Arial"/>
          <w:sz w:val="20"/>
          <w:szCs w:val="20"/>
        </w:rPr>
        <w:t xml:space="preserve">and </w:t>
      </w:r>
      <w:r w:rsidR="00064EA0" w:rsidRPr="007A682B">
        <w:rPr>
          <w:rFonts w:ascii="Arial" w:hAnsi="Arial" w:cs="Arial"/>
          <w:sz w:val="20"/>
          <w:szCs w:val="20"/>
        </w:rPr>
        <w:t xml:space="preserve">adjacent </w:t>
      </w:r>
      <w:r w:rsidR="00B04808" w:rsidRPr="007A682B">
        <w:rPr>
          <w:rFonts w:ascii="Arial" w:hAnsi="Arial" w:cs="Arial"/>
          <w:sz w:val="20"/>
          <w:szCs w:val="20"/>
        </w:rPr>
        <w:t xml:space="preserve">regions </w:t>
      </w:r>
      <w:r w:rsidR="00AB19C0" w:rsidRPr="007A682B">
        <w:rPr>
          <w:rFonts w:ascii="Arial" w:hAnsi="Arial" w:cs="Arial"/>
          <w:sz w:val="20"/>
          <w:szCs w:val="20"/>
        </w:rPr>
        <w:t xml:space="preserve">across multiple stages of protandrous sex change. By integrating transcriptional state, chromatin accessibility, spatial localization, endocrine phenotype, gonadal morphology, and behavior, we </w:t>
      </w:r>
      <w:r w:rsidR="00E44871" w:rsidRPr="007A682B">
        <w:rPr>
          <w:rFonts w:ascii="Arial" w:hAnsi="Arial" w:cs="Arial"/>
          <w:sz w:val="20"/>
          <w:szCs w:val="20"/>
        </w:rPr>
        <w:t xml:space="preserve">show </w:t>
      </w:r>
      <w:r w:rsidR="00AB19C0" w:rsidRPr="007A682B">
        <w:rPr>
          <w:rFonts w:ascii="Arial" w:hAnsi="Arial" w:cs="Arial"/>
          <w:sz w:val="20"/>
          <w:szCs w:val="20"/>
        </w:rPr>
        <w:t xml:space="preserve">the cellular and molecular progression of sex change from reproductive males through intermediate stages to reproductive females. Our analyses reveal stage-specific remodeling of </w:t>
      </w:r>
      <w:r w:rsidR="00E44871" w:rsidRPr="007A682B">
        <w:rPr>
          <w:rFonts w:ascii="Arial" w:hAnsi="Arial" w:cs="Arial"/>
          <w:sz w:val="20"/>
          <w:szCs w:val="20"/>
        </w:rPr>
        <w:t>RGCs</w:t>
      </w:r>
      <w:r w:rsidR="00AB19C0" w:rsidRPr="007A682B">
        <w:rPr>
          <w:rFonts w:ascii="Arial" w:hAnsi="Arial" w:cs="Arial"/>
          <w:sz w:val="20"/>
          <w:szCs w:val="20"/>
        </w:rPr>
        <w:t xml:space="preserve"> and </w:t>
      </w:r>
      <w:r w:rsidR="00C77AD7" w:rsidRPr="007A682B">
        <w:rPr>
          <w:rFonts w:ascii="Arial" w:hAnsi="Arial" w:cs="Arial"/>
          <w:sz w:val="20"/>
          <w:szCs w:val="20"/>
        </w:rPr>
        <w:t xml:space="preserve">gonadotroph regulating </w:t>
      </w:r>
      <w:r w:rsidR="00AB19C0" w:rsidRPr="007A682B">
        <w:rPr>
          <w:rFonts w:ascii="Arial" w:hAnsi="Arial" w:cs="Arial"/>
          <w:sz w:val="20"/>
          <w:szCs w:val="20"/>
        </w:rPr>
        <w:t xml:space="preserve">cell populations that define the progression of sex change before and after overt gonadal transformation. Together, these findings provide a </w:t>
      </w:r>
      <w:r w:rsidRPr="007A682B">
        <w:rPr>
          <w:rFonts w:ascii="Arial" w:hAnsi="Arial" w:cs="Arial"/>
          <w:sz w:val="20"/>
          <w:szCs w:val="20"/>
        </w:rPr>
        <w:t>novel</w:t>
      </w:r>
      <w:r w:rsidR="00AB19C0" w:rsidRPr="007A682B">
        <w:rPr>
          <w:rFonts w:ascii="Arial" w:hAnsi="Arial" w:cs="Arial"/>
          <w:sz w:val="20"/>
          <w:szCs w:val="20"/>
        </w:rPr>
        <w:t xml:space="preserve"> framework for understanding how neural remodeling precedes and potentially orchestrates the transition to the female reproductive state.</w:t>
      </w:r>
    </w:p>
    <w:p w14:paraId="601D227C" w14:textId="77777777" w:rsidR="00E1149A" w:rsidRPr="007A682B" w:rsidRDefault="00E1149A" w:rsidP="003218DF">
      <w:pPr>
        <w:rPr>
          <w:rFonts w:ascii="Arial" w:hAnsi="Arial" w:cs="Arial"/>
          <w:sz w:val="20"/>
          <w:szCs w:val="20"/>
        </w:rPr>
      </w:pPr>
    </w:p>
    <w:p w14:paraId="4CEF35DF" w14:textId="58C0C823" w:rsidR="004816FA" w:rsidRPr="007A682B" w:rsidRDefault="004816FA" w:rsidP="00E1149A">
      <w:pPr>
        <w:rPr>
          <w:rFonts w:ascii="Arial" w:hAnsi="Arial" w:cs="Arial"/>
          <w:b/>
          <w:bCs/>
          <w:sz w:val="20"/>
          <w:szCs w:val="20"/>
        </w:rPr>
      </w:pPr>
      <w:r w:rsidRPr="007A682B">
        <w:rPr>
          <w:rFonts w:ascii="Arial" w:hAnsi="Arial" w:cs="Arial"/>
          <w:b/>
          <w:bCs/>
          <w:sz w:val="20"/>
          <w:szCs w:val="20"/>
        </w:rPr>
        <w:t>Results</w:t>
      </w:r>
    </w:p>
    <w:p w14:paraId="0FF27CF0" w14:textId="77777777" w:rsidR="004816FA" w:rsidRPr="007A682B" w:rsidRDefault="004816FA" w:rsidP="00753C87">
      <w:pPr>
        <w:rPr>
          <w:rFonts w:ascii="Arial" w:hAnsi="Arial" w:cs="Arial"/>
          <w:b/>
          <w:bCs/>
          <w:sz w:val="20"/>
          <w:szCs w:val="20"/>
        </w:rPr>
      </w:pPr>
      <w:r w:rsidRPr="007A682B">
        <w:rPr>
          <w:rFonts w:ascii="Arial" w:hAnsi="Arial" w:cs="Arial"/>
          <w:b/>
          <w:bCs/>
          <w:sz w:val="20"/>
          <w:szCs w:val="20"/>
        </w:rPr>
        <w:t>Male, Intermediate and Female Anemonefish Display Distinct Physiology and Behavior</w:t>
      </w:r>
    </w:p>
    <w:p w14:paraId="10C976F3" w14:textId="02079225" w:rsidR="0018081A" w:rsidRPr="007A682B" w:rsidRDefault="0018081A" w:rsidP="0018081A">
      <w:pPr>
        <w:ind w:firstLine="720"/>
        <w:rPr>
          <w:rFonts w:ascii="Arial" w:hAnsi="Arial" w:cs="Arial"/>
          <w:sz w:val="20"/>
          <w:szCs w:val="20"/>
        </w:rPr>
      </w:pPr>
      <w:r w:rsidRPr="007A682B">
        <w:rPr>
          <w:rFonts w:ascii="Arial" w:hAnsi="Arial" w:cs="Arial"/>
          <w:sz w:val="20"/>
          <w:szCs w:val="20"/>
        </w:rPr>
        <w:t>To understand the process of protandrous sex change, we compared 6 reproductively active anemonefish pairs (n = 6 males and 6 females) to 10 pairs (n = 20) of male anemonefish housed together for 6 months</w:t>
      </w:r>
      <w:r w:rsidR="009244C4" w:rsidRPr="007A682B">
        <w:rPr>
          <w:rFonts w:ascii="Arial" w:hAnsi="Arial" w:cs="Arial"/>
          <w:sz w:val="20"/>
          <w:szCs w:val="20"/>
        </w:rPr>
        <w:t xml:space="preserve">. </w:t>
      </w:r>
      <w:r w:rsidRPr="007A682B">
        <w:rPr>
          <w:rFonts w:ascii="Arial" w:hAnsi="Arial" w:cs="Arial"/>
          <w:sz w:val="20"/>
          <w:szCs w:val="20"/>
        </w:rPr>
        <w:t>We paired males such that one male was notably larger than the other and was expected to occupy the α position in the social dominance hierarchy. These males (hereafter referred to as “</w:t>
      </w:r>
      <w:r w:rsidR="00F339F4" w:rsidRPr="007A682B">
        <w:rPr>
          <w:rFonts w:ascii="Arial" w:hAnsi="Arial" w:cs="Arial"/>
          <w:sz w:val="20"/>
          <w:szCs w:val="20"/>
        </w:rPr>
        <w:t>I</w:t>
      </w:r>
      <w:r w:rsidRPr="007A682B">
        <w:rPr>
          <w:rFonts w:ascii="Arial" w:hAnsi="Arial" w:cs="Arial"/>
          <w:sz w:val="20"/>
          <w:szCs w:val="20"/>
        </w:rPr>
        <w:t>ntermediates”) are destined to undergo protandrous sex change, and given enough time, will become reproductively active females. The partners of intermediates, males expected to remain males, are referred to as “</w:t>
      </w:r>
      <w:r w:rsidR="00F339F4" w:rsidRPr="007A682B">
        <w:rPr>
          <w:rFonts w:ascii="Arial" w:hAnsi="Arial" w:cs="Arial"/>
          <w:sz w:val="20"/>
          <w:szCs w:val="20"/>
        </w:rPr>
        <w:t>I</w:t>
      </w:r>
      <w:r w:rsidRPr="007A682B">
        <w:rPr>
          <w:rFonts w:ascii="Arial" w:hAnsi="Arial" w:cs="Arial"/>
          <w:sz w:val="20"/>
          <w:szCs w:val="20"/>
        </w:rPr>
        <w:t xml:space="preserve">ntermediate </w:t>
      </w:r>
      <w:r w:rsidR="00F339F4" w:rsidRPr="007A682B">
        <w:rPr>
          <w:rFonts w:ascii="Arial" w:hAnsi="Arial" w:cs="Arial"/>
          <w:sz w:val="20"/>
          <w:szCs w:val="20"/>
        </w:rPr>
        <w:t>P</w:t>
      </w:r>
      <w:r w:rsidRPr="007A682B">
        <w:rPr>
          <w:rFonts w:ascii="Arial" w:hAnsi="Arial" w:cs="Arial"/>
          <w:sz w:val="20"/>
          <w:szCs w:val="20"/>
        </w:rPr>
        <w:t>artners”. We chose the 6-month timepoint as previous work in our lab has shown that at six months, approximately 10% of fish will have completed sex change, while the remaining fish will be in various intermediate stages determined by individual variation</w:t>
      </w:r>
      <w:r w:rsidR="00B01C34" w:rsidRPr="007A682B">
        <w:rPr>
          <w:rFonts w:ascii="Arial" w:hAnsi="Arial" w:cs="Arial"/>
          <w:sz w:val="20"/>
          <w:szCs w:val="20"/>
        </w:rPr>
        <w:t xml:space="preserve"> </w:t>
      </w:r>
      <w:r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{"citationID":"rUsOMn9I","properties":{"formattedCitation":"(7)","plainCitation":"(7)","noteIndex":0},"citationItems":[{"id":43,"uris":["http://zotero.org/users/11313215/items/TBICN8KA"],"itemData":{"id":43,"type":"article-journal","abstract":"Many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7A682B">
        <w:rPr>
          <w:rFonts w:ascii="Arial" w:hAnsi="Arial" w:cs="Arial"/>
          <w:sz w:val="20"/>
          <w:szCs w:val="20"/>
        </w:rPr>
        <w:fldChar w:fldCharType="separate"/>
      </w:r>
      <w:r w:rsidR="0072390C" w:rsidRPr="007A682B">
        <w:rPr>
          <w:rFonts w:ascii="Arial" w:hAnsi="Arial" w:cs="Arial"/>
          <w:sz w:val="20"/>
          <w:szCs w:val="20"/>
        </w:rPr>
        <w:t>(7)</w:t>
      </w:r>
      <w:r w:rsidRPr="007A682B">
        <w:rPr>
          <w:rFonts w:ascii="Arial" w:hAnsi="Arial" w:cs="Arial"/>
          <w:sz w:val="20"/>
          <w:szCs w:val="20"/>
        </w:rPr>
        <w:fldChar w:fldCharType="end"/>
      </w:r>
      <w:r w:rsidRPr="007A682B">
        <w:rPr>
          <w:rFonts w:ascii="Arial" w:hAnsi="Arial" w:cs="Arial"/>
          <w:sz w:val="20"/>
          <w:szCs w:val="20"/>
        </w:rPr>
        <w:t>. Indeed, at this timepoint we found that one individual had completed sex change as indicated by the presence of vitellogenic oocytes (thus this individual was classified as a “New Female” and its partner as “New Male”)</w:t>
      </w:r>
      <w:r w:rsidR="0023586C" w:rsidRPr="007A682B">
        <w:rPr>
          <w:rFonts w:ascii="Arial" w:hAnsi="Arial" w:cs="Arial"/>
          <w:sz w:val="20"/>
          <w:szCs w:val="20"/>
        </w:rPr>
        <w:t>. T</w:t>
      </w:r>
      <w:r w:rsidRPr="007A682B">
        <w:rPr>
          <w:rFonts w:ascii="Arial" w:hAnsi="Arial" w:cs="Arial"/>
          <w:sz w:val="20"/>
          <w:szCs w:val="20"/>
        </w:rPr>
        <w:t>wo other individuals had a distinct gonadal phenotype defined</w:t>
      </w:r>
      <w:r w:rsidR="0023586C" w:rsidRPr="007A682B">
        <w:rPr>
          <w:rFonts w:ascii="Arial" w:hAnsi="Arial" w:cs="Arial"/>
          <w:sz w:val="20"/>
          <w:szCs w:val="20"/>
        </w:rPr>
        <w:t xml:space="preserve"> by having</w:t>
      </w:r>
      <w:r w:rsidRPr="007A682B">
        <w:rPr>
          <w:rFonts w:ascii="Arial" w:hAnsi="Arial" w:cs="Arial"/>
          <w:sz w:val="20"/>
          <w:szCs w:val="20"/>
        </w:rPr>
        <w:t xml:space="preserve"> </w:t>
      </w:r>
      <w:r w:rsidR="0023586C" w:rsidRPr="007A682B">
        <w:rPr>
          <w:rFonts w:ascii="Arial" w:hAnsi="Arial" w:cs="Arial"/>
          <w:sz w:val="20"/>
          <w:szCs w:val="20"/>
        </w:rPr>
        <w:t xml:space="preserve">only non-vitellogenic oocytes, no testicular tissue, no vitellogenic oocytes, and </w:t>
      </w:r>
      <w:r w:rsidRPr="007A682B">
        <w:rPr>
          <w:rFonts w:ascii="Arial" w:hAnsi="Arial" w:cs="Arial"/>
          <w:sz w:val="20"/>
          <w:szCs w:val="20"/>
        </w:rPr>
        <w:t>a large volume of empty space. These individuals were classified as “Late Intermediates” and their partners as “Late Intermediate Partners”. Throughout this manuscript, we refer to these various stages of sex change as “phases”.</w:t>
      </w:r>
    </w:p>
    <w:p w14:paraId="7747D916" w14:textId="4B1F8F4C" w:rsidR="0023586C" w:rsidRPr="007A682B" w:rsidRDefault="002F5974" w:rsidP="00AE16ED">
      <w:pPr>
        <w:rPr>
          <w:rFonts w:ascii="Arial" w:hAnsi="Arial" w:cs="Arial"/>
        </w:rPr>
      </w:pPr>
      <w:r w:rsidRPr="007A682B">
        <w:rPr>
          <w:rFonts w:ascii="Arial" w:hAnsi="Arial" w:cs="Arial"/>
          <w:sz w:val="20"/>
          <w:szCs w:val="20"/>
        </w:rPr>
        <w:tab/>
      </w:r>
      <w:r w:rsidR="001E3631">
        <w:rPr>
          <w:rFonts w:ascii="Arial" w:hAnsi="Arial" w:cs="Arial"/>
          <w:sz w:val="20"/>
          <w:szCs w:val="20"/>
        </w:rPr>
        <w:t>By six months</w:t>
      </w:r>
      <w:r w:rsidRPr="007A682B">
        <w:rPr>
          <w:rFonts w:ascii="Arial" w:hAnsi="Arial" w:cs="Arial"/>
          <w:sz w:val="20"/>
          <w:szCs w:val="20"/>
        </w:rPr>
        <w:t xml:space="preserve">, </w:t>
      </w:r>
      <w:r w:rsidR="001E3631">
        <w:rPr>
          <w:rFonts w:ascii="Arial" w:hAnsi="Arial" w:cs="Arial"/>
          <w:sz w:val="20"/>
          <w:szCs w:val="20"/>
        </w:rPr>
        <w:t>i</w:t>
      </w:r>
      <w:r w:rsidRPr="007A682B">
        <w:rPr>
          <w:rFonts w:ascii="Arial" w:hAnsi="Arial" w:cs="Arial"/>
          <w:sz w:val="20"/>
          <w:szCs w:val="20"/>
        </w:rPr>
        <w:t xml:space="preserve">ntermediates </w:t>
      </w:r>
      <w:r w:rsidR="001E3631">
        <w:rPr>
          <w:rFonts w:ascii="Arial" w:hAnsi="Arial" w:cs="Arial"/>
          <w:sz w:val="20"/>
          <w:szCs w:val="20"/>
        </w:rPr>
        <w:t xml:space="preserve">had </w:t>
      </w:r>
      <w:r w:rsidR="00632C04">
        <w:rPr>
          <w:rFonts w:ascii="Arial" w:hAnsi="Arial" w:cs="Arial"/>
          <w:sz w:val="20"/>
          <w:szCs w:val="20"/>
        </w:rPr>
        <w:t xml:space="preserve">significantly  </w:t>
      </w:r>
      <w:r w:rsidRPr="007A682B">
        <w:rPr>
          <w:rFonts w:ascii="Arial" w:hAnsi="Arial" w:cs="Arial"/>
          <w:sz w:val="20"/>
          <w:szCs w:val="20"/>
        </w:rPr>
        <w:t>increased their length</w:t>
      </w:r>
      <w:r w:rsidR="00632C04">
        <w:rPr>
          <w:rFonts w:ascii="Arial" w:hAnsi="Arial" w:cs="Arial"/>
          <w:sz w:val="20"/>
          <w:szCs w:val="20"/>
        </w:rPr>
        <w:t xml:space="preserve"> (F(</w:t>
      </w:r>
      <w:r w:rsidR="00861E9A">
        <w:rPr>
          <w:rFonts w:ascii="Arial" w:hAnsi="Arial" w:cs="Arial"/>
          <w:sz w:val="20"/>
          <w:szCs w:val="20"/>
        </w:rPr>
        <w:t>5</w:t>
      </w:r>
      <w:r w:rsidR="00632C04">
        <w:rPr>
          <w:rFonts w:ascii="Arial" w:hAnsi="Arial" w:cs="Arial"/>
          <w:sz w:val="20"/>
          <w:szCs w:val="20"/>
        </w:rPr>
        <w:t>,</w:t>
      </w:r>
      <w:r w:rsidR="00861E9A">
        <w:rPr>
          <w:rFonts w:ascii="Arial" w:hAnsi="Arial" w:cs="Arial"/>
          <w:sz w:val="20"/>
          <w:szCs w:val="20"/>
        </w:rPr>
        <w:t>1</w:t>
      </w:r>
      <w:r w:rsidR="00632C04">
        <w:rPr>
          <w:rFonts w:ascii="Arial" w:hAnsi="Arial" w:cs="Arial"/>
          <w:sz w:val="20"/>
          <w:szCs w:val="20"/>
        </w:rPr>
        <w:t>4)=</w:t>
      </w:r>
      <w:r w:rsidR="00861E9A">
        <w:rPr>
          <w:rFonts w:ascii="Arial" w:hAnsi="Arial" w:cs="Arial"/>
          <w:sz w:val="20"/>
          <w:szCs w:val="20"/>
        </w:rPr>
        <w:t>5.494</w:t>
      </w:r>
      <w:r w:rsidR="00632C04">
        <w:rPr>
          <w:rFonts w:ascii="Arial" w:hAnsi="Arial" w:cs="Arial"/>
          <w:sz w:val="20"/>
          <w:szCs w:val="20"/>
        </w:rPr>
        <w:t xml:space="preserve">, </w:t>
      </w:r>
      <w:r w:rsidR="00632C04">
        <w:rPr>
          <w:rFonts w:ascii="Arial" w:hAnsi="Arial" w:cs="Arial"/>
          <w:i/>
          <w:iCs/>
          <w:sz w:val="20"/>
          <w:szCs w:val="20"/>
        </w:rPr>
        <w:t>p</w:t>
      </w:r>
      <w:r w:rsidR="00632C04">
        <w:rPr>
          <w:rFonts w:ascii="Arial" w:hAnsi="Arial" w:cs="Arial"/>
          <w:sz w:val="20"/>
          <w:szCs w:val="20"/>
        </w:rPr>
        <w:t xml:space="preserve"> &lt;0.01)</w:t>
      </w:r>
      <w:r w:rsidR="009244C4" w:rsidRPr="007A682B">
        <w:rPr>
          <w:rFonts w:ascii="Arial" w:hAnsi="Arial" w:cs="Arial"/>
          <w:sz w:val="20"/>
          <w:szCs w:val="20"/>
        </w:rPr>
        <w:t xml:space="preserve"> and mass</w:t>
      </w:r>
      <w:r w:rsidR="00632C04">
        <w:rPr>
          <w:rFonts w:ascii="Arial" w:hAnsi="Arial" w:cs="Arial"/>
          <w:sz w:val="20"/>
          <w:szCs w:val="20"/>
        </w:rPr>
        <w:t xml:space="preserve"> (F(</w:t>
      </w:r>
      <w:r w:rsidR="00861E9A">
        <w:rPr>
          <w:rFonts w:ascii="Arial" w:hAnsi="Arial" w:cs="Arial"/>
          <w:sz w:val="20"/>
          <w:szCs w:val="20"/>
        </w:rPr>
        <w:t>5</w:t>
      </w:r>
      <w:r w:rsidR="00632C04">
        <w:rPr>
          <w:rFonts w:ascii="Arial" w:hAnsi="Arial" w:cs="Arial"/>
          <w:sz w:val="20"/>
          <w:szCs w:val="20"/>
        </w:rPr>
        <w:t>,</w:t>
      </w:r>
      <w:r w:rsidR="00861E9A">
        <w:rPr>
          <w:rFonts w:ascii="Arial" w:hAnsi="Arial" w:cs="Arial"/>
          <w:sz w:val="20"/>
          <w:szCs w:val="20"/>
        </w:rPr>
        <w:t>1</w:t>
      </w:r>
      <w:r w:rsidR="00632C04">
        <w:rPr>
          <w:rFonts w:ascii="Arial" w:hAnsi="Arial" w:cs="Arial"/>
          <w:sz w:val="20"/>
          <w:szCs w:val="20"/>
        </w:rPr>
        <w:t>4)=</w:t>
      </w:r>
      <w:r w:rsidR="00861E9A">
        <w:rPr>
          <w:rFonts w:ascii="Arial" w:hAnsi="Arial" w:cs="Arial"/>
          <w:sz w:val="20"/>
          <w:szCs w:val="20"/>
        </w:rPr>
        <w:t>9.467</w:t>
      </w:r>
      <w:r w:rsidR="00632C04">
        <w:rPr>
          <w:rFonts w:ascii="Arial" w:hAnsi="Arial" w:cs="Arial"/>
          <w:sz w:val="20"/>
          <w:szCs w:val="20"/>
        </w:rPr>
        <w:t xml:space="preserve">), </w:t>
      </w:r>
      <w:r w:rsidR="00632C04">
        <w:rPr>
          <w:rFonts w:ascii="Arial" w:hAnsi="Arial" w:cs="Arial"/>
          <w:i/>
          <w:iCs/>
          <w:sz w:val="20"/>
          <w:szCs w:val="20"/>
        </w:rPr>
        <w:t>p</w:t>
      </w:r>
      <w:r w:rsidR="00632C04">
        <w:rPr>
          <w:rFonts w:ascii="Arial" w:hAnsi="Arial" w:cs="Arial"/>
          <w:sz w:val="20"/>
          <w:szCs w:val="20"/>
        </w:rPr>
        <w:t xml:space="preserve"> &lt;0.01</w:t>
      </w:r>
      <w:r w:rsidRPr="007A682B">
        <w:rPr>
          <w:rFonts w:ascii="Arial" w:hAnsi="Arial" w:cs="Arial"/>
          <w:sz w:val="20"/>
          <w:szCs w:val="20"/>
        </w:rPr>
        <w:t xml:space="preserve"> by </w:t>
      </w:r>
      <w:r w:rsidR="009244C4" w:rsidRPr="007A682B">
        <w:rPr>
          <w:rFonts w:ascii="Arial" w:hAnsi="Arial" w:cs="Arial"/>
          <w:sz w:val="20"/>
          <w:szCs w:val="20"/>
        </w:rPr>
        <w:t>7.4</w:t>
      </w:r>
      <w:r w:rsidRPr="007A682B">
        <w:rPr>
          <w:rFonts w:ascii="Arial" w:hAnsi="Arial" w:cs="Arial"/>
          <w:sz w:val="20"/>
          <w:szCs w:val="20"/>
        </w:rPr>
        <w:t>%</w:t>
      </w:r>
      <w:r w:rsidR="00161CC6" w:rsidRPr="007A682B">
        <w:rPr>
          <w:rFonts w:ascii="Arial" w:hAnsi="Arial" w:cs="Arial"/>
          <w:sz w:val="20"/>
          <w:szCs w:val="20"/>
        </w:rPr>
        <w:t xml:space="preserve"> </w:t>
      </w:r>
      <w:r w:rsidR="00713BC1" w:rsidRPr="007A682B">
        <w:rPr>
          <w:rFonts w:ascii="Arial" w:hAnsi="Arial" w:cs="Arial"/>
          <w:sz w:val="20"/>
          <w:szCs w:val="20"/>
        </w:rPr>
        <w:t>(</w:t>
      </w:r>
      <w:r w:rsidR="00C82188" w:rsidRPr="00C82188">
        <w:rPr>
          <w:rFonts w:ascii="Arial" w:hAnsi="Arial" w:cs="Arial"/>
          <w:sz w:val="20"/>
          <w:szCs w:val="20"/>
          <w:highlight w:val="yellow"/>
        </w:rPr>
        <w:t>±</w:t>
      </w:r>
      <w:r w:rsidR="00161CC6" w:rsidRPr="007A682B">
        <w:rPr>
          <w:rFonts w:ascii="Arial" w:hAnsi="Arial" w:cs="Arial"/>
          <w:sz w:val="20"/>
          <w:szCs w:val="20"/>
        </w:rPr>
        <w:t xml:space="preserve"> </w:t>
      </w:r>
      <w:r w:rsidR="00D44132" w:rsidRPr="007A682B">
        <w:rPr>
          <w:rFonts w:ascii="Arial" w:hAnsi="Arial" w:cs="Arial"/>
          <w:sz w:val="20"/>
          <w:szCs w:val="20"/>
        </w:rPr>
        <w:t>1.1%</w:t>
      </w:r>
      <w:r w:rsidR="00557AEB" w:rsidRPr="007A682B">
        <w:rPr>
          <w:rFonts w:ascii="Arial" w:hAnsi="Arial" w:cs="Arial"/>
          <w:sz w:val="20"/>
          <w:szCs w:val="20"/>
        </w:rPr>
        <w:t xml:space="preserve"> SE</w:t>
      </w:r>
      <w:r w:rsidR="00713BC1" w:rsidRPr="007A682B">
        <w:rPr>
          <w:rFonts w:ascii="Arial" w:hAnsi="Arial" w:cs="Arial"/>
          <w:sz w:val="20"/>
          <w:szCs w:val="20"/>
        </w:rPr>
        <w:t>)</w:t>
      </w:r>
      <w:r w:rsidRPr="007A682B">
        <w:rPr>
          <w:rFonts w:ascii="Arial" w:hAnsi="Arial" w:cs="Arial"/>
          <w:sz w:val="20"/>
          <w:szCs w:val="20"/>
        </w:rPr>
        <w:t xml:space="preserve"> and </w:t>
      </w:r>
      <w:r w:rsidR="003609C5">
        <w:rPr>
          <w:rFonts w:ascii="Arial" w:hAnsi="Arial" w:cs="Arial"/>
          <w:sz w:val="20"/>
          <w:szCs w:val="20"/>
        </w:rPr>
        <w:t>2</w:t>
      </w:r>
      <w:r w:rsidR="009244C4" w:rsidRPr="007A682B">
        <w:rPr>
          <w:rFonts w:ascii="Arial" w:hAnsi="Arial" w:cs="Arial"/>
          <w:sz w:val="20"/>
          <w:szCs w:val="20"/>
        </w:rPr>
        <w:t>7.5</w:t>
      </w:r>
      <w:r w:rsidRPr="007A682B">
        <w:rPr>
          <w:rFonts w:ascii="Arial" w:hAnsi="Arial" w:cs="Arial"/>
          <w:sz w:val="20"/>
          <w:szCs w:val="20"/>
        </w:rPr>
        <w:t>%</w:t>
      </w:r>
      <w:r w:rsidR="00D44132" w:rsidRPr="007A682B">
        <w:rPr>
          <w:rFonts w:ascii="Arial" w:hAnsi="Arial" w:cs="Arial"/>
          <w:sz w:val="20"/>
          <w:szCs w:val="20"/>
        </w:rPr>
        <w:t xml:space="preserve"> </w:t>
      </w:r>
      <w:r w:rsidR="00713BC1" w:rsidRPr="007A682B">
        <w:rPr>
          <w:rFonts w:ascii="Arial" w:hAnsi="Arial" w:cs="Arial"/>
          <w:sz w:val="20"/>
          <w:szCs w:val="20"/>
        </w:rPr>
        <w:t>(</w:t>
      </w:r>
      <w:r w:rsidR="00C82188" w:rsidRPr="00C82188">
        <w:rPr>
          <w:rFonts w:ascii="Arial" w:hAnsi="Arial" w:cs="Arial"/>
          <w:sz w:val="20"/>
          <w:szCs w:val="20"/>
          <w:highlight w:val="yellow"/>
        </w:rPr>
        <w:t>±</w:t>
      </w:r>
      <w:r w:rsidR="00D44132" w:rsidRPr="007A682B">
        <w:rPr>
          <w:rFonts w:ascii="Arial" w:hAnsi="Arial" w:cs="Arial"/>
          <w:sz w:val="20"/>
          <w:szCs w:val="20"/>
        </w:rPr>
        <w:t xml:space="preserve"> 5.5%</w:t>
      </w:r>
      <w:r w:rsidR="00557AEB" w:rsidRPr="007A682B">
        <w:rPr>
          <w:rFonts w:ascii="Arial" w:hAnsi="Arial" w:cs="Arial"/>
          <w:sz w:val="20"/>
          <w:szCs w:val="20"/>
        </w:rPr>
        <w:t xml:space="preserve"> SE</w:t>
      </w:r>
      <w:r w:rsidR="00713BC1" w:rsidRPr="007A682B">
        <w:rPr>
          <w:rFonts w:ascii="Arial" w:hAnsi="Arial" w:cs="Arial"/>
          <w:sz w:val="20"/>
          <w:szCs w:val="20"/>
        </w:rPr>
        <w:t>)</w:t>
      </w:r>
      <w:r w:rsidRPr="007A682B">
        <w:rPr>
          <w:rFonts w:ascii="Arial" w:hAnsi="Arial" w:cs="Arial"/>
          <w:sz w:val="20"/>
          <w:szCs w:val="20"/>
        </w:rPr>
        <w:t xml:space="preserve"> respectively whereas their partners barely changed (</w:t>
      </w:r>
      <w:r w:rsidR="00557AEB" w:rsidRPr="007A682B">
        <w:rPr>
          <w:rFonts w:ascii="Arial" w:hAnsi="Arial" w:cs="Arial"/>
          <w:sz w:val="20"/>
          <w:szCs w:val="20"/>
        </w:rPr>
        <w:t>Mean</w:t>
      </w:r>
      <w:r w:rsidR="00C82188" w:rsidRPr="00C82188">
        <w:rPr>
          <w:rFonts w:ascii="Arial" w:hAnsi="Arial" w:cs="Arial"/>
          <w:sz w:val="20"/>
          <w:szCs w:val="20"/>
          <w:highlight w:val="yellow"/>
        </w:rPr>
        <w:t xml:space="preserve"> ± </w:t>
      </w:r>
      <w:r w:rsidR="00557AEB" w:rsidRPr="007A682B">
        <w:rPr>
          <w:rFonts w:ascii="Arial" w:hAnsi="Arial" w:cs="Arial"/>
          <w:sz w:val="20"/>
          <w:szCs w:val="20"/>
        </w:rPr>
        <w:t xml:space="preserve">SE, </w:t>
      </w:r>
      <w:r w:rsidR="009244C4" w:rsidRPr="007A682B">
        <w:rPr>
          <w:rFonts w:ascii="Arial" w:hAnsi="Arial" w:cs="Arial"/>
          <w:sz w:val="20"/>
          <w:szCs w:val="20"/>
        </w:rPr>
        <w:t>1.9</w:t>
      </w:r>
      <w:r w:rsidRPr="007A682B">
        <w:rPr>
          <w:rFonts w:ascii="Arial" w:hAnsi="Arial" w:cs="Arial"/>
          <w:sz w:val="20"/>
          <w:szCs w:val="20"/>
        </w:rPr>
        <w:t>%</w:t>
      </w:r>
      <w:r w:rsidR="00C82188" w:rsidRPr="00C82188">
        <w:rPr>
          <w:rFonts w:ascii="Arial" w:hAnsi="Arial" w:cs="Arial"/>
          <w:sz w:val="20"/>
          <w:szCs w:val="20"/>
          <w:highlight w:val="yellow"/>
        </w:rPr>
        <w:t xml:space="preserve"> ± </w:t>
      </w:r>
      <w:r w:rsidR="00D44132" w:rsidRPr="007A682B">
        <w:rPr>
          <w:rFonts w:ascii="Arial" w:hAnsi="Arial" w:cs="Arial"/>
          <w:sz w:val="20"/>
          <w:szCs w:val="20"/>
        </w:rPr>
        <w:t>0.8%</w:t>
      </w:r>
      <w:r w:rsidRPr="007A682B">
        <w:rPr>
          <w:rFonts w:ascii="Arial" w:hAnsi="Arial" w:cs="Arial"/>
          <w:sz w:val="20"/>
          <w:szCs w:val="20"/>
        </w:rPr>
        <w:t xml:space="preserve"> and </w:t>
      </w:r>
      <w:r w:rsidR="009244C4" w:rsidRPr="007A682B">
        <w:rPr>
          <w:rFonts w:ascii="Arial" w:hAnsi="Arial" w:cs="Arial"/>
          <w:sz w:val="20"/>
          <w:szCs w:val="20"/>
        </w:rPr>
        <w:t>-0.1</w:t>
      </w:r>
      <w:r w:rsidRPr="007A682B">
        <w:rPr>
          <w:rFonts w:ascii="Arial" w:hAnsi="Arial" w:cs="Arial"/>
          <w:sz w:val="20"/>
          <w:szCs w:val="20"/>
        </w:rPr>
        <w:t>%</w:t>
      </w:r>
      <w:r w:rsidR="00C82188" w:rsidRPr="00C82188">
        <w:rPr>
          <w:rFonts w:ascii="Arial" w:hAnsi="Arial" w:cs="Arial"/>
          <w:sz w:val="20"/>
          <w:szCs w:val="20"/>
          <w:highlight w:val="yellow"/>
        </w:rPr>
        <w:t xml:space="preserve"> ± </w:t>
      </w:r>
      <w:r w:rsidR="00D44132" w:rsidRPr="007A682B">
        <w:rPr>
          <w:rFonts w:ascii="Arial" w:hAnsi="Arial" w:cs="Arial"/>
          <w:sz w:val="20"/>
          <w:szCs w:val="20"/>
        </w:rPr>
        <w:t>2.6%</w:t>
      </w:r>
      <w:r w:rsidR="00632C04">
        <w:rPr>
          <w:rFonts w:ascii="Arial" w:hAnsi="Arial" w:cs="Arial"/>
          <w:sz w:val="20"/>
          <w:szCs w:val="20"/>
        </w:rPr>
        <w:t xml:space="preserve">, </w:t>
      </w:r>
      <w:r w:rsidR="009244C4" w:rsidRPr="007A682B">
        <w:rPr>
          <w:rFonts w:ascii="Arial" w:hAnsi="Arial" w:cs="Arial"/>
          <w:sz w:val="20"/>
          <w:szCs w:val="20"/>
        </w:rPr>
        <w:t>Fig. S1 A,</w:t>
      </w:r>
      <w:r w:rsidR="00632C04">
        <w:rPr>
          <w:rFonts w:ascii="Arial" w:hAnsi="Arial" w:cs="Arial"/>
          <w:sz w:val="20"/>
          <w:szCs w:val="20"/>
        </w:rPr>
        <w:t xml:space="preserve"> </w:t>
      </w:r>
      <w:r w:rsidR="009244C4" w:rsidRPr="007A682B">
        <w:rPr>
          <w:rFonts w:ascii="Arial" w:hAnsi="Arial" w:cs="Arial"/>
          <w:sz w:val="20"/>
          <w:szCs w:val="20"/>
        </w:rPr>
        <w:t>B</w:t>
      </w:r>
      <w:r w:rsidR="00632C04">
        <w:rPr>
          <w:rFonts w:ascii="Arial" w:hAnsi="Arial" w:cs="Arial"/>
          <w:sz w:val="20"/>
          <w:szCs w:val="20"/>
        </w:rPr>
        <w:t xml:space="preserve">, see Appendix </w:t>
      </w:r>
      <w:r w:rsidR="00632C04" w:rsidRPr="00632C04">
        <w:rPr>
          <w:rFonts w:ascii="Arial" w:hAnsi="Arial" w:cs="Arial"/>
          <w:sz w:val="20"/>
          <w:szCs w:val="20"/>
          <w:highlight w:val="yellow"/>
        </w:rPr>
        <w:t>s</w:t>
      </w:r>
      <w:r w:rsidR="004A27C9" w:rsidRPr="004A27C9">
        <w:rPr>
          <w:rFonts w:ascii="Arial" w:hAnsi="Arial" w:cs="Arial"/>
          <w:sz w:val="20"/>
          <w:szCs w:val="20"/>
          <w:highlight w:val="yellow"/>
        </w:rPr>
        <w:t>xx</w:t>
      </w:r>
      <w:r w:rsidR="00632C04">
        <w:rPr>
          <w:rFonts w:ascii="Arial" w:hAnsi="Arial" w:cs="Arial"/>
          <w:sz w:val="20"/>
          <w:szCs w:val="20"/>
        </w:rPr>
        <w:t xml:space="preserve"> for detailed statistics</w:t>
      </w:r>
      <w:r w:rsidR="001C3785" w:rsidRPr="007A682B">
        <w:rPr>
          <w:rFonts w:ascii="Arial" w:hAnsi="Arial" w:cs="Arial"/>
          <w:sz w:val="20"/>
          <w:szCs w:val="20"/>
        </w:rPr>
        <w:t xml:space="preserve">). </w:t>
      </w:r>
    </w:p>
    <w:p w14:paraId="3E18E491" w14:textId="4CE76559" w:rsidR="0018081A" w:rsidRPr="007A682B" w:rsidRDefault="0018081A" w:rsidP="0018081A">
      <w:pPr>
        <w:ind w:firstLine="720"/>
        <w:rPr>
          <w:rFonts w:ascii="Arial" w:hAnsi="Arial" w:cs="Arial"/>
          <w:sz w:val="20"/>
          <w:szCs w:val="20"/>
        </w:rPr>
      </w:pPr>
      <w:r w:rsidRPr="007A682B">
        <w:rPr>
          <w:rFonts w:ascii="Arial" w:hAnsi="Arial" w:cs="Arial"/>
          <w:sz w:val="20"/>
          <w:szCs w:val="20"/>
        </w:rPr>
        <w:t xml:space="preserve">To assess the behavioral sex of the fish, we used a parental-care assay which has been shown to produce robust differences between males and females </w:t>
      </w:r>
      <w:r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{"citationID":"RIxgXoHZ","properties":{"formattedCitation":"(7, 10\\uc0\\u8211{}14)","plainCitation":"(7, 10–14)","noteIndex":0},"citationItems":[{"id":43,"uris":["http://zotero.org/users/11313215/items/TBICN8KA"],"itemData":{"id":43,"type":"article-journal","abstract":"Many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S."}],"issued":{"date-parts":[["2022",9]]}}},{"id":28,"uris":["http://zotero.org/users/11313215/items/ISXWL2QW"],"itemData":{"id":28,"type":"article-journal","abstract":"Abstract\n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S."}],"issued":{"date-parts":[["2020",3,12]]}}},{"id":38,"uris":["http://zotero.org/users/11313215/items/KYBLED4Z"],"itemData":{"id":38,"type":"article-journal","container-title":"Copeia","DOI":"10.1643/CI-15-305","ISSN":"0045-8511, 1938-5110","issue":"2","journalAbbreviation":"Copeia","language":"en","page":"586-593","source":"DOI.org (Crossref)","title":"Sex Differences in Steroid Hormones and Parental Effort across the Breeding Cycle in &lt;i&gt;Amphiprion ocellaris&lt;/i&gt;","volume":"104","author":[{"family":"DeAngelis","given":"Ross"},{"family":"Rhodes","given":"Justin S."}],"issued":{"date-parts":[["2016",7]]}}},{"id":34,"uris":["http://zotero.org/users/11313215/items/HCQ99MMR"],"itemData":{"id":34,"type":"article-journal","abstract":"Fathering behavior is critical for o</w:instrText>
      </w:r>
      <w:r w:rsidR="0072390C" w:rsidRPr="007A682B">
        <w:rPr>
          <w:rFonts w:ascii="Cambria Math" w:hAnsi="Cambria Math" w:cs="Cambria Math"/>
          <w:sz w:val="20"/>
          <w:szCs w:val="20"/>
        </w:rPr>
        <w:instrText>ﬀ</w:instrText>
      </w:r>
      <w:r w:rsidR="0072390C" w:rsidRPr="007A682B">
        <w:rPr>
          <w:rFonts w:ascii="Arial" w:hAnsi="Arial" w:cs="Arial"/>
          <w:sz w:val="20"/>
          <w:szCs w:val="20"/>
        </w:rPr>
        <w:instrText>spring survival in many species across diverse taxa, but our understanding of the neuroendocrine mechanisms regulating paternal care is limited in part because of the few primarily paternal species among the common animal models. However, many teleosts display primarily paternal care, and among the teleosts, anemoneﬁsh species are particularly well suited for isolating molecular mechanisms of fathering as they perform parental care in isolation of many other typically competing behaviors such as territorial defense and nest building. The goal of this study was to determine the extent to which whole brain gene expression levels of isotocin receptors, arginine vasotocin receptors, and aromatase as well as circulating levels of the bioactive sex steroid hormones estradiol (E2) and 11-ketotestosterone (11KT) vary in association with parenting behavior in Amphiprion ocellaris. Brain aromatase and IT receptor gene expression were higher in both males and females that were parenting versus not. IT receptor expression was overall higher in males than females, which we interpret is a reﬂection of the greater parental e</w:instrText>
      </w:r>
      <w:r w:rsidR="0072390C" w:rsidRPr="007A682B">
        <w:rPr>
          <w:rFonts w:ascii="Cambria Math" w:hAnsi="Cambria Math" w:cs="Cambria Math"/>
          <w:sz w:val="20"/>
          <w:szCs w:val="20"/>
        </w:rPr>
        <w:instrText>ﬀ</w:instrText>
      </w:r>
      <w:r w:rsidR="0072390C" w:rsidRPr="007A682B">
        <w:rPr>
          <w:rFonts w:ascii="Arial" w:hAnsi="Arial" w:cs="Arial"/>
          <w:sz w:val="20"/>
          <w:szCs w:val="20"/>
        </w:rPr>
        <w:instrText>ort that males display. Aromatase was overall higher in females than males, which we conclude is related to the higher circulating E2, which crosses into the brain and increases aromatase transcription. Results suggest both aromatase and IT receptors are dynamically upregulated in the brains of A. ocellaris males and females to support high levels of parental e</w:instrText>
      </w:r>
      <w:r w:rsidR="0072390C" w:rsidRPr="007A682B">
        <w:rPr>
          <w:rFonts w:ascii="Cambria Math" w:hAnsi="Cambria Math" w:cs="Cambria Math"/>
          <w:sz w:val="20"/>
          <w:szCs w:val="20"/>
        </w:rPr>
        <w:instrText>ﬀ</w:instrText>
      </w:r>
      <w:r w:rsidR="0072390C" w:rsidRPr="007A682B">
        <w:rPr>
          <w:rFonts w:ascii="Arial" w:hAnsi="Arial" w:cs="Arial"/>
          <w:sz w:val="20"/>
          <w:szCs w:val="20"/>
        </w:rPr>
        <w:instrText>ort.","container-title":"Hormones and Behavior","DOI":"10.1016/j.yhbeh.2018.06.006","ISSN":"0018506X","journalAbbreviation":"Hormones and Behavior","language":"en","page":"62-70","source":"DOI.org (Crossref)","title":"Dynamic regulation of brain aromatase and isotocin receptor gene expression depends on parenting status","volume":"103","author":[{"family":"DeAngelis","given":"Ross"},{"family":"Dodd","given":"Logan"},{"family":"Snyder","given":"Amanda"},{"family":"Rhodes","given":"Justin S."}],"issued":{"date-parts":[["2018",7]]}}},{"id":26,"uris":["http://zotero.org/users/11313215/items/FDL58D2Z"],"itemData":{"id":26,"type":"article-journal","abstract":"Parental care represents a suite of distinct behaviors performed by parents to maximize ﬁtness. Dynamic shifts in parental care behaviors, such as between nest defense and direct provisioning of the o</w:instrText>
      </w:r>
      <w:r w:rsidR="0072390C" w:rsidRPr="007A682B">
        <w:rPr>
          <w:rFonts w:ascii="Cambria Math" w:hAnsi="Cambria Math" w:cs="Cambria Math"/>
          <w:sz w:val="20"/>
          <w:szCs w:val="20"/>
        </w:rPr>
        <w:instrText>ﬀ</w:instrText>
      </w:r>
      <w:r w:rsidR="0072390C" w:rsidRPr="007A682B">
        <w:rPr>
          <w:rFonts w:ascii="Arial" w:hAnsi="Arial" w:cs="Arial"/>
          <w:sz w:val="20"/>
          <w:szCs w:val="20"/>
        </w:rPr>
        <w:instrText xml:space="preserve">spring, are required in response to environmental variation. However, the neural mechanisms which mediate such behavioral shifts remain a mystery. The anemoneﬁsh, Amphiprion ocellaris, represents an experimentally valuable model in social neuroscience which is conducive to manipulating the environment while simultaneously measuring parental care. The goal of this study was to determine the extent to which arginine vasotocin (AVT) and isotocin (IT) signaling are necessary for males to shift between direct egg care and aggressive nest defense in the presence of intruders, Domino damselﬁsh (Dascyllus trimaculatus). The IT receptor antagonist desGly-NH2-d(CH2)5[DTyr2,Thr4]OVT, signiﬁcantly reduced direct egg care, while at the same time increased levels of aggressive nest defense relative to vehicle. Conversely, blockade of AVT using the antagonist d(CH2)5[Tyr(Me)2]AVP, reduced aggression and tended to increase egg care. Results demonstrate that male anemoneﬁsh alter their parental strategy in response to allospeciﬁc intruders, and that IT and AVT signaling oppositely regulate parental care displays of aggression versus egg care.","container-title":"Hormones and Behavior","DOI":"10.1016/j.yhbeh.2020.104717","ISSN":"0018506X","journalAbbreviation":"Hormones and Behavior","language":"en","page":"104717","source":"DOI.org (Crossref)","title":"Nonapeptides mediate trade-offs in parental care strategy","volume":"121","author":[{"family":"DeAngelis","given":"Ross"},{"family":"Dodd","given":"Logan"},{"family":"Rhodes","given":"Justin"}],"issued":{"date-parts":[["2020",5]]}}},{"id":5885,"uris":["http://zotero.org/users/11313215/items/5853CUE6"],"itemData":{"id":5885,"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7A682B">
        <w:rPr>
          <w:rFonts w:ascii="Arial" w:hAnsi="Arial" w:cs="Arial"/>
          <w:sz w:val="20"/>
          <w:szCs w:val="20"/>
        </w:rPr>
        <w:fldChar w:fldCharType="separate"/>
      </w:r>
      <w:r w:rsidR="0072390C" w:rsidRPr="007A682B">
        <w:rPr>
          <w:rFonts w:ascii="Arial" w:hAnsi="Arial" w:cs="Arial"/>
          <w:kern w:val="0"/>
          <w:sz w:val="20"/>
          <w:szCs w:val="20"/>
        </w:rPr>
        <w:t>(7, 10–14)</w:t>
      </w:r>
      <w:r w:rsidRPr="007A682B">
        <w:rPr>
          <w:rFonts w:ascii="Arial" w:hAnsi="Arial" w:cs="Arial"/>
          <w:sz w:val="20"/>
          <w:szCs w:val="20"/>
        </w:rPr>
        <w:fldChar w:fldCharType="end"/>
      </w:r>
      <w:r w:rsidRPr="007A682B">
        <w:rPr>
          <w:rFonts w:ascii="Arial" w:hAnsi="Arial" w:cs="Arial"/>
          <w:sz w:val="20"/>
          <w:szCs w:val="20"/>
        </w:rPr>
        <w:t>. As expected,</w:t>
      </w:r>
      <w:r w:rsidR="00632C04">
        <w:rPr>
          <w:rFonts w:ascii="Arial" w:hAnsi="Arial" w:cs="Arial"/>
          <w:sz w:val="20"/>
          <w:szCs w:val="20"/>
        </w:rPr>
        <w:t xml:space="preserve"> there significant differences in parental behaviors (F(7, 24)=2.47</w:t>
      </w:r>
      <w:r w:rsidR="00861E9A">
        <w:rPr>
          <w:rFonts w:ascii="Arial" w:hAnsi="Arial" w:cs="Arial"/>
          <w:sz w:val="20"/>
          <w:szCs w:val="20"/>
        </w:rPr>
        <w:t>9</w:t>
      </w:r>
      <w:r w:rsidR="00632C04">
        <w:rPr>
          <w:rFonts w:ascii="Arial" w:hAnsi="Arial" w:cs="Arial"/>
          <w:sz w:val="20"/>
          <w:szCs w:val="20"/>
        </w:rPr>
        <w:t xml:space="preserve">, </w:t>
      </w:r>
      <w:r w:rsidR="00632C04" w:rsidRPr="00632C04">
        <w:rPr>
          <w:rFonts w:ascii="Arial" w:hAnsi="Arial" w:cs="Arial"/>
          <w:i/>
          <w:iCs/>
          <w:sz w:val="20"/>
          <w:szCs w:val="20"/>
        </w:rPr>
        <w:t>p</w:t>
      </w:r>
      <w:r w:rsidR="00632C04">
        <w:rPr>
          <w:rFonts w:ascii="Arial" w:hAnsi="Arial" w:cs="Arial"/>
          <w:sz w:val="20"/>
          <w:szCs w:val="20"/>
        </w:rPr>
        <w:t xml:space="preserve"> = 0.046) and time spent in the nest (F(7,24)</w:t>
      </w:r>
      <w:r w:rsidR="007207D1">
        <w:rPr>
          <w:rFonts w:ascii="Arial" w:hAnsi="Arial" w:cs="Arial"/>
          <w:sz w:val="20"/>
          <w:szCs w:val="20"/>
        </w:rPr>
        <w:t>=3.127</w:t>
      </w:r>
      <w:r w:rsidR="00632C04">
        <w:rPr>
          <w:rFonts w:ascii="Arial" w:hAnsi="Arial" w:cs="Arial"/>
          <w:sz w:val="20"/>
          <w:szCs w:val="20"/>
        </w:rPr>
        <w:t xml:space="preserve">, </w:t>
      </w:r>
      <w:r w:rsidR="00632C04">
        <w:rPr>
          <w:rFonts w:ascii="Arial" w:hAnsi="Arial" w:cs="Arial"/>
          <w:i/>
          <w:iCs/>
          <w:sz w:val="20"/>
          <w:szCs w:val="20"/>
        </w:rPr>
        <w:t>p =</w:t>
      </w:r>
      <w:r w:rsidR="00632C04" w:rsidRPr="00632C04">
        <w:rPr>
          <w:rFonts w:ascii="Arial" w:hAnsi="Arial" w:cs="Arial"/>
          <w:sz w:val="20"/>
          <w:szCs w:val="20"/>
        </w:rPr>
        <w:t>0.017</w:t>
      </w:r>
      <w:r w:rsidR="00632C04">
        <w:rPr>
          <w:rFonts w:ascii="Arial" w:hAnsi="Arial" w:cs="Arial"/>
          <w:sz w:val="20"/>
          <w:szCs w:val="20"/>
        </w:rPr>
        <w:t>) between phases. M</w:t>
      </w:r>
      <w:r w:rsidRPr="007A682B">
        <w:rPr>
          <w:rFonts w:ascii="Arial" w:hAnsi="Arial" w:cs="Arial"/>
          <w:sz w:val="20"/>
          <w:szCs w:val="20"/>
        </w:rPr>
        <w:t xml:space="preserve">ales </w:t>
      </w:r>
      <w:r w:rsidRPr="007207D1">
        <w:rPr>
          <w:rFonts w:ascii="Arial" w:hAnsi="Arial" w:cs="Arial"/>
          <w:sz w:val="20"/>
          <w:szCs w:val="20"/>
        </w:rPr>
        <w:t xml:space="preserve">performed </w:t>
      </w:r>
      <w:r w:rsidR="007207D1">
        <w:rPr>
          <w:rFonts w:ascii="Arial" w:hAnsi="Arial" w:cs="Arial"/>
          <w:sz w:val="20"/>
          <w:szCs w:val="20"/>
        </w:rPr>
        <w:t>2.2-fold</w:t>
      </w:r>
      <w:r w:rsidR="00713BC1" w:rsidRPr="007A682B">
        <w:rPr>
          <w:rFonts w:ascii="Arial" w:hAnsi="Arial" w:cs="Arial"/>
          <w:sz w:val="20"/>
          <w:szCs w:val="20"/>
        </w:rPr>
        <w:t xml:space="preserve"> </w:t>
      </w:r>
      <w:r w:rsidRPr="007A682B">
        <w:rPr>
          <w:rFonts w:ascii="Arial" w:hAnsi="Arial" w:cs="Arial"/>
          <w:sz w:val="20"/>
          <w:szCs w:val="20"/>
        </w:rPr>
        <w:t xml:space="preserve">more parental care behaviors and spent </w:t>
      </w:r>
      <w:r w:rsidR="007207D1">
        <w:rPr>
          <w:rFonts w:ascii="Arial" w:hAnsi="Arial" w:cs="Arial"/>
          <w:sz w:val="20"/>
          <w:szCs w:val="20"/>
        </w:rPr>
        <w:t>1.7-fold</w:t>
      </w:r>
      <w:r w:rsidR="00C82188" w:rsidRPr="007207D1">
        <w:rPr>
          <w:rFonts w:ascii="Arial" w:hAnsi="Arial" w:cs="Arial"/>
          <w:sz w:val="20"/>
          <w:szCs w:val="20"/>
        </w:rPr>
        <w:t xml:space="preserve"> </w:t>
      </w:r>
      <w:r w:rsidR="00632C04">
        <w:rPr>
          <w:rFonts w:ascii="Arial" w:hAnsi="Arial" w:cs="Arial"/>
          <w:sz w:val="20"/>
          <w:szCs w:val="20"/>
        </w:rPr>
        <w:t>more time</w:t>
      </w:r>
      <w:r w:rsidRPr="007A682B">
        <w:rPr>
          <w:rFonts w:ascii="Arial" w:hAnsi="Arial" w:cs="Arial"/>
          <w:sz w:val="20"/>
          <w:szCs w:val="20"/>
        </w:rPr>
        <w:t xml:space="preserve"> in the nest than their female partners. In agreement with previous results</w:t>
      </w:r>
      <w:r w:rsidR="002108AE" w:rsidRPr="007A682B">
        <w:rPr>
          <w:rFonts w:ascii="Arial" w:hAnsi="Arial" w:cs="Arial"/>
          <w:sz w:val="20"/>
          <w:szCs w:val="20"/>
        </w:rPr>
        <w:t xml:space="preserve"> </w:t>
      </w:r>
      <w:r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{"citationID":"zLifntjj","properties":{"formattedCitation":"(7)","plainCitation":"(7)","noteIndex":0},"citationItems":[{"id":43,"uris":["http://zotero.org/users/11313215/items/TBICN8KA"],"itemData":{"id":43,"type":"article-journal","abstract":"Many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7A682B">
        <w:rPr>
          <w:rFonts w:ascii="Arial" w:hAnsi="Arial" w:cs="Arial"/>
          <w:sz w:val="20"/>
          <w:szCs w:val="20"/>
        </w:rPr>
        <w:fldChar w:fldCharType="separate"/>
      </w:r>
      <w:r w:rsidR="0072390C" w:rsidRPr="007A682B">
        <w:rPr>
          <w:rFonts w:ascii="Arial" w:hAnsi="Arial" w:cs="Arial"/>
          <w:sz w:val="20"/>
          <w:szCs w:val="20"/>
        </w:rPr>
        <w:t>(7)</w:t>
      </w:r>
      <w:r w:rsidRPr="007A682B">
        <w:rPr>
          <w:rFonts w:ascii="Arial" w:hAnsi="Arial" w:cs="Arial"/>
          <w:sz w:val="20"/>
          <w:szCs w:val="20"/>
        </w:rPr>
        <w:fldChar w:fldCharType="end"/>
      </w:r>
      <w:r w:rsidRPr="007A682B">
        <w:rPr>
          <w:rFonts w:ascii="Arial" w:hAnsi="Arial" w:cs="Arial"/>
          <w:sz w:val="20"/>
          <w:szCs w:val="20"/>
        </w:rPr>
        <w:t>, intermediates retained male levels of parental</w:t>
      </w:r>
      <w:r w:rsidR="00632C04">
        <w:rPr>
          <w:rFonts w:ascii="Arial" w:hAnsi="Arial" w:cs="Arial"/>
          <w:sz w:val="20"/>
          <w:szCs w:val="20"/>
        </w:rPr>
        <w:t xml:space="preserve"> care.</w:t>
      </w:r>
      <w:r w:rsidRPr="007A682B">
        <w:rPr>
          <w:rFonts w:ascii="Arial" w:hAnsi="Arial" w:cs="Arial"/>
          <w:sz w:val="20"/>
          <w:szCs w:val="20"/>
        </w:rPr>
        <w:t xml:space="preserve"> Late intermediates and their partners’ behavior aligned with female and male patterns of behavior respectively as did the new female and new male</w:t>
      </w:r>
      <w:r w:rsidR="007207D1">
        <w:rPr>
          <w:rFonts w:ascii="Arial" w:hAnsi="Arial" w:cs="Arial"/>
          <w:sz w:val="20"/>
          <w:szCs w:val="20"/>
        </w:rPr>
        <w:t xml:space="preserve"> </w:t>
      </w:r>
      <w:r w:rsidR="007207D1" w:rsidRPr="007A682B">
        <w:rPr>
          <w:rFonts w:ascii="Arial" w:hAnsi="Arial" w:cs="Arial"/>
          <w:sz w:val="20"/>
          <w:szCs w:val="20"/>
          <w:highlight w:val="yellow"/>
        </w:rPr>
        <w:t>(Fig.1B</w:t>
      </w:r>
      <w:r w:rsidR="007207D1" w:rsidRPr="007A682B">
        <w:rPr>
          <w:rFonts w:ascii="Arial" w:hAnsi="Arial" w:cs="Arial"/>
          <w:sz w:val="20"/>
          <w:szCs w:val="20"/>
        </w:rPr>
        <w:t xml:space="preserve">, </w:t>
      </w:r>
      <w:r w:rsidR="007207D1" w:rsidRPr="00632C04">
        <w:rPr>
          <w:rFonts w:ascii="Arial" w:hAnsi="Arial" w:cs="Arial"/>
          <w:sz w:val="20"/>
          <w:szCs w:val="20"/>
          <w:highlight w:val="yellow"/>
        </w:rPr>
        <w:t>Appendix s</w:t>
      </w:r>
      <w:r w:rsidR="004A27C9" w:rsidRPr="004A27C9">
        <w:rPr>
          <w:rFonts w:ascii="Arial" w:hAnsi="Arial" w:cs="Arial"/>
          <w:sz w:val="20"/>
          <w:szCs w:val="20"/>
          <w:highlight w:val="yellow"/>
        </w:rPr>
        <w:t>xx</w:t>
      </w:r>
      <w:r w:rsidR="007207D1" w:rsidRPr="007A682B">
        <w:rPr>
          <w:rFonts w:ascii="Arial" w:hAnsi="Arial" w:cs="Arial"/>
          <w:sz w:val="20"/>
          <w:szCs w:val="20"/>
        </w:rPr>
        <w:t>)</w:t>
      </w:r>
      <w:r w:rsidRPr="007A682B">
        <w:rPr>
          <w:rFonts w:ascii="Arial" w:hAnsi="Arial" w:cs="Arial"/>
          <w:sz w:val="20"/>
          <w:szCs w:val="20"/>
        </w:rPr>
        <w:t xml:space="preserve">. </w:t>
      </w:r>
    </w:p>
    <w:p w14:paraId="5C055867" w14:textId="6913E375" w:rsidR="0018081A" w:rsidRPr="007A682B" w:rsidRDefault="002108AE" w:rsidP="0018081A">
      <w:pPr>
        <w:ind w:firstLine="720"/>
        <w:rPr>
          <w:rFonts w:ascii="Arial" w:hAnsi="Arial" w:cs="Arial"/>
          <w:sz w:val="20"/>
          <w:szCs w:val="20"/>
        </w:rPr>
      </w:pPr>
      <w:r w:rsidRPr="007A682B">
        <w:rPr>
          <w:rFonts w:ascii="Arial" w:hAnsi="Arial" w:cs="Arial"/>
          <w:sz w:val="20"/>
          <w:szCs w:val="20"/>
        </w:rPr>
        <w:t>We</w:t>
      </w:r>
      <w:r w:rsidR="0018081A" w:rsidRPr="007A682B">
        <w:rPr>
          <w:rFonts w:ascii="Arial" w:hAnsi="Arial" w:cs="Arial"/>
          <w:sz w:val="20"/>
          <w:szCs w:val="20"/>
        </w:rPr>
        <w:t xml:space="preserve"> </w:t>
      </w:r>
      <w:r w:rsidRPr="007A682B">
        <w:rPr>
          <w:rFonts w:ascii="Arial" w:hAnsi="Arial" w:cs="Arial"/>
          <w:sz w:val="20"/>
          <w:szCs w:val="20"/>
        </w:rPr>
        <w:t>next</w:t>
      </w:r>
      <w:r w:rsidR="0018081A" w:rsidRPr="007A682B">
        <w:rPr>
          <w:rFonts w:ascii="Arial" w:hAnsi="Arial" w:cs="Arial"/>
          <w:sz w:val="20"/>
          <w:szCs w:val="20"/>
        </w:rPr>
        <w:t xml:space="preserve"> </w:t>
      </w:r>
      <w:r w:rsidRPr="007A682B">
        <w:rPr>
          <w:rFonts w:ascii="Arial" w:hAnsi="Arial" w:cs="Arial"/>
          <w:sz w:val="20"/>
          <w:szCs w:val="20"/>
        </w:rPr>
        <w:t>measured</w:t>
      </w:r>
      <w:r w:rsidR="0018081A" w:rsidRPr="007A682B">
        <w:rPr>
          <w:rFonts w:ascii="Arial" w:hAnsi="Arial" w:cs="Arial"/>
          <w:sz w:val="20"/>
          <w:szCs w:val="20"/>
        </w:rPr>
        <w:t xml:space="preserve"> circulating levels of 11-ketotestosterone (11KT), the primary bioactive androgen in teleosts</w:t>
      </w:r>
      <w:r w:rsidR="007F07B7" w:rsidRPr="007A682B">
        <w:rPr>
          <w:rFonts w:ascii="Arial" w:hAnsi="Arial" w:cs="Arial"/>
          <w:sz w:val="20"/>
          <w:szCs w:val="20"/>
        </w:rPr>
        <w:t>,</w:t>
      </w:r>
      <w:r w:rsidR="0018081A" w:rsidRPr="007A682B">
        <w:rPr>
          <w:rFonts w:ascii="Arial" w:hAnsi="Arial" w:cs="Arial"/>
          <w:sz w:val="20"/>
          <w:szCs w:val="20"/>
        </w:rPr>
        <w:t xml:space="preserve"> </w:t>
      </w:r>
      <w:r w:rsidRPr="007A682B">
        <w:rPr>
          <w:rFonts w:ascii="Arial" w:hAnsi="Arial" w:cs="Arial"/>
          <w:sz w:val="20"/>
          <w:szCs w:val="20"/>
        </w:rPr>
        <w:t>which</w:t>
      </w:r>
      <w:r w:rsidR="0018081A" w:rsidRPr="007A682B">
        <w:rPr>
          <w:rFonts w:ascii="Arial" w:hAnsi="Arial" w:cs="Arial"/>
          <w:sz w:val="20"/>
          <w:szCs w:val="20"/>
        </w:rPr>
        <w:t xml:space="preserve"> displays extensive sexual dimorphism. Like behavior</w:t>
      </w:r>
      <w:r w:rsidR="007207D1">
        <w:rPr>
          <w:rFonts w:ascii="Arial" w:hAnsi="Arial" w:cs="Arial"/>
          <w:sz w:val="20"/>
          <w:szCs w:val="20"/>
        </w:rPr>
        <w:t xml:space="preserve"> the phases significantly differed in 11KT levels (F(7,22) =15.161, </w:t>
      </w:r>
      <w:r w:rsidR="007207D1">
        <w:rPr>
          <w:rFonts w:ascii="Arial" w:hAnsi="Arial" w:cs="Arial"/>
          <w:i/>
          <w:iCs/>
          <w:sz w:val="20"/>
          <w:szCs w:val="20"/>
        </w:rPr>
        <w:t>p</w:t>
      </w:r>
      <w:r w:rsidR="007207D1">
        <w:rPr>
          <w:rFonts w:ascii="Arial" w:hAnsi="Arial" w:cs="Arial"/>
          <w:sz w:val="20"/>
          <w:szCs w:val="20"/>
        </w:rPr>
        <w:t>&lt;0.001</w:t>
      </w:r>
      <w:r w:rsidR="007207D1" w:rsidRPr="007207D1">
        <w:rPr>
          <w:rFonts w:ascii="Arial" w:hAnsi="Arial" w:cs="Arial"/>
          <w:sz w:val="20"/>
          <w:szCs w:val="20"/>
        </w:rPr>
        <w:t>)</w:t>
      </w:r>
      <w:r w:rsidR="0018081A" w:rsidRPr="007A682B">
        <w:rPr>
          <w:rFonts w:ascii="Arial" w:hAnsi="Arial" w:cs="Arial"/>
          <w:sz w:val="20"/>
          <w:szCs w:val="20"/>
        </w:rPr>
        <w:t xml:space="preserve"> intermediates retained male levels</w:t>
      </w:r>
      <w:r w:rsidR="007207D1">
        <w:rPr>
          <w:rFonts w:ascii="Arial" w:hAnsi="Arial" w:cs="Arial"/>
          <w:sz w:val="20"/>
          <w:szCs w:val="20"/>
        </w:rPr>
        <w:t xml:space="preserve">, both approximately </w:t>
      </w:r>
      <w:commentRangeStart w:id="0"/>
      <w:r w:rsidR="007207D1">
        <w:rPr>
          <w:rFonts w:ascii="Arial" w:hAnsi="Arial" w:cs="Arial"/>
          <w:sz w:val="20"/>
          <w:szCs w:val="20"/>
        </w:rPr>
        <w:t>1.</w:t>
      </w:r>
      <w:r w:rsidR="009D76F1">
        <w:rPr>
          <w:rFonts w:ascii="Arial" w:hAnsi="Arial" w:cs="Arial"/>
          <w:sz w:val="20"/>
          <w:szCs w:val="20"/>
        </w:rPr>
        <w:t>8</w:t>
      </w:r>
      <w:r w:rsidR="007207D1">
        <w:rPr>
          <w:rFonts w:ascii="Arial" w:hAnsi="Arial" w:cs="Arial"/>
          <w:sz w:val="20"/>
          <w:szCs w:val="20"/>
        </w:rPr>
        <w:t xml:space="preserve">-fold </w:t>
      </w:r>
      <w:commentRangeEnd w:id="0"/>
      <w:r w:rsidR="00861E9A">
        <w:rPr>
          <w:rStyle w:val="CommentReference"/>
          <w:rFonts w:ascii="Arial" w:hAnsi="Arial" w:cs="Arial"/>
          <w:sz w:val="20"/>
          <w:szCs w:val="20"/>
        </w:rPr>
        <w:commentReference w:id="0"/>
      </w:r>
      <w:r w:rsidR="007207D1">
        <w:rPr>
          <w:rFonts w:ascii="Arial" w:hAnsi="Arial" w:cs="Arial"/>
          <w:sz w:val="20"/>
          <w:szCs w:val="20"/>
        </w:rPr>
        <w:t>higher than females</w:t>
      </w:r>
      <w:r w:rsidR="0018081A" w:rsidRPr="007A682B">
        <w:rPr>
          <w:rFonts w:ascii="Arial" w:hAnsi="Arial" w:cs="Arial"/>
          <w:sz w:val="20"/>
          <w:szCs w:val="20"/>
        </w:rPr>
        <w:t xml:space="preserve">, while late intermediates and </w:t>
      </w:r>
      <w:r w:rsidR="00D44132" w:rsidRPr="007A682B">
        <w:rPr>
          <w:rFonts w:ascii="Arial" w:hAnsi="Arial" w:cs="Arial"/>
          <w:sz w:val="20"/>
          <w:szCs w:val="20"/>
        </w:rPr>
        <w:t>the new female</w:t>
      </w:r>
      <w:r w:rsidR="00883078" w:rsidRPr="007A682B">
        <w:rPr>
          <w:rFonts w:ascii="Arial" w:hAnsi="Arial" w:cs="Arial"/>
          <w:sz w:val="20"/>
          <w:szCs w:val="20"/>
        </w:rPr>
        <w:t xml:space="preserve"> </w:t>
      </w:r>
      <w:r w:rsidR="0018081A" w:rsidRPr="007A682B">
        <w:rPr>
          <w:rFonts w:ascii="Arial" w:hAnsi="Arial" w:cs="Arial"/>
          <w:sz w:val="20"/>
          <w:szCs w:val="20"/>
        </w:rPr>
        <w:t xml:space="preserve"> aligned with female levels. Late intermediate partners</w:t>
      </w:r>
      <w:r w:rsidR="00883078" w:rsidRPr="007A682B">
        <w:rPr>
          <w:rFonts w:ascii="Arial" w:hAnsi="Arial" w:cs="Arial"/>
          <w:sz w:val="20"/>
          <w:szCs w:val="20"/>
        </w:rPr>
        <w:t xml:space="preserve"> </w:t>
      </w:r>
      <w:r w:rsidR="0018081A" w:rsidRPr="007A682B">
        <w:rPr>
          <w:rFonts w:ascii="Arial" w:hAnsi="Arial" w:cs="Arial"/>
          <w:sz w:val="20"/>
          <w:szCs w:val="20"/>
        </w:rPr>
        <w:t xml:space="preserve">and </w:t>
      </w:r>
      <w:r w:rsidR="00D44132" w:rsidRPr="007A682B">
        <w:rPr>
          <w:rFonts w:ascii="Arial" w:hAnsi="Arial" w:cs="Arial"/>
          <w:sz w:val="20"/>
          <w:szCs w:val="20"/>
        </w:rPr>
        <w:t>the new male</w:t>
      </w:r>
      <w:r w:rsidR="00883078" w:rsidRPr="007A682B">
        <w:rPr>
          <w:rFonts w:ascii="Arial" w:hAnsi="Arial" w:cs="Arial"/>
          <w:sz w:val="20"/>
          <w:szCs w:val="20"/>
        </w:rPr>
        <w:t xml:space="preserve"> </w:t>
      </w:r>
      <w:r w:rsidR="0018081A" w:rsidRPr="007A682B">
        <w:rPr>
          <w:rFonts w:ascii="Arial" w:hAnsi="Arial" w:cs="Arial"/>
          <w:sz w:val="20"/>
          <w:szCs w:val="20"/>
        </w:rPr>
        <w:t xml:space="preserve">aligned with male levels </w:t>
      </w:r>
      <w:r w:rsidR="0018081A" w:rsidRPr="007A682B">
        <w:rPr>
          <w:rFonts w:ascii="Arial" w:hAnsi="Arial" w:cs="Arial"/>
          <w:sz w:val="20"/>
          <w:szCs w:val="20"/>
          <w:highlight w:val="yellow"/>
        </w:rPr>
        <w:t>(Fig.1B</w:t>
      </w:r>
      <w:r w:rsidR="00883078" w:rsidRPr="007A682B">
        <w:rPr>
          <w:rFonts w:ascii="Arial" w:hAnsi="Arial" w:cs="Arial"/>
          <w:sz w:val="20"/>
          <w:szCs w:val="20"/>
        </w:rPr>
        <w:t>, Appendix S</w:t>
      </w:r>
      <w:r w:rsidR="004A27C9" w:rsidRPr="004A27C9">
        <w:rPr>
          <w:rFonts w:ascii="Arial" w:hAnsi="Arial" w:cs="Arial"/>
          <w:sz w:val="20"/>
          <w:szCs w:val="20"/>
          <w:highlight w:val="yellow"/>
        </w:rPr>
        <w:t>xx</w:t>
      </w:r>
      <w:r w:rsidR="0018081A" w:rsidRPr="007A682B">
        <w:rPr>
          <w:rFonts w:ascii="Arial" w:hAnsi="Arial" w:cs="Arial"/>
          <w:sz w:val="20"/>
          <w:szCs w:val="20"/>
        </w:rPr>
        <w:t xml:space="preserve">). </w:t>
      </w:r>
    </w:p>
    <w:p w14:paraId="541D5D6E" w14:textId="119D0AF7" w:rsidR="0018081A" w:rsidRPr="007A682B" w:rsidRDefault="0018081A" w:rsidP="002108AE">
      <w:pPr>
        <w:ind w:firstLine="720"/>
        <w:rPr>
          <w:rFonts w:ascii="Arial" w:hAnsi="Arial" w:cs="Arial"/>
          <w:sz w:val="20"/>
          <w:szCs w:val="20"/>
        </w:rPr>
      </w:pPr>
      <w:r w:rsidRPr="007A682B">
        <w:rPr>
          <w:rFonts w:ascii="Arial" w:hAnsi="Arial" w:cs="Arial"/>
          <w:sz w:val="20"/>
          <w:szCs w:val="20"/>
        </w:rPr>
        <w:t xml:space="preserve">We </w:t>
      </w:r>
      <w:r w:rsidR="002108AE" w:rsidRPr="007A682B">
        <w:rPr>
          <w:rFonts w:ascii="Arial" w:hAnsi="Arial" w:cs="Arial"/>
          <w:sz w:val="20"/>
          <w:szCs w:val="20"/>
        </w:rPr>
        <w:t xml:space="preserve">next </w:t>
      </w:r>
      <w:r w:rsidRPr="007A682B">
        <w:rPr>
          <w:rFonts w:ascii="Arial" w:hAnsi="Arial" w:cs="Arial"/>
          <w:sz w:val="20"/>
          <w:szCs w:val="20"/>
        </w:rPr>
        <w:t xml:space="preserve">euthanized the fish and collected gonads for histological analysis. In contrast to the behavioral and hormonal measures, intermediates differed significantly from males in gonadal morphology. Specifically, intermediates exhibited a </w:t>
      </w:r>
      <w:r w:rsidR="006D1586">
        <w:rPr>
          <w:rFonts w:ascii="Arial" w:hAnsi="Arial" w:cs="Arial"/>
          <w:sz w:val="20"/>
          <w:szCs w:val="20"/>
        </w:rPr>
        <w:t>63.6</w:t>
      </w:r>
      <w:r w:rsidR="007207D1">
        <w:rPr>
          <w:rFonts w:ascii="Arial" w:hAnsi="Arial" w:cs="Arial"/>
          <w:sz w:val="20"/>
          <w:szCs w:val="20"/>
        </w:rPr>
        <w:t xml:space="preserve">% </w:t>
      </w:r>
      <w:r w:rsidRPr="007A682B">
        <w:rPr>
          <w:rFonts w:ascii="Arial" w:hAnsi="Arial" w:cs="Arial"/>
          <w:sz w:val="20"/>
          <w:szCs w:val="20"/>
        </w:rPr>
        <w:t>reduced proportion of testicular tissue</w:t>
      </w:r>
      <w:r w:rsidR="007207D1">
        <w:rPr>
          <w:rFonts w:ascii="Arial" w:hAnsi="Arial" w:cs="Arial"/>
          <w:sz w:val="20"/>
          <w:szCs w:val="20"/>
        </w:rPr>
        <w:t xml:space="preserve"> (F(5,1</w:t>
      </w:r>
      <w:r w:rsidR="00BE65FB">
        <w:rPr>
          <w:rFonts w:ascii="Arial" w:hAnsi="Arial" w:cs="Arial"/>
          <w:sz w:val="20"/>
          <w:szCs w:val="20"/>
        </w:rPr>
        <w:t>9</w:t>
      </w:r>
      <w:r w:rsidR="007207D1">
        <w:rPr>
          <w:rFonts w:ascii="Arial" w:hAnsi="Arial" w:cs="Arial"/>
          <w:sz w:val="20"/>
          <w:szCs w:val="20"/>
        </w:rPr>
        <w:t>)</w:t>
      </w:r>
      <w:r w:rsidR="00861E9A">
        <w:rPr>
          <w:rFonts w:ascii="Arial" w:hAnsi="Arial" w:cs="Arial"/>
          <w:sz w:val="20"/>
          <w:szCs w:val="20"/>
        </w:rPr>
        <w:t>=</w:t>
      </w:r>
      <w:r w:rsidR="007207D1">
        <w:rPr>
          <w:rFonts w:ascii="Arial" w:hAnsi="Arial" w:cs="Arial"/>
          <w:sz w:val="20"/>
          <w:szCs w:val="20"/>
        </w:rPr>
        <w:t xml:space="preserve">21.973, </w:t>
      </w:r>
      <w:r w:rsidR="007207D1">
        <w:rPr>
          <w:rFonts w:ascii="Arial" w:hAnsi="Arial" w:cs="Arial"/>
          <w:i/>
          <w:iCs/>
          <w:sz w:val="20"/>
          <w:szCs w:val="20"/>
        </w:rPr>
        <w:t>p</w:t>
      </w:r>
      <w:r w:rsidR="007207D1">
        <w:rPr>
          <w:rFonts w:ascii="Arial" w:hAnsi="Arial" w:cs="Arial"/>
          <w:sz w:val="20"/>
          <w:szCs w:val="20"/>
        </w:rPr>
        <w:t xml:space="preserve">&lt;0.001) relative to males </w:t>
      </w:r>
      <w:r w:rsidRPr="007A682B">
        <w:rPr>
          <w:rFonts w:ascii="Arial" w:hAnsi="Arial" w:cs="Arial"/>
          <w:sz w:val="20"/>
          <w:szCs w:val="20"/>
        </w:rPr>
        <w:t xml:space="preserve">with a corresponding </w:t>
      </w:r>
      <w:r w:rsidR="006D1586">
        <w:rPr>
          <w:rFonts w:ascii="Arial" w:hAnsi="Arial" w:cs="Arial"/>
          <w:sz w:val="20"/>
          <w:szCs w:val="20"/>
        </w:rPr>
        <w:t xml:space="preserve">2.4-fold </w:t>
      </w:r>
      <w:r w:rsidRPr="007A682B">
        <w:rPr>
          <w:rFonts w:ascii="Arial" w:hAnsi="Arial" w:cs="Arial"/>
          <w:sz w:val="20"/>
          <w:szCs w:val="20"/>
        </w:rPr>
        <w:t>increase in proportion of immature ovarian tissue</w:t>
      </w:r>
      <w:r w:rsidR="006D1586">
        <w:rPr>
          <w:rFonts w:ascii="Arial" w:hAnsi="Arial" w:cs="Arial"/>
          <w:sz w:val="20"/>
          <w:szCs w:val="20"/>
        </w:rPr>
        <w:t xml:space="preserve"> (F(5,1</w:t>
      </w:r>
      <w:r w:rsidR="00BE65FB">
        <w:rPr>
          <w:rFonts w:ascii="Arial" w:hAnsi="Arial" w:cs="Arial"/>
          <w:sz w:val="20"/>
          <w:szCs w:val="20"/>
        </w:rPr>
        <w:t>8</w:t>
      </w:r>
      <w:r w:rsidR="006D1586">
        <w:rPr>
          <w:rFonts w:ascii="Arial" w:hAnsi="Arial" w:cs="Arial"/>
          <w:sz w:val="20"/>
          <w:szCs w:val="20"/>
        </w:rPr>
        <w:t xml:space="preserve">) = 20.349, </w:t>
      </w:r>
      <w:r w:rsidR="006D1586">
        <w:rPr>
          <w:rFonts w:ascii="Arial" w:hAnsi="Arial" w:cs="Arial"/>
          <w:i/>
          <w:iCs/>
          <w:sz w:val="20"/>
          <w:szCs w:val="20"/>
        </w:rPr>
        <w:t xml:space="preserve">p </w:t>
      </w:r>
      <w:r w:rsidR="006D1586">
        <w:rPr>
          <w:rFonts w:ascii="Arial" w:hAnsi="Arial" w:cs="Arial"/>
          <w:sz w:val="20"/>
          <w:szCs w:val="20"/>
        </w:rPr>
        <w:t>&lt;0.001)</w:t>
      </w:r>
      <w:r w:rsidRPr="007A682B">
        <w:rPr>
          <w:rFonts w:ascii="Arial" w:hAnsi="Arial" w:cs="Arial"/>
          <w:sz w:val="20"/>
          <w:szCs w:val="20"/>
        </w:rPr>
        <w:t xml:space="preserve"> in their ovotestes</w:t>
      </w:r>
      <w:r w:rsidR="002108AE" w:rsidRPr="007A682B">
        <w:rPr>
          <w:rFonts w:ascii="Arial" w:hAnsi="Arial" w:cs="Arial"/>
          <w:sz w:val="20"/>
          <w:szCs w:val="20"/>
        </w:rPr>
        <w:t>. Further, intermediates had</w:t>
      </w:r>
      <w:r w:rsidRPr="007A682B">
        <w:rPr>
          <w:rFonts w:ascii="Arial" w:hAnsi="Arial" w:cs="Arial"/>
          <w:sz w:val="20"/>
          <w:szCs w:val="20"/>
        </w:rPr>
        <w:t xml:space="preserve"> </w:t>
      </w:r>
      <w:r w:rsidR="006D1586">
        <w:rPr>
          <w:rFonts w:ascii="Arial" w:hAnsi="Arial" w:cs="Arial"/>
          <w:sz w:val="20"/>
          <w:szCs w:val="20"/>
        </w:rPr>
        <w:t xml:space="preserve">a </w:t>
      </w:r>
      <w:r w:rsidR="0083565B">
        <w:rPr>
          <w:rFonts w:ascii="Arial" w:hAnsi="Arial" w:cs="Arial"/>
          <w:sz w:val="20"/>
          <w:szCs w:val="20"/>
        </w:rPr>
        <w:lastRenderedPageBreak/>
        <w:t>significantly</w:t>
      </w:r>
      <w:r w:rsidRPr="007A682B">
        <w:rPr>
          <w:rFonts w:ascii="Arial" w:hAnsi="Arial" w:cs="Arial"/>
          <w:sz w:val="20"/>
          <w:szCs w:val="20"/>
        </w:rPr>
        <w:t xml:space="preserve"> </w:t>
      </w:r>
      <w:r w:rsidR="002108AE" w:rsidRPr="007A682B">
        <w:rPr>
          <w:rFonts w:ascii="Arial" w:hAnsi="Arial" w:cs="Arial"/>
          <w:sz w:val="20"/>
          <w:szCs w:val="20"/>
        </w:rPr>
        <w:t xml:space="preserve">lower </w:t>
      </w:r>
      <w:r w:rsidRPr="007A682B">
        <w:rPr>
          <w:rFonts w:ascii="Arial" w:hAnsi="Arial" w:cs="Arial"/>
          <w:sz w:val="20"/>
          <w:szCs w:val="20"/>
        </w:rPr>
        <w:t>gonadal volume</w:t>
      </w:r>
      <w:r w:rsidR="0083565B">
        <w:rPr>
          <w:rFonts w:ascii="Arial" w:hAnsi="Arial" w:cs="Arial"/>
          <w:sz w:val="20"/>
          <w:szCs w:val="20"/>
        </w:rPr>
        <w:t xml:space="preserve"> (F(5, 19) =6.831 , </w:t>
      </w:r>
      <w:r w:rsidR="0083565B">
        <w:rPr>
          <w:rFonts w:ascii="Arial" w:hAnsi="Arial" w:cs="Arial"/>
          <w:i/>
          <w:iCs/>
          <w:sz w:val="20"/>
          <w:szCs w:val="20"/>
        </w:rPr>
        <w:t>p</w:t>
      </w:r>
      <w:r w:rsidR="0083565B">
        <w:rPr>
          <w:rFonts w:ascii="Arial" w:hAnsi="Arial" w:cs="Arial"/>
          <w:sz w:val="20"/>
          <w:szCs w:val="20"/>
        </w:rPr>
        <w:t xml:space="preserve"> &lt; 0.001)</w:t>
      </w:r>
      <w:r w:rsidRPr="007A682B">
        <w:rPr>
          <w:rFonts w:ascii="Arial" w:hAnsi="Arial" w:cs="Arial"/>
          <w:sz w:val="20"/>
          <w:szCs w:val="20"/>
        </w:rPr>
        <w:t xml:space="preserve"> than males</w:t>
      </w:r>
      <w:r w:rsidR="00161CC6" w:rsidRPr="007A682B">
        <w:rPr>
          <w:rFonts w:ascii="Arial" w:hAnsi="Arial" w:cs="Arial"/>
          <w:sz w:val="20"/>
          <w:szCs w:val="20"/>
        </w:rPr>
        <w:t xml:space="preserve"> after correcting for body </w:t>
      </w:r>
      <w:r w:rsidR="007F07B7" w:rsidRPr="007A682B">
        <w:rPr>
          <w:rFonts w:ascii="Arial" w:hAnsi="Arial" w:cs="Arial"/>
          <w:sz w:val="20"/>
          <w:szCs w:val="20"/>
        </w:rPr>
        <w:t>length</w:t>
      </w:r>
      <w:r w:rsidR="0083565B">
        <w:rPr>
          <w:rFonts w:ascii="Arial" w:hAnsi="Arial" w:cs="Arial"/>
          <w:sz w:val="20"/>
          <w:szCs w:val="20"/>
        </w:rPr>
        <w:t xml:space="preserve"> (Means, M = 0.256, I = -0.113, </w:t>
      </w:r>
      <w:r w:rsidRPr="007A682B">
        <w:rPr>
          <w:rFonts w:ascii="Arial" w:hAnsi="Arial" w:cs="Arial"/>
          <w:sz w:val="20"/>
          <w:szCs w:val="20"/>
          <w:highlight w:val="yellow"/>
        </w:rPr>
        <w:t>Fig. 1C</w:t>
      </w:r>
      <w:r w:rsidR="001E33C3" w:rsidRPr="007A682B">
        <w:rPr>
          <w:rFonts w:ascii="Arial" w:hAnsi="Arial" w:cs="Arial"/>
          <w:sz w:val="20"/>
          <w:szCs w:val="20"/>
          <w:highlight w:val="yellow"/>
        </w:rPr>
        <w:t>, S1E</w:t>
      </w:r>
      <w:r w:rsidR="00697079" w:rsidRPr="007A682B">
        <w:rPr>
          <w:rFonts w:ascii="Arial" w:hAnsi="Arial" w:cs="Arial"/>
          <w:sz w:val="20"/>
          <w:szCs w:val="20"/>
          <w:highlight w:val="yellow"/>
        </w:rPr>
        <w:t>,</w:t>
      </w:r>
      <w:r w:rsidR="001E33C3" w:rsidRPr="007A682B">
        <w:rPr>
          <w:rFonts w:ascii="Arial" w:hAnsi="Arial" w:cs="Arial"/>
          <w:sz w:val="20"/>
          <w:szCs w:val="20"/>
          <w:highlight w:val="yellow"/>
        </w:rPr>
        <w:t>F</w:t>
      </w:r>
      <w:r w:rsidR="00161CC6" w:rsidRPr="007A682B">
        <w:rPr>
          <w:rFonts w:ascii="Arial" w:hAnsi="Arial" w:cs="Arial"/>
          <w:sz w:val="20"/>
          <w:szCs w:val="20"/>
          <w:highlight w:val="yellow"/>
        </w:rPr>
        <w:t xml:space="preserve">, Appendix </w:t>
      </w:r>
      <w:r w:rsidR="00161CC6" w:rsidRPr="0083565B">
        <w:rPr>
          <w:rFonts w:ascii="Arial" w:hAnsi="Arial" w:cs="Arial"/>
          <w:sz w:val="20"/>
          <w:szCs w:val="20"/>
        </w:rPr>
        <w:t>S</w:t>
      </w:r>
      <w:r w:rsidR="004A27C9" w:rsidRPr="004A27C9">
        <w:rPr>
          <w:rFonts w:ascii="Arial" w:hAnsi="Arial" w:cs="Arial"/>
          <w:sz w:val="20"/>
          <w:szCs w:val="20"/>
          <w:highlight w:val="yellow"/>
        </w:rPr>
        <w:t>xx</w:t>
      </w:r>
      <w:r w:rsidRPr="007A682B">
        <w:rPr>
          <w:rFonts w:ascii="Arial" w:hAnsi="Arial" w:cs="Arial"/>
          <w:sz w:val="20"/>
          <w:szCs w:val="20"/>
          <w:highlight w:val="yellow"/>
        </w:rPr>
        <w:t>).</w:t>
      </w:r>
      <w:r w:rsidRPr="007A682B">
        <w:rPr>
          <w:rFonts w:ascii="Arial" w:hAnsi="Arial" w:cs="Arial"/>
          <w:sz w:val="20"/>
          <w:szCs w:val="20"/>
        </w:rPr>
        <w:t xml:space="preserve"> Importantly, this loss of testicular tissue is unlikely to reflect the onset of gonadal sex change, as </w:t>
      </w:r>
      <w:r w:rsidR="006E3D9C" w:rsidRPr="007A682B">
        <w:rPr>
          <w:rFonts w:ascii="Arial" w:hAnsi="Arial" w:cs="Arial"/>
          <w:sz w:val="20"/>
          <w:szCs w:val="20"/>
        </w:rPr>
        <w:t xml:space="preserve">the intermediate </w:t>
      </w:r>
      <w:r w:rsidRPr="007A682B">
        <w:rPr>
          <w:rFonts w:ascii="Arial" w:hAnsi="Arial" w:cs="Arial"/>
          <w:sz w:val="20"/>
          <w:szCs w:val="20"/>
        </w:rPr>
        <w:t xml:space="preserve">partners </w:t>
      </w:r>
      <w:r w:rsidR="006E3D9C" w:rsidRPr="007A682B">
        <w:rPr>
          <w:rFonts w:ascii="Arial" w:hAnsi="Arial" w:cs="Arial"/>
          <w:sz w:val="20"/>
          <w:szCs w:val="20"/>
        </w:rPr>
        <w:t>showed a similar loss</w:t>
      </w:r>
      <w:r w:rsidRPr="007A682B">
        <w:rPr>
          <w:rFonts w:ascii="Arial" w:hAnsi="Arial" w:cs="Arial"/>
          <w:sz w:val="20"/>
          <w:szCs w:val="20"/>
        </w:rPr>
        <w:t>. Instead, it most likely represents gonadal regression associated with the temporary reproductive stasis that accompanies sex change</w:t>
      </w:r>
      <w:r w:rsidR="002108AE" w:rsidRPr="007A682B">
        <w:rPr>
          <w:rFonts w:ascii="Arial" w:hAnsi="Arial" w:cs="Arial"/>
          <w:sz w:val="20"/>
          <w:szCs w:val="20"/>
        </w:rPr>
        <w:t xml:space="preserve"> </w:t>
      </w:r>
      <w:r w:rsidR="002108AE"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{"citationID":"GK75VMh7","properties":{"unsorted":false,"formattedCitation":"(7)","plainCitation":"(7)","noteIndex":0},"citationItems":[{"id":43,"uris":["http://zotero.org/users/11313215/items/TBICN8KA"],"itemData":{"id":43,"type":"article-journal","abstract":"Many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002108AE" w:rsidRPr="007A682B">
        <w:rPr>
          <w:rFonts w:ascii="Arial" w:hAnsi="Arial" w:cs="Arial"/>
          <w:sz w:val="20"/>
          <w:szCs w:val="20"/>
        </w:rPr>
        <w:fldChar w:fldCharType="separate"/>
      </w:r>
      <w:r w:rsidR="0072390C" w:rsidRPr="007A682B">
        <w:rPr>
          <w:rFonts w:ascii="Arial" w:hAnsi="Arial" w:cs="Arial"/>
          <w:noProof/>
          <w:sz w:val="20"/>
          <w:szCs w:val="20"/>
        </w:rPr>
        <w:t>(7)</w:t>
      </w:r>
      <w:r w:rsidR="002108AE" w:rsidRPr="007A682B">
        <w:rPr>
          <w:rFonts w:ascii="Arial" w:hAnsi="Arial" w:cs="Arial"/>
          <w:sz w:val="20"/>
          <w:szCs w:val="20"/>
        </w:rPr>
        <w:fldChar w:fldCharType="end"/>
      </w:r>
      <w:r w:rsidRPr="007A682B">
        <w:rPr>
          <w:rFonts w:ascii="Arial" w:hAnsi="Arial" w:cs="Arial"/>
          <w:sz w:val="20"/>
          <w:szCs w:val="20"/>
        </w:rPr>
        <w:t xml:space="preserve">. By the late intermediate stage, no measurable testicular tissue </w:t>
      </w:r>
      <w:r w:rsidR="00F339F4" w:rsidRPr="007A682B">
        <w:rPr>
          <w:rFonts w:ascii="Arial" w:hAnsi="Arial" w:cs="Arial"/>
          <w:sz w:val="20"/>
          <w:szCs w:val="20"/>
        </w:rPr>
        <w:t>remained,</w:t>
      </w:r>
      <w:r w:rsidR="00D770B1" w:rsidRPr="007A682B">
        <w:rPr>
          <w:rFonts w:ascii="Arial" w:hAnsi="Arial" w:cs="Arial"/>
          <w:sz w:val="20"/>
          <w:szCs w:val="20"/>
        </w:rPr>
        <w:t xml:space="preserve"> and</w:t>
      </w:r>
      <w:r w:rsidRPr="007A682B">
        <w:rPr>
          <w:rFonts w:ascii="Arial" w:hAnsi="Arial" w:cs="Arial"/>
          <w:sz w:val="20"/>
          <w:szCs w:val="20"/>
        </w:rPr>
        <w:t xml:space="preserve"> the gonad consisted only of immature ovarian tissue, connective tissue, and empty space (</w:t>
      </w:r>
      <w:r w:rsidRPr="007A682B">
        <w:rPr>
          <w:rFonts w:ascii="Arial" w:hAnsi="Arial" w:cs="Arial"/>
          <w:sz w:val="20"/>
          <w:szCs w:val="20"/>
          <w:highlight w:val="yellow"/>
        </w:rPr>
        <w:t>Fig. 1D</w:t>
      </w:r>
      <w:r w:rsidRPr="007A682B">
        <w:rPr>
          <w:rFonts w:ascii="Arial" w:hAnsi="Arial" w:cs="Arial"/>
          <w:sz w:val="20"/>
          <w:szCs w:val="20"/>
        </w:rPr>
        <w:t>).</w:t>
      </w:r>
      <w:r w:rsidR="0016224F" w:rsidRPr="007A682B">
        <w:rPr>
          <w:rFonts w:ascii="Arial" w:hAnsi="Arial" w:cs="Arial"/>
          <w:sz w:val="20"/>
          <w:szCs w:val="20"/>
        </w:rPr>
        <w:t xml:space="preserve"> Together these data confirm that the Intermediate and Late Intermediate fish were in the process of changing sex.  </w:t>
      </w:r>
    </w:p>
    <w:p w14:paraId="7523EA4F" w14:textId="77777777" w:rsidR="0072779C" w:rsidRPr="007A682B" w:rsidRDefault="0072779C" w:rsidP="004816FA">
      <w:pPr>
        <w:ind w:firstLine="720"/>
        <w:rPr>
          <w:rFonts w:ascii="Arial" w:hAnsi="Arial" w:cs="Arial"/>
          <w:sz w:val="20"/>
          <w:szCs w:val="20"/>
        </w:rPr>
      </w:pPr>
    </w:p>
    <w:p w14:paraId="52DFE827" w14:textId="77777777" w:rsidR="004816FA" w:rsidRPr="007A682B" w:rsidRDefault="004816FA" w:rsidP="00753C87">
      <w:pPr>
        <w:rPr>
          <w:rFonts w:ascii="Arial" w:hAnsi="Arial" w:cs="Arial"/>
          <w:b/>
          <w:bCs/>
          <w:sz w:val="20"/>
          <w:szCs w:val="20"/>
        </w:rPr>
      </w:pPr>
      <w:r w:rsidRPr="007A682B">
        <w:rPr>
          <w:rFonts w:ascii="Arial" w:hAnsi="Arial" w:cs="Arial"/>
          <w:b/>
          <w:bCs/>
          <w:sz w:val="20"/>
          <w:szCs w:val="20"/>
        </w:rPr>
        <w:t>Multiomics Capture High Quality Transcriptomes, Epigenomes, and Spatial Transcriptomes</w:t>
      </w:r>
    </w:p>
    <w:p w14:paraId="08DAC190" w14:textId="10A0A65E" w:rsidR="0018081A" w:rsidRPr="007A682B" w:rsidRDefault="0018081A" w:rsidP="003E4206">
      <w:pPr>
        <w:ind w:firstLine="720"/>
        <w:rPr>
          <w:rFonts w:ascii="Arial" w:hAnsi="Arial" w:cs="Arial"/>
          <w:sz w:val="20"/>
          <w:szCs w:val="20"/>
        </w:rPr>
      </w:pPr>
      <w:r w:rsidRPr="007A682B">
        <w:rPr>
          <w:rFonts w:ascii="Arial" w:hAnsi="Arial" w:cs="Arial"/>
          <w:sz w:val="20"/>
          <w:szCs w:val="20"/>
        </w:rPr>
        <w:t>Following euthanasia, we dissected out the ventrocaudal telencephala (</w:t>
      </w:r>
      <w:r w:rsidR="00DB4306" w:rsidRPr="007A682B">
        <w:rPr>
          <w:rFonts w:ascii="Arial" w:hAnsi="Arial" w:cs="Arial"/>
          <w:sz w:val="20"/>
          <w:szCs w:val="20"/>
          <w:highlight w:val="yellow"/>
        </w:rPr>
        <w:t>M</w:t>
      </w:r>
      <w:r w:rsidRPr="007A682B">
        <w:rPr>
          <w:rFonts w:ascii="Arial" w:hAnsi="Arial" w:cs="Arial"/>
          <w:sz w:val="20"/>
          <w:szCs w:val="20"/>
          <w:highlight w:val="yellow"/>
        </w:rPr>
        <w:t>ethods</w:t>
      </w:r>
      <w:r w:rsidR="00715C76" w:rsidRPr="007A682B">
        <w:rPr>
          <w:rFonts w:ascii="Arial" w:hAnsi="Arial" w:cs="Arial"/>
          <w:sz w:val="20"/>
          <w:szCs w:val="20"/>
        </w:rPr>
        <w:t xml:space="preserve">, </w:t>
      </w:r>
      <w:r w:rsidR="00715C76" w:rsidRPr="007A682B">
        <w:rPr>
          <w:rFonts w:ascii="Arial" w:hAnsi="Arial" w:cs="Arial"/>
          <w:sz w:val="20"/>
          <w:szCs w:val="20"/>
          <w:highlight w:val="yellow"/>
        </w:rPr>
        <w:t xml:space="preserve">Fig. </w:t>
      </w:r>
      <w:commentRangeStart w:id="1"/>
      <w:r w:rsidR="00715C76" w:rsidRPr="007A682B">
        <w:rPr>
          <w:rFonts w:ascii="Arial" w:hAnsi="Arial" w:cs="Arial"/>
          <w:sz w:val="20"/>
          <w:szCs w:val="20"/>
          <w:highlight w:val="yellow"/>
        </w:rPr>
        <w:t>S2</w:t>
      </w:r>
      <w:commentRangeEnd w:id="1"/>
      <w:r w:rsidR="00715C76" w:rsidRPr="007A682B">
        <w:rPr>
          <w:rStyle w:val="CommentReference"/>
          <w:rFonts w:ascii="Arial" w:hAnsi="Arial" w:cs="Arial"/>
          <w:sz w:val="20"/>
          <w:szCs w:val="20"/>
        </w:rPr>
        <w:commentReference w:id="1"/>
      </w:r>
      <w:r w:rsidR="00170D0A" w:rsidRPr="007A682B">
        <w:rPr>
          <w:rFonts w:ascii="Arial" w:hAnsi="Arial" w:cs="Arial"/>
          <w:sz w:val="20"/>
          <w:szCs w:val="20"/>
        </w:rPr>
        <w:t xml:space="preserve"> </w:t>
      </w:r>
      <w:r w:rsidR="00170D0A" w:rsidRPr="007A682B">
        <w:rPr>
          <w:rFonts w:ascii="Arial" w:hAnsi="Arial" w:cs="Arial"/>
          <w:sz w:val="20"/>
          <w:szCs w:val="20"/>
          <w:highlight w:val="yellow"/>
        </w:rPr>
        <w:t>A, B</w:t>
      </w:r>
      <w:r w:rsidR="00433010" w:rsidRPr="007A682B">
        <w:rPr>
          <w:rFonts w:ascii="Arial" w:hAnsi="Arial" w:cs="Arial"/>
          <w:sz w:val="20"/>
          <w:szCs w:val="20"/>
        </w:rPr>
        <w:t xml:space="preserve"> </w:t>
      </w:r>
      <w:r w:rsidR="004A27C9" w:rsidRPr="004A27C9">
        <w:rPr>
          <w:rFonts w:ascii="Arial" w:hAnsi="Arial" w:cs="Arial"/>
          <w:sz w:val="20"/>
          <w:szCs w:val="20"/>
          <w:highlight w:val="yellow"/>
        </w:rPr>
        <w:t>xx</w:t>
      </w:r>
      <w:r w:rsidR="00433010" w:rsidRPr="007A682B">
        <w:rPr>
          <w:rFonts w:ascii="Arial" w:hAnsi="Arial" w:cs="Arial"/>
          <w:sz w:val="20"/>
          <w:szCs w:val="20"/>
          <w:highlight w:val="yellow"/>
        </w:rPr>
        <w:t xml:space="preserve"> Coltan can you review the figure and see if there is anything you want to change about it</w:t>
      </w:r>
      <w:r w:rsidRPr="007A682B">
        <w:rPr>
          <w:rFonts w:ascii="Arial" w:hAnsi="Arial" w:cs="Arial"/>
          <w:sz w:val="20"/>
          <w:szCs w:val="20"/>
        </w:rPr>
        <w:t xml:space="preserve">) targeting the </w:t>
      </w:r>
      <w:r w:rsidR="00E318E3" w:rsidRPr="007A682B">
        <w:rPr>
          <w:rFonts w:ascii="Arial" w:hAnsi="Arial" w:cs="Arial"/>
          <w:sz w:val="20"/>
          <w:szCs w:val="20"/>
        </w:rPr>
        <w:t>P</w:t>
      </w:r>
      <w:r w:rsidRPr="007A682B">
        <w:rPr>
          <w:rFonts w:ascii="Arial" w:hAnsi="Arial" w:cs="Arial"/>
          <w:sz w:val="20"/>
          <w:szCs w:val="20"/>
        </w:rPr>
        <w:t>OA</w:t>
      </w:r>
      <w:r w:rsidR="00E318E3" w:rsidRPr="007A682B">
        <w:rPr>
          <w:rFonts w:ascii="Arial" w:hAnsi="Arial" w:cs="Arial"/>
          <w:sz w:val="20"/>
          <w:szCs w:val="20"/>
        </w:rPr>
        <w:t>s</w:t>
      </w:r>
      <w:r w:rsidRPr="007A682B">
        <w:rPr>
          <w:rFonts w:ascii="Arial" w:hAnsi="Arial" w:cs="Arial"/>
          <w:sz w:val="20"/>
          <w:szCs w:val="20"/>
        </w:rPr>
        <w:t xml:space="preserve"> from males (n = 6), intermediates (n = 7), late intermediates (n = 2), the new female (n =1), and females (n = 6) and used single-nucleus multiomics (snMultiome; RNA + ATAC modalities) to profile gene expression and chromatin accessibility changes during sex change. In total, 35,364 nuclei passed quality control and were clustered using weighted shared nearest neighbors analysis</w:t>
      </w:r>
      <w:r w:rsidR="00433010" w:rsidRPr="007A682B">
        <w:rPr>
          <w:rFonts w:ascii="Arial" w:hAnsi="Arial" w:cs="Arial"/>
          <w:sz w:val="20"/>
          <w:szCs w:val="20"/>
        </w:rPr>
        <w:t xml:space="preserve"> </w:t>
      </w:r>
      <w:r w:rsidR="004A27C9" w:rsidRPr="004A27C9">
        <w:rPr>
          <w:rFonts w:ascii="Arial" w:hAnsi="Arial" w:cs="Arial"/>
          <w:sz w:val="20"/>
          <w:szCs w:val="20"/>
          <w:highlight w:val="yellow"/>
        </w:rPr>
        <w:t>xx</w:t>
      </w:r>
      <w:r w:rsidR="00433010" w:rsidRPr="007A682B">
        <w:rPr>
          <w:rFonts w:ascii="Arial" w:hAnsi="Arial" w:cs="Arial"/>
          <w:sz w:val="20"/>
          <w:szCs w:val="20"/>
          <w:highlight w:val="yellow"/>
        </w:rPr>
        <w:t xml:space="preserve"> Katie I’m not sure if you want to edit this since we used harmony for the clustering, or if you want to keep that to only being discussed in methods</w:t>
      </w:r>
      <w:r w:rsidRPr="007A682B">
        <w:rPr>
          <w:rFonts w:ascii="Arial" w:hAnsi="Arial" w:cs="Arial"/>
          <w:sz w:val="20"/>
          <w:szCs w:val="20"/>
        </w:rPr>
        <w:t xml:space="preserve">. Hierarchical clustering yielded 27 clusters: 20 neuronal and seven glial </w:t>
      </w:r>
      <w:r w:rsidRPr="007A682B">
        <w:rPr>
          <w:rFonts w:ascii="Arial" w:hAnsi="Arial" w:cs="Arial"/>
          <w:sz w:val="20"/>
          <w:szCs w:val="20"/>
          <w:highlight w:val="yellow"/>
        </w:rPr>
        <w:t>(Fig. 2A)</w:t>
      </w:r>
      <w:r w:rsidRPr="007A682B">
        <w:rPr>
          <w:rFonts w:ascii="Arial" w:hAnsi="Arial" w:cs="Arial"/>
          <w:sz w:val="20"/>
          <w:szCs w:val="20"/>
        </w:rPr>
        <w:t xml:space="preserve">. </w:t>
      </w:r>
    </w:p>
    <w:p w14:paraId="4B40617E" w14:textId="77777777" w:rsidR="0018081A" w:rsidRPr="007A682B" w:rsidRDefault="0018081A" w:rsidP="0018081A">
      <w:pPr>
        <w:ind w:firstLine="720"/>
        <w:rPr>
          <w:rFonts w:ascii="Arial" w:hAnsi="Arial" w:cs="Arial"/>
          <w:sz w:val="20"/>
          <w:szCs w:val="20"/>
        </w:rPr>
      </w:pPr>
      <w:r w:rsidRPr="007A682B">
        <w:rPr>
          <w:rFonts w:ascii="Arial" w:hAnsi="Arial" w:cs="Arial"/>
          <w:sz w:val="20"/>
          <w:szCs w:val="20"/>
        </w:rPr>
        <w:t>Following clustering, we identified 10 glutamatergic (</w:t>
      </w:r>
      <w:r w:rsidRPr="007A682B">
        <w:rPr>
          <w:rFonts w:ascii="Arial" w:hAnsi="Arial" w:cs="Arial"/>
          <w:i/>
          <w:iCs/>
          <w:sz w:val="20"/>
          <w:szCs w:val="20"/>
        </w:rPr>
        <w:t xml:space="preserve">slc17a6b+ </w:t>
      </w:r>
      <w:r w:rsidRPr="007A682B">
        <w:rPr>
          <w:rFonts w:ascii="Arial" w:hAnsi="Arial" w:cs="Arial"/>
          <w:sz w:val="20"/>
          <w:szCs w:val="20"/>
        </w:rPr>
        <w:t>or</w:t>
      </w:r>
      <w:r w:rsidRPr="007A682B">
        <w:rPr>
          <w:rFonts w:ascii="Arial" w:hAnsi="Arial" w:cs="Arial"/>
          <w:i/>
          <w:iCs/>
          <w:sz w:val="20"/>
          <w:szCs w:val="20"/>
        </w:rPr>
        <w:t xml:space="preserve"> slc17a7a+</w:t>
      </w:r>
      <w:r w:rsidRPr="007A682B">
        <w:rPr>
          <w:rFonts w:ascii="Arial" w:hAnsi="Arial" w:cs="Arial"/>
          <w:sz w:val="20"/>
          <w:szCs w:val="20"/>
        </w:rPr>
        <w:t>), six GABAergic (</w:t>
      </w:r>
      <w:r w:rsidRPr="007A682B">
        <w:rPr>
          <w:rFonts w:ascii="Arial" w:hAnsi="Arial" w:cs="Arial"/>
          <w:i/>
          <w:iCs/>
          <w:sz w:val="20"/>
          <w:szCs w:val="20"/>
        </w:rPr>
        <w:t xml:space="preserve">gad1+ </w:t>
      </w:r>
      <w:r w:rsidRPr="007A682B">
        <w:rPr>
          <w:rFonts w:ascii="Arial" w:hAnsi="Arial" w:cs="Arial"/>
          <w:sz w:val="20"/>
          <w:szCs w:val="20"/>
        </w:rPr>
        <w:t xml:space="preserve">or </w:t>
      </w:r>
      <w:r w:rsidRPr="007A682B">
        <w:rPr>
          <w:rFonts w:ascii="Arial" w:hAnsi="Arial" w:cs="Arial"/>
          <w:i/>
          <w:iCs/>
          <w:sz w:val="20"/>
          <w:szCs w:val="20"/>
        </w:rPr>
        <w:t>gad2+</w:t>
      </w:r>
      <w:r w:rsidRPr="007A682B">
        <w:rPr>
          <w:rFonts w:ascii="Arial" w:hAnsi="Arial" w:cs="Arial"/>
          <w:sz w:val="20"/>
          <w:szCs w:val="20"/>
        </w:rPr>
        <w:t xml:space="preserve">), and four mixed (GABA and glutamatergic markers) neuronal clusters. Further, we detected clusters of radial glial cells (1_RGC, </w:t>
      </w:r>
      <w:r w:rsidRPr="007A682B">
        <w:rPr>
          <w:rFonts w:ascii="Arial" w:hAnsi="Arial" w:cs="Arial"/>
          <w:i/>
          <w:iCs/>
          <w:sz w:val="20"/>
          <w:szCs w:val="20"/>
        </w:rPr>
        <w:t xml:space="preserve">gfap+ </w:t>
      </w:r>
      <w:r w:rsidRPr="007A682B">
        <w:rPr>
          <w:rFonts w:ascii="Arial" w:hAnsi="Arial" w:cs="Arial"/>
          <w:sz w:val="20"/>
          <w:szCs w:val="20"/>
        </w:rPr>
        <w:t xml:space="preserve">and </w:t>
      </w:r>
      <w:r w:rsidRPr="007A682B">
        <w:rPr>
          <w:rFonts w:ascii="Arial" w:hAnsi="Arial" w:cs="Arial"/>
          <w:i/>
          <w:iCs/>
          <w:sz w:val="20"/>
          <w:szCs w:val="20"/>
        </w:rPr>
        <w:t>crocc2-</w:t>
      </w:r>
      <w:r w:rsidRPr="007A682B">
        <w:rPr>
          <w:rFonts w:ascii="Arial" w:hAnsi="Arial" w:cs="Arial"/>
          <w:sz w:val="20"/>
          <w:szCs w:val="20"/>
        </w:rPr>
        <w:t xml:space="preserve">), ependymal cells (15_EC, </w:t>
      </w:r>
      <w:r w:rsidRPr="007A682B">
        <w:rPr>
          <w:rFonts w:ascii="Arial" w:hAnsi="Arial" w:cs="Arial"/>
          <w:i/>
          <w:iCs/>
          <w:sz w:val="20"/>
          <w:szCs w:val="20"/>
        </w:rPr>
        <w:t xml:space="preserve">gfap+ </w:t>
      </w:r>
      <w:r w:rsidRPr="007A682B">
        <w:rPr>
          <w:rFonts w:ascii="Arial" w:hAnsi="Arial" w:cs="Arial"/>
          <w:sz w:val="20"/>
          <w:szCs w:val="20"/>
        </w:rPr>
        <w:t xml:space="preserve">and </w:t>
      </w:r>
      <w:r w:rsidRPr="007A682B">
        <w:rPr>
          <w:rFonts w:ascii="Arial" w:hAnsi="Arial" w:cs="Arial"/>
          <w:i/>
          <w:iCs/>
          <w:sz w:val="20"/>
          <w:szCs w:val="20"/>
        </w:rPr>
        <w:t>crocc2+</w:t>
      </w:r>
      <w:r w:rsidRPr="007A682B">
        <w:rPr>
          <w:rFonts w:ascii="Arial" w:hAnsi="Arial" w:cs="Arial"/>
          <w:sz w:val="20"/>
          <w:szCs w:val="20"/>
        </w:rPr>
        <w:t xml:space="preserve">), dividing glia (26_DG, </w:t>
      </w:r>
      <w:r w:rsidRPr="007A682B">
        <w:rPr>
          <w:rFonts w:ascii="Arial" w:hAnsi="Arial" w:cs="Arial"/>
          <w:i/>
          <w:iCs/>
          <w:sz w:val="20"/>
          <w:szCs w:val="20"/>
        </w:rPr>
        <w:t xml:space="preserve">gfap+ </w:t>
      </w:r>
      <w:r w:rsidRPr="007A682B">
        <w:rPr>
          <w:rFonts w:ascii="Arial" w:hAnsi="Arial" w:cs="Arial"/>
          <w:sz w:val="20"/>
          <w:szCs w:val="20"/>
        </w:rPr>
        <w:t xml:space="preserve">and </w:t>
      </w:r>
      <w:r w:rsidRPr="007A682B">
        <w:rPr>
          <w:rFonts w:ascii="Arial" w:hAnsi="Arial" w:cs="Arial"/>
          <w:i/>
          <w:iCs/>
          <w:sz w:val="20"/>
          <w:szCs w:val="20"/>
        </w:rPr>
        <w:t>top2a+</w:t>
      </w:r>
      <w:r w:rsidRPr="007A682B">
        <w:rPr>
          <w:rFonts w:ascii="Arial" w:hAnsi="Arial" w:cs="Arial"/>
          <w:sz w:val="20"/>
          <w:szCs w:val="20"/>
        </w:rPr>
        <w:t xml:space="preserve">), oligodendrocytes (2_OL, </w:t>
      </w:r>
      <w:r w:rsidRPr="007A682B">
        <w:rPr>
          <w:rFonts w:ascii="Arial" w:hAnsi="Arial" w:cs="Arial"/>
          <w:i/>
          <w:iCs/>
          <w:sz w:val="20"/>
          <w:szCs w:val="20"/>
        </w:rPr>
        <w:t>mbpa+</w:t>
      </w:r>
      <w:r w:rsidRPr="007A682B">
        <w:rPr>
          <w:rFonts w:ascii="Arial" w:hAnsi="Arial" w:cs="Arial"/>
          <w:sz w:val="20"/>
          <w:szCs w:val="20"/>
        </w:rPr>
        <w:t xml:space="preserve">), oligodendrocyte precursor cells (13_OPC, </w:t>
      </w:r>
      <w:r w:rsidRPr="007A682B">
        <w:rPr>
          <w:rFonts w:ascii="Arial" w:hAnsi="Arial" w:cs="Arial"/>
          <w:i/>
          <w:iCs/>
          <w:sz w:val="20"/>
          <w:szCs w:val="20"/>
        </w:rPr>
        <w:t>cspg+</w:t>
      </w:r>
      <w:r w:rsidRPr="007A682B">
        <w:rPr>
          <w:rFonts w:ascii="Arial" w:hAnsi="Arial" w:cs="Arial"/>
          <w:sz w:val="20"/>
          <w:szCs w:val="20"/>
        </w:rPr>
        <w:t xml:space="preserve">), microglia (11_MG, </w:t>
      </w:r>
      <w:r w:rsidRPr="007A682B">
        <w:rPr>
          <w:rFonts w:ascii="Arial" w:hAnsi="Arial" w:cs="Arial"/>
          <w:i/>
          <w:iCs/>
          <w:sz w:val="20"/>
          <w:szCs w:val="20"/>
        </w:rPr>
        <w:t xml:space="preserve">ptprc+ </w:t>
      </w:r>
      <w:r w:rsidRPr="007A682B">
        <w:rPr>
          <w:rFonts w:ascii="Arial" w:hAnsi="Arial" w:cs="Arial"/>
          <w:sz w:val="20"/>
          <w:szCs w:val="20"/>
        </w:rPr>
        <w:t xml:space="preserve">and </w:t>
      </w:r>
      <w:r w:rsidRPr="007A682B">
        <w:rPr>
          <w:rFonts w:ascii="Arial" w:hAnsi="Arial" w:cs="Arial"/>
          <w:i/>
          <w:iCs/>
          <w:sz w:val="20"/>
          <w:szCs w:val="20"/>
        </w:rPr>
        <w:t>p2ry12+</w:t>
      </w:r>
      <w:r w:rsidRPr="007A682B">
        <w:rPr>
          <w:rFonts w:ascii="Arial" w:hAnsi="Arial" w:cs="Arial"/>
          <w:sz w:val="20"/>
          <w:szCs w:val="20"/>
        </w:rPr>
        <w:t xml:space="preserve">) and leukocytes (20_Leuko, </w:t>
      </w:r>
      <w:r w:rsidRPr="007A682B">
        <w:rPr>
          <w:rFonts w:ascii="Arial" w:hAnsi="Arial" w:cs="Arial"/>
          <w:i/>
          <w:iCs/>
          <w:sz w:val="20"/>
          <w:szCs w:val="20"/>
        </w:rPr>
        <w:t xml:space="preserve">ptprc+ </w:t>
      </w:r>
      <w:r w:rsidRPr="007A682B">
        <w:rPr>
          <w:rFonts w:ascii="Arial" w:hAnsi="Arial" w:cs="Arial"/>
          <w:sz w:val="20"/>
          <w:szCs w:val="20"/>
        </w:rPr>
        <w:t xml:space="preserve">and </w:t>
      </w:r>
      <w:r w:rsidRPr="007A682B">
        <w:rPr>
          <w:rFonts w:ascii="Arial" w:hAnsi="Arial" w:cs="Arial"/>
          <w:i/>
          <w:iCs/>
          <w:sz w:val="20"/>
          <w:szCs w:val="20"/>
        </w:rPr>
        <w:t>p2ry12-</w:t>
      </w:r>
      <w:r w:rsidRPr="007A682B">
        <w:rPr>
          <w:rFonts w:ascii="Arial" w:hAnsi="Arial" w:cs="Arial"/>
          <w:sz w:val="20"/>
          <w:szCs w:val="20"/>
        </w:rPr>
        <w:t xml:space="preserve">). These markers along with strong markers for each cluster from Seurat’s “FindMarkers” function are shown in </w:t>
      </w:r>
      <w:r w:rsidRPr="007A682B">
        <w:rPr>
          <w:rFonts w:ascii="Arial" w:hAnsi="Arial" w:cs="Arial"/>
          <w:sz w:val="20"/>
          <w:szCs w:val="20"/>
          <w:highlight w:val="yellow"/>
        </w:rPr>
        <w:t>Figure 2B</w:t>
      </w:r>
      <w:r w:rsidRPr="007A682B">
        <w:rPr>
          <w:rFonts w:ascii="Arial" w:hAnsi="Arial" w:cs="Arial"/>
          <w:sz w:val="20"/>
          <w:szCs w:val="20"/>
        </w:rPr>
        <w:t>.</w:t>
      </w:r>
    </w:p>
    <w:p w14:paraId="26689E4A" w14:textId="159AD34F" w:rsidR="0018081A" w:rsidRPr="007A682B" w:rsidRDefault="0018081A" w:rsidP="0018081A">
      <w:pPr>
        <w:rPr>
          <w:rFonts w:ascii="Arial" w:hAnsi="Arial" w:cs="Arial"/>
          <w:sz w:val="20"/>
          <w:szCs w:val="20"/>
        </w:rPr>
      </w:pPr>
      <w:r w:rsidRPr="007A682B">
        <w:rPr>
          <w:rFonts w:ascii="Arial" w:hAnsi="Arial" w:cs="Arial"/>
          <w:sz w:val="20"/>
          <w:szCs w:val="20"/>
        </w:rPr>
        <w:tab/>
        <w:t>Using Visium HD, we further generated spatial transcriptomic atlases of anemonefish telencephala and adjacent regions using n =6 male and 6 female anemonefish. In total 433,999 cell segmented polygons passed quality control. We then manually annotated neuroanatomical regions (</w:t>
      </w:r>
      <w:r w:rsidR="003247AC" w:rsidRPr="007A682B">
        <w:rPr>
          <w:rFonts w:ascii="Arial" w:hAnsi="Arial" w:cs="Arial"/>
          <w:sz w:val="20"/>
          <w:szCs w:val="20"/>
        </w:rPr>
        <w:t>M</w:t>
      </w:r>
      <w:r w:rsidRPr="007A682B">
        <w:rPr>
          <w:rFonts w:ascii="Arial" w:hAnsi="Arial" w:cs="Arial"/>
          <w:sz w:val="20"/>
          <w:szCs w:val="20"/>
        </w:rPr>
        <w:t xml:space="preserve">ethods, </w:t>
      </w:r>
      <w:r w:rsidRPr="007A682B">
        <w:rPr>
          <w:rFonts w:ascii="Arial" w:hAnsi="Arial" w:cs="Arial"/>
          <w:sz w:val="20"/>
          <w:szCs w:val="20"/>
          <w:highlight w:val="yellow"/>
        </w:rPr>
        <w:t>Fig. S</w:t>
      </w:r>
      <w:r w:rsidR="006468B0" w:rsidRPr="007A682B">
        <w:rPr>
          <w:rFonts w:ascii="Arial" w:hAnsi="Arial" w:cs="Arial"/>
          <w:sz w:val="20"/>
          <w:szCs w:val="20"/>
          <w:highlight w:val="yellow"/>
        </w:rPr>
        <w:t>3</w:t>
      </w:r>
      <w:r w:rsidRPr="007A682B">
        <w:rPr>
          <w:rFonts w:ascii="Arial" w:hAnsi="Arial" w:cs="Arial"/>
          <w:sz w:val="20"/>
          <w:szCs w:val="20"/>
        </w:rPr>
        <w:t xml:space="preserve">). To </w:t>
      </w:r>
      <w:r w:rsidR="00D770B1" w:rsidRPr="007A682B">
        <w:rPr>
          <w:rFonts w:ascii="Arial" w:hAnsi="Arial" w:cs="Arial"/>
          <w:sz w:val="20"/>
          <w:szCs w:val="20"/>
        </w:rPr>
        <w:t xml:space="preserve">spatially </w:t>
      </w:r>
      <w:r w:rsidRPr="007A682B">
        <w:rPr>
          <w:rFonts w:ascii="Arial" w:hAnsi="Arial" w:cs="Arial"/>
          <w:sz w:val="20"/>
          <w:szCs w:val="20"/>
        </w:rPr>
        <w:t>annotate our snMultiome clusters, we next used Cell2location to  project the multiome clusters onto our spatial atlases</w:t>
      </w:r>
      <w:r w:rsidR="00715C76" w:rsidRPr="007A682B">
        <w:rPr>
          <w:rFonts w:ascii="Arial" w:hAnsi="Arial" w:cs="Arial"/>
          <w:sz w:val="20"/>
          <w:szCs w:val="20"/>
        </w:rPr>
        <w:t xml:space="preserve"> </w:t>
      </w:r>
      <w:r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{"citationID":"6P8seHCt","properties":{"unsorted":false,"formattedCitation":"(15)","plainCitation":"(15)","noteIndex":0},"citationItems":[{"id":6492,"uris":["http://zotero.org/users/11313215/items/BC3FN9G6"],"itemData":{"id":6492,"type":"article-journal","abstract":"Spatial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accounts for technical sources of variation and borrows statistical strength across locations, thereby enabling the integration of single-cell and spatial transcriptomics with higher sensitivity and resolution than existing tools. We assessed cell2location in three different tissues and show improved mapping of fine-grained cell types. In the mouse brain, we discovered fine regional astrocyte subtypes across the thalamus and hypothalamus. In the human lymph node, we spatially mapped a rare pre-germinal center B cell population. In the human gut, we resolved fine immune cell populations in lymphoid follicles. Collectively, our results present сell2location as a versatile analysis tool for mapping tissue architectures in a comprehensive manner.","container-title":"Nature Biotechnology","DOI":"10.1038/s41587-021-01139-4","ISSN":"1546-1696","issue":"5","journalAbbreviation":"Nat Biotechnol","language":"en","license":"2022 The Author(s), under exclusive licence to Springer Nature America, Inc.","page":"661-671","publisher":"Nature Publishing Group","source":"www.nature.com","title":"Cell2location maps fine-grained cell types in spatial transcriptomics","volume":"40","author":[{"family":"Kleshchevnikov","given":"Vitalii"},{"family":"Shmatko","given":"Artem"},{"family":"Dann","given":"Emma"},{"family":"Aivazidis","given":"Alexander"},{"family":"King","given":"Hamish W."},{"family":"Li","given":"Tong"},{"family":"Elmentaite","given":"Rasa"},{"family":"Lomakin","given":"Artem"},{"family":"Kedlian","given":"Veronika"},{"family":"Gayoso","given":"Adam"},{"family":"Jain","given":"Mika Sarkin"},{"family":"Park","given":"Jun Sung"},{"family":"Ramona","given":"Lauma"},{"family":"Tuck","given":"Elizabeth"},{"family":"Arutyunyan","given":"Anna"},{"family":"Vento-Tormo","given":"Roser"},{"family":"Gerstung","given":"Moritz"},{"family":"James","given":"Louisa"},{"family":"Stegle","given":"Oliver"},{"family":"Bayraktar","given":"Omer Ali"}],"issued":{"date-parts":[["2022",5]]}}}],"schema":"https://github.com/citation-style-language/schema/raw/master/csl-citation.json"} </w:instrText>
      </w:r>
      <w:r w:rsidRPr="007A682B">
        <w:rPr>
          <w:rFonts w:ascii="Arial" w:hAnsi="Arial" w:cs="Arial"/>
          <w:sz w:val="20"/>
          <w:szCs w:val="20"/>
        </w:rPr>
        <w:fldChar w:fldCharType="separate"/>
      </w:r>
      <w:r w:rsidR="0072390C" w:rsidRPr="007A682B">
        <w:rPr>
          <w:rFonts w:ascii="Arial" w:hAnsi="Arial" w:cs="Arial"/>
          <w:sz w:val="20"/>
          <w:szCs w:val="20"/>
        </w:rPr>
        <w:t>(15)</w:t>
      </w:r>
      <w:r w:rsidRPr="007A682B">
        <w:rPr>
          <w:rFonts w:ascii="Arial" w:hAnsi="Arial" w:cs="Arial"/>
          <w:sz w:val="20"/>
          <w:szCs w:val="20"/>
        </w:rPr>
        <w:fldChar w:fldCharType="end"/>
      </w:r>
      <w:r w:rsidRPr="007A682B">
        <w:rPr>
          <w:rFonts w:ascii="Arial" w:hAnsi="Arial" w:cs="Arial"/>
          <w:sz w:val="20"/>
          <w:szCs w:val="20"/>
        </w:rPr>
        <w:t xml:space="preserve"> (</w:t>
      </w:r>
      <w:r w:rsidRPr="007A682B">
        <w:rPr>
          <w:rFonts w:ascii="Arial" w:hAnsi="Arial" w:cs="Arial"/>
          <w:sz w:val="20"/>
          <w:szCs w:val="20"/>
          <w:highlight w:val="yellow"/>
        </w:rPr>
        <w:t>Fig. 2C,D</w:t>
      </w:r>
      <w:r w:rsidRPr="007A682B">
        <w:rPr>
          <w:rFonts w:ascii="Arial" w:hAnsi="Arial" w:cs="Arial"/>
          <w:sz w:val="20"/>
          <w:szCs w:val="20"/>
        </w:rPr>
        <w:t xml:space="preserve">). </w:t>
      </w:r>
      <w:r w:rsidRPr="007A682B">
        <w:rPr>
          <w:rFonts w:ascii="Arial" w:hAnsi="Arial" w:cs="Arial"/>
          <w:sz w:val="20"/>
          <w:szCs w:val="20"/>
          <w:highlight w:val="yellow"/>
        </w:rPr>
        <w:t>Figure 2C</w:t>
      </w:r>
      <w:r w:rsidRPr="007A682B">
        <w:rPr>
          <w:rFonts w:ascii="Arial" w:hAnsi="Arial" w:cs="Arial"/>
          <w:sz w:val="20"/>
          <w:szCs w:val="20"/>
        </w:rPr>
        <w:t xml:space="preserve"> shows a heatmap of the cell type composition of each region. We labeled clusters based on primary cell type (neuronal versus glial), primary neurotransmitter (Glutamate, GABA, or mixed), and neuroanatomical location if the cell type was spatially localized (</w:t>
      </w:r>
      <w:r w:rsidRPr="007A682B">
        <w:rPr>
          <w:rFonts w:ascii="Arial" w:hAnsi="Arial" w:cs="Arial"/>
          <w:sz w:val="20"/>
          <w:szCs w:val="20"/>
          <w:highlight w:val="yellow"/>
        </w:rPr>
        <w:t xml:space="preserve">see Appendix </w:t>
      </w:r>
      <w:r w:rsidR="00C538DF" w:rsidRPr="007A682B">
        <w:rPr>
          <w:rFonts w:ascii="Arial" w:hAnsi="Arial" w:cs="Arial"/>
          <w:sz w:val="20"/>
          <w:szCs w:val="20"/>
          <w:highlight w:val="yellow"/>
        </w:rPr>
        <w:t>S2</w:t>
      </w:r>
      <w:r w:rsidRPr="007A682B">
        <w:rPr>
          <w:rFonts w:ascii="Arial" w:hAnsi="Arial" w:cs="Arial"/>
          <w:sz w:val="20"/>
          <w:szCs w:val="20"/>
          <w:highlight w:val="yellow"/>
        </w:rPr>
        <w:t xml:space="preserve"> for all cell type labels and S</w:t>
      </w:r>
      <w:r w:rsidR="00C538DF" w:rsidRPr="007A682B">
        <w:rPr>
          <w:rFonts w:ascii="Arial" w:hAnsi="Arial" w:cs="Arial"/>
          <w:sz w:val="20"/>
          <w:szCs w:val="20"/>
          <w:highlight w:val="yellow"/>
        </w:rPr>
        <w:t>3</w:t>
      </w:r>
      <w:r w:rsidRPr="007A682B">
        <w:rPr>
          <w:rFonts w:ascii="Arial" w:hAnsi="Arial" w:cs="Arial"/>
          <w:sz w:val="20"/>
          <w:szCs w:val="20"/>
          <w:highlight w:val="yellow"/>
        </w:rPr>
        <w:t xml:space="preserve"> for abbreviations</w:t>
      </w:r>
      <w:r w:rsidRPr="007A682B">
        <w:rPr>
          <w:rFonts w:ascii="Arial" w:hAnsi="Arial" w:cs="Arial"/>
          <w:sz w:val="20"/>
          <w:szCs w:val="20"/>
        </w:rPr>
        <w:t>).</w:t>
      </w:r>
    </w:p>
    <w:p w14:paraId="168D3AB4" w14:textId="4054E067" w:rsidR="0018081A" w:rsidRPr="007A682B" w:rsidRDefault="0018081A" w:rsidP="0018081A">
      <w:pPr>
        <w:rPr>
          <w:rFonts w:ascii="Arial" w:hAnsi="Arial" w:cs="Arial"/>
          <w:sz w:val="20"/>
          <w:szCs w:val="20"/>
        </w:rPr>
      </w:pPr>
      <w:r w:rsidRPr="007A682B">
        <w:rPr>
          <w:rFonts w:ascii="Arial" w:hAnsi="Arial" w:cs="Arial"/>
          <w:sz w:val="20"/>
          <w:szCs w:val="20"/>
        </w:rPr>
        <w:t xml:space="preserve"> </w:t>
      </w:r>
      <w:r w:rsidRPr="007A682B">
        <w:rPr>
          <w:rFonts w:ascii="Arial" w:hAnsi="Arial" w:cs="Arial"/>
          <w:sz w:val="20"/>
          <w:szCs w:val="20"/>
        </w:rPr>
        <w:tab/>
        <w:t>Several multiome clusters mapped to specific neuroanatomical regions. Cluster 6 mapped strongly to parvocellular and magnocellular regions of the POA. This mapping along with expression of</w:t>
      </w:r>
      <w:r w:rsidR="0076007E" w:rsidRPr="007A682B">
        <w:rPr>
          <w:rFonts w:ascii="Arial" w:hAnsi="Arial" w:cs="Arial"/>
          <w:sz w:val="20"/>
          <w:szCs w:val="20"/>
        </w:rPr>
        <w:t xml:space="preserve"> markers </w:t>
      </w:r>
      <w:r w:rsidRPr="007A682B">
        <w:rPr>
          <w:rFonts w:ascii="Arial" w:hAnsi="Arial" w:cs="Arial"/>
          <w:i/>
          <w:iCs/>
          <w:sz w:val="20"/>
          <w:szCs w:val="20"/>
        </w:rPr>
        <w:t>hmx2, hmx3a</w:t>
      </w:r>
      <w:r w:rsidRPr="007A682B">
        <w:rPr>
          <w:rFonts w:ascii="Arial" w:hAnsi="Arial" w:cs="Arial"/>
          <w:sz w:val="20"/>
          <w:szCs w:val="20"/>
        </w:rPr>
        <w:t xml:space="preserve">, </w:t>
      </w:r>
      <w:r w:rsidRPr="007A682B">
        <w:rPr>
          <w:rFonts w:ascii="Arial" w:hAnsi="Arial" w:cs="Arial"/>
          <w:i/>
          <w:iCs/>
          <w:sz w:val="20"/>
          <w:szCs w:val="20"/>
        </w:rPr>
        <w:t xml:space="preserve">hmx3b, avp, oxt, cckb, otpa </w:t>
      </w:r>
      <w:r w:rsidRPr="007A682B">
        <w:rPr>
          <w:rFonts w:ascii="Arial" w:hAnsi="Arial" w:cs="Arial"/>
          <w:i/>
          <w:iCs/>
          <w:sz w:val="20"/>
          <w:szCs w:val="20"/>
        </w:rPr>
        <w:fldChar w:fldCharType="begin"/>
      </w:r>
      <w:r w:rsidR="0072390C" w:rsidRPr="007A682B">
        <w:rPr>
          <w:rFonts w:ascii="Arial" w:hAnsi="Arial" w:cs="Arial"/>
          <w:i/>
          <w:iCs/>
          <w:sz w:val="20"/>
          <w:szCs w:val="20"/>
        </w:rPr>
        <w:instrText xml:space="preserve"> ADDIN ZOTERO_ITEM CSL_CITATION {"citationID":"iilkUTZy","properties":{"unsorted":false,"formattedCitation":"(5, 16\\uc0\\u8211{}19)","plainCitation":"(5, 16–19)","noteIndex":0},"citationItems":[{"id":3227,"uris":["http://zotero.org/users/11313215/items/RWMZ9QFA"],"itemData":{"id":3227,"type":"article-journal","abstract":"BACKGROUND: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V."}],"issued":{"date-parts":[["2024",7,23]]}}},{"id":5472,"uris":["http://zotero.org/users/11313215/items/GN7FM3HU"],"itemData":{"id":5472,"type":"article-journal","abstract":"The paraventricular nucleus (PVN) of the hypothalamus in mammals coordinates neuroendocrine, autonomic and behavioral responses pivotal for homeostasis and the stress response. A large amount of studies in rodents has documented that the PVN contains diverse neuronal cell types which can be identified by the expression of distinct secretory neuropeptides. Interestingly, PVN cell types often coexpress multiple neuropeptides whose relative coexpression level are subject to environment-induced plasticity.Due to their small size and transparency, zebrafish larvae offer the possibility to comprehensively study the development and plasticity of the PVN in large groups of intact animals, yet important anatomical information about the larval zebrafish PVN-homologous region has been missing. Therefore we recently defined the location and borders of the larval neurosecretory preoptic area (NPO) as the PVN-homologous region in larval zebrafish based on transcription factor expression and cell type clustering. To identify distinct cell types present in the larval NPO, we also generated a comprehensive 3D map of 9 zebrafish homologs of typical neuropeptides found in the mammalian PVN (arginine vasopressin, corticotropin-releasing hormone, proenkephalin a/b, neurotensin, oxytocin, vasoactive intestinal peptide, cholecystokinin, and somatostatin). Here we extend this chemoarchitectural map to include the degrees of coexpression of two neuropeptides in the same cell by performing systematic pairwise comparisons. Our results allowed the subclassification of NPO cell types, and differences in variability of coexpression profiles suggest potential targets of biochemical plasticity. Thus, this work provides an important basis for the analysis of the development, function, and plasticity of the primary neuroendocrine brain region in larval zebrafish.","container-title":"Frontiers in Neuroanatomy","DOI":"10.3389/fnana.2015.00002","ISSN":"1662-5129","journalAbbreviation":"Front. Neuroanat.","language":"English","publisher":"Frontiers","source":"Frontiers","title":"Coexpression analysis of nine neuropeptides in the neurosecretory preoptic area of larval zebrafish","URL":"https://www.frontiersin.org/journals/neuroanatomy/articles/10.3389/fnana.2015.00002/full","volume":"9","author":[{"family":"Herget","given":"Ulrich"},{"family":"Ryu","given":"Soojin"}],"accessed":{"date-parts":[["2026",1,29]]},"issued":{"date-parts":[["2015",2,12]]}}},{"id":5474,"uris":["http://zotero.org/users/11313215/items/EPCRK4FH"],"itemData":{"id":5474,"type":"article-journal","abstract":"The paraventricular nucleus (PVN) of the hypothalamus harbors diverse neurosecretory cells with critical physiological roles for the homeostasis. Decades of research in rodents have provided a large amount of information on the anatomy, development, and function of this important hypothalamic nucleus. However, since the hypothalamus lies deep within the brain in mammals and is difficult to access, many questions regarding development and plasticity of this nucleus still remain. In particular, how different environmental conditions, including stress exposure, shape the development of this important nucleus has been difficult to address in animals that develop in utero. To address these open questions, the transparent larval zebrafish with its rapid external development and excellent genetic toolbox offers exciting opportunities. In this review, we summarize recent information on the anatomy and development of the neurosecretory preoptic area (NPO), which represents a similar structure to the mammalian PVN in zebrafish. We will then review recent studies on the development of different cell types in the neurosecretory hypothalamus both in mouse and in fish. Lastly, we discuss stress-induced plasticity of the PVN mainly discussing the data obtained in rodents, but pointing out tools and approaches available in zebrafish for future studies. This review serves as a primer for the currently available information relevant for studying the development and plasticity of this important brain region using zebrafish.","container-title":"Cell and Tissue Research","DOI":"10.1007/s00441-018-2900-4","ISSN":"1432-0878","issue":"1","journalAbbreviation":"Cell Tissue Res","language":"en","page":"5-22","source":"Springer Link","title":"Anatomy, development, and plasticity of the neurosecretory hypothalamus in zebrafish","volume":"375","author":[{"family":"Nagpal","given":"Jatin"},{"family":"Herget","given":"Ulrich"},{"family":"Choi","given":"Min K."},{"family":"Ryu","given":"Soojin"}],"issued":{"date-parts":[["2019",1,1]]}}},{"id":6190,"uris":["http://zotero.org/users/11313215/items/564F7S3L"],"itemData":{"id":6190,"type":"article-journal","abstract":"The paraventricular nucleus (PVN) in mammals is the main hypothalamic nucleus controlling hormone release in the pituitary and plays pivotal roles in homeostasis. While the location of a PVN-homologous region has been described in adult fish as the neurosecretory preoptic area (NPO), this region has not been clearly defined in larval zebrafish due to the difficulty in defining cytoarchitectonic nuclear boundaries in the larval brain. Here we identify the precise location of the larval zebrafish NPO using conserved transcription factor and neuropeptide gene expressions. Our results identify the dorsal half of the preoptic-hypothalamic orthopedia a (otpa) domain as the larval NPO and the homologous region to the mammalian PVN. Further, by reconstructing the locations of cells producing zebrafish neuropeptides found in the mammalian PVN (CCK, CRH, ENK, NTS, SS, VIP, OXT, AVP), we provide the first 3D arrangement map of NPO neuropeptides in the larval zebrafish brain. Our results show striking conservation of transcription factor expression (otp, arx, dlx5a, isl1) in and around the NPO/PVN together with neuropeptide expression within it. Finally, we describe the exact anatomical location of cells producing Oxt and Avp in the adult zebrafish. Thus, our results identify the definitive borders and extent of the PVN homologous region in larval zebrafish and serve as an important basis for cross-species comparisons of PVN/NPO structure and function. J. Comp. Neurol. 522:1542–1564, 2014. © 2013 Wiley Periodicals, Inc.","container-title":"Journal of Comparative Neurology","DOI":"10.1002/cne.23480","ISSN":"1096-9861","issue":"7","language":"en","license":"Copyright © 2013 Wiley Periodicals, Inc.","note":"_eprint: https://onlinelibrary.wiley.com/doi/pdf/10.1002/cne.23480","page":"1542-1564","source":"Wiley Online Library","title":"Molecular neuroanatomy and chemoarchitecture of the neurosecretory preoptic-hypothalamic area in zebrafish larvae","volume":"522","author":[{"family":"Herget","given":"Ulrich"},{"family":"Wolf","given":"Andrea"},{"family":"Wullimann","given":"Mario F."},{"family":"Ryu","given":"Soojin"}],"issued":{"date-parts":[["2014"]]}}},{"id":5457,"uris":["http://zotero.org/users/11313215/items/ZWC5X5LD"],"itemData":{"id":5457,"type":"article-journal","abstract":"We studied the expression of sGnRH mRNA in the neurons of the nucleus preopticus (NPO) of the Indian major carp, Cirrhinus cirrhosus, and their correlation with the reproductive status of the fish. Non-radioisotopic in situ hybridization histochemistry protocol employing biotinylated-oligonucleotide probes complementary to salmon GnRH, cichlid GnRH I, catfish GnRH, chicken GnRH II (from cichlid and catfish), and mammalian GnRH, were applied to the sections through the POA of the female Indian major carp Cirrhinus cirrhosus. Incubation with the probe complimentary to salmon GnRH (sGnRH) mRNA from salmon, produced distinct hybridization signal in the cytosol of several neurosecretory neurons of the magnocellular and parvocellular subdivisions of the NPO of the fish collected during February–April (preparatory phase) and May–June (prespawning phase). However, no signal was detected in the NPO of fish collected during July–August (spawning phase). Application of other antisense probes, or sense probe for salmon GnRH mRNA, produced no signal. We suggest that NPO neurons in C. cirrhosus may express sGnRH mRNA, produce GnRH peptide, and play a role in regulation of pituitary–ovary axis.","container-title":"Comparative Biochemistry and Physiology Part A: Molecular &amp; Integrative Physiology","DOI":"10.1016/j.cbpa.2008.07.005","ISSN":"1095-6433","issue":"2","journalAbbreviation":"Comparative Biochemistry and Physiology Part A: Molecular &amp; Integrative Physiology","page":"247-252","source":"ScienceDirect","title":"Neurosecretory neurons of the nucleus preopticus (NPO) express salmon GnRH mRNA and show reproduction phase-related variation in the female Indian major carp, &lt;i&gt;Cirrhinus cirrhosus&lt;/i&gt;","volume":"151","author":[{"family":"Sakharkar","given":"Amul J."},{"family":"Mazumdar","given":"Minakshi"},{"family":"Singru","given":"Praful S."},{"family":"Subhedar","given":"Nishikant"}],"issued":{"date-parts":[["2008",10,1]]}}}],"schema":"https://github.com/citation-style-language/schema/raw/master/csl-citation.json"} </w:instrText>
      </w:r>
      <w:r w:rsidRPr="007A682B">
        <w:rPr>
          <w:rFonts w:ascii="Arial" w:hAnsi="Arial" w:cs="Arial"/>
          <w:i/>
          <w:iCs/>
          <w:sz w:val="20"/>
          <w:szCs w:val="20"/>
        </w:rPr>
        <w:fldChar w:fldCharType="separate"/>
      </w:r>
      <w:r w:rsidR="0072390C" w:rsidRPr="007A682B">
        <w:rPr>
          <w:rFonts w:ascii="Arial" w:hAnsi="Arial" w:cs="Arial"/>
          <w:kern w:val="0"/>
          <w:sz w:val="20"/>
          <w:szCs w:val="20"/>
        </w:rPr>
        <w:t>(5, 16–19)</w:t>
      </w:r>
      <w:r w:rsidRPr="007A682B">
        <w:rPr>
          <w:rFonts w:ascii="Arial" w:hAnsi="Arial" w:cs="Arial"/>
          <w:i/>
          <w:iCs/>
          <w:sz w:val="20"/>
          <w:szCs w:val="20"/>
        </w:rPr>
        <w:fldChar w:fldCharType="end"/>
      </w:r>
      <w:r w:rsidRPr="007A682B">
        <w:rPr>
          <w:rFonts w:ascii="Arial" w:hAnsi="Arial" w:cs="Arial"/>
          <w:sz w:val="20"/>
          <w:szCs w:val="20"/>
        </w:rPr>
        <w:t xml:space="preserve"> lead us to annotate this cluster as the POA (6_POA_Mixed). Clusters 0, 3, 14, 21, and 24 mapped to other subpallial regions of the telencephalon (0_Spall_Mixed, 3_Spall_GABA, 14_Vsst_GABA </w:t>
      </w:r>
      <w:r w:rsidRPr="007A682B">
        <w:rPr>
          <w:rFonts w:ascii="Arial" w:hAnsi="Arial" w:cs="Arial"/>
          <w:sz w:val="20"/>
          <w:szCs w:val="20"/>
        </w:rPr>
        <w:fldChar w:fldCharType="begin"/>
      </w:r>
      <w:r w:rsidRPr="007A682B">
        <w:rPr>
          <w:rFonts w:ascii="Arial" w:hAnsi="Arial" w:cs="Arial"/>
          <w:sz w:val="20"/>
          <w:szCs w:val="20"/>
        </w:rPr>
        <w:instrText xml:space="preserve"> ADDIN ZOTERO_TEMP </w:instrText>
      </w:r>
      <w:r w:rsidRPr="007A682B">
        <w:rPr>
          <w:rFonts w:ascii="Arial" w:hAnsi="Arial" w:cs="Arial"/>
          <w:sz w:val="20"/>
          <w:szCs w:val="20"/>
        </w:rPr>
        <w:fldChar w:fldCharType="separate"/>
      </w:r>
      <w:r w:rsidRPr="007A682B">
        <w:rPr>
          <w:rFonts w:ascii="Arial" w:hAnsi="Arial" w:cs="Arial"/>
          <w:sz w:val="20"/>
          <w:szCs w:val="20"/>
        </w:rPr>
        <w:fldChar w:fldCharType="end"/>
      </w:r>
      <w:r w:rsidRPr="007A682B">
        <w:rPr>
          <w:rFonts w:ascii="Arial" w:hAnsi="Arial" w:cs="Arial"/>
          <w:sz w:val="20"/>
          <w:szCs w:val="20"/>
        </w:rPr>
        <w:t xml:space="preserve">, 21_Spall_Gaba, 24_Vs-M_Mixed) while </w:t>
      </w:r>
      <w:r w:rsidR="0076007E" w:rsidRPr="007A682B">
        <w:rPr>
          <w:rFonts w:ascii="Arial" w:hAnsi="Arial" w:cs="Arial"/>
          <w:sz w:val="20"/>
          <w:szCs w:val="20"/>
        </w:rPr>
        <w:t>c</w:t>
      </w:r>
      <w:r w:rsidRPr="007A682B">
        <w:rPr>
          <w:rFonts w:ascii="Arial" w:hAnsi="Arial" w:cs="Arial"/>
          <w:sz w:val="20"/>
          <w:szCs w:val="20"/>
        </w:rPr>
        <w:t xml:space="preserve">luster 7 mapped to pallial regions (7_Pall_Glut).  Clusters 4, 8, 10, 19, 22, and 23 mapped to diencephalic regions (4_TGN_Glut, 8_VOT_Glut, 10_nH_Glut 19_Di_Glut, 22_Di_Glut, 23_NLT_GABA). </w:t>
      </w:r>
    </w:p>
    <w:p w14:paraId="37B69C26" w14:textId="39BDDF4B" w:rsidR="00FA5D9F" w:rsidRPr="007A682B" w:rsidRDefault="00E318E3" w:rsidP="00C61BB7">
      <w:pPr>
        <w:ind w:firstLine="720"/>
        <w:rPr>
          <w:rFonts w:ascii="Arial" w:hAnsi="Arial" w:cs="Arial"/>
          <w:sz w:val="20"/>
          <w:szCs w:val="20"/>
        </w:rPr>
      </w:pPr>
      <w:r w:rsidRPr="007A682B">
        <w:rPr>
          <w:rFonts w:ascii="Arial" w:hAnsi="Arial" w:cs="Arial"/>
          <w:sz w:val="20"/>
          <w:szCs w:val="20"/>
        </w:rPr>
        <w:t xml:space="preserve">We also used this opportunity to spatially annotate the clusters from our </w:t>
      </w:r>
      <w:r w:rsidR="00F339F4" w:rsidRPr="007A682B">
        <w:rPr>
          <w:rFonts w:ascii="Arial" w:hAnsi="Arial" w:cs="Arial"/>
          <w:sz w:val="20"/>
          <w:szCs w:val="20"/>
        </w:rPr>
        <w:t xml:space="preserve">previously published </w:t>
      </w:r>
      <w:r w:rsidRPr="007A682B">
        <w:rPr>
          <w:rFonts w:ascii="Arial" w:hAnsi="Arial" w:cs="Arial"/>
          <w:sz w:val="20"/>
          <w:szCs w:val="20"/>
        </w:rPr>
        <w:t>s</w:t>
      </w:r>
      <w:r w:rsidR="00F339F4" w:rsidRPr="007A682B">
        <w:rPr>
          <w:rFonts w:ascii="Arial" w:hAnsi="Arial" w:cs="Arial"/>
          <w:sz w:val="20"/>
          <w:szCs w:val="20"/>
        </w:rPr>
        <w:t>ingle nucleus RNA-sequencing (s</w:t>
      </w:r>
      <w:r w:rsidRPr="007A682B">
        <w:rPr>
          <w:rFonts w:ascii="Arial" w:hAnsi="Arial" w:cs="Arial"/>
          <w:sz w:val="20"/>
          <w:szCs w:val="20"/>
        </w:rPr>
        <w:t>nRNA-seq</w:t>
      </w:r>
      <w:r w:rsidR="00F339F4" w:rsidRPr="007A682B">
        <w:rPr>
          <w:rFonts w:ascii="Arial" w:hAnsi="Arial" w:cs="Arial"/>
          <w:sz w:val="20"/>
          <w:szCs w:val="20"/>
        </w:rPr>
        <w:t>)</w:t>
      </w:r>
      <w:r w:rsidRPr="007A682B">
        <w:rPr>
          <w:rFonts w:ascii="Arial" w:hAnsi="Arial" w:cs="Arial"/>
          <w:sz w:val="20"/>
          <w:szCs w:val="20"/>
        </w:rPr>
        <w:t xml:space="preserve"> atlas</w:t>
      </w:r>
      <w:r w:rsidR="00E53DE5" w:rsidRPr="007A682B">
        <w:rPr>
          <w:rFonts w:ascii="Arial" w:hAnsi="Arial" w:cs="Arial"/>
          <w:sz w:val="20"/>
          <w:szCs w:val="20"/>
        </w:rPr>
        <w:t xml:space="preserve"> of the anemonefish telencephalon</w:t>
      </w:r>
      <w:r w:rsidRPr="007A682B">
        <w:rPr>
          <w:rFonts w:ascii="Arial" w:hAnsi="Arial" w:cs="Arial"/>
          <w:sz w:val="20"/>
          <w:szCs w:val="20"/>
        </w:rPr>
        <w:t xml:space="preserve"> </w:t>
      </w:r>
      <w:r w:rsidR="00F339F4"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{"citationID":"rJLJnPtd","properties":{"unsorted":false,"formattedCitation":"(5)","plainCitation":"(5)","noteIndex":0},"citationItems":[{"id":3227,"uris":["http://zotero.org/users/11313215/items/RWMZ9QFA"],"itemData":{"id":3227,"type":"article-journal","abstract":"BACKGROUND: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F339F4" w:rsidRPr="007A682B">
        <w:rPr>
          <w:rFonts w:ascii="Arial" w:hAnsi="Arial" w:cs="Arial"/>
          <w:sz w:val="20"/>
          <w:szCs w:val="20"/>
        </w:rPr>
        <w:fldChar w:fldCharType="separate"/>
      </w:r>
      <w:r w:rsidR="0072390C" w:rsidRPr="007A682B">
        <w:rPr>
          <w:rFonts w:ascii="Arial" w:hAnsi="Arial" w:cs="Arial"/>
          <w:noProof/>
          <w:sz w:val="20"/>
          <w:szCs w:val="20"/>
        </w:rPr>
        <w:t>(5)</w:t>
      </w:r>
      <w:r w:rsidR="00F339F4" w:rsidRPr="007A682B">
        <w:rPr>
          <w:rFonts w:ascii="Arial" w:hAnsi="Arial" w:cs="Arial"/>
          <w:sz w:val="20"/>
          <w:szCs w:val="20"/>
        </w:rPr>
        <w:fldChar w:fldCharType="end"/>
      </w:r>
      <w:r w:rsidR="00F339F4" w:rsidRPr="007A682B">
        <w:rPr>
          <w:rFonts w:ascii="Arial" w:hAnsi="Arial" w:cs="Arial"/>
          <w:sz w:val="20"/>
          <w:szCs w:val="20"/>
        </w:rPr>
        <w:t xml:space="preserve"> </w:t>
      </w:r>
      <w:r w:rsidRPr="007A682B">
        <w:rPr>
          <w:rFonts w:ascii="Arial" w:hAnsi="Arial" w:cs="Arial"/>
          <w:sz w:val="20"/>
          <w:szCs w:val="20"/>
        </w:rPr>
        <w:t>(</w:t>
      </w:r>
      <w:r w:rsidRPr="007A682B">
        <w:rPr>
          <w:rFonts w:ascii="Arial" w:hAnsi="Arial" w:cs="Arial"/>
          <w:sz w:val="20"/>
          <w:szCs w:val="20"/>
          <w:highlight w:val="yellow"/>
        </w:rPr>
        <w:t>Fig. S</w:t>
      </w:r>
      <w:r w:rsidR="00376C7F" w:rsidRPr="007A682B">
        <w:rPr>
          <w:rFonts w:ascii="Arial" w:hAnsi="Arial" w:cs="Arial"/>
          <w:sz w:val="20"/>
          <w:szCs w:val="20"/>
          <w:highlight w:val="yellow"/>
        </w:rPr>
        <w:t>4</w:t>
      </w:r>
      <w:r w:rsidRPr="007A682B">
        <w:rPr>
          <w:rFonts w:ascii="Arial" w:hAnsi="Arial" w:cs="Arial"/>
          <w:sz w:val="20"/>
          <w:szCs w:val="20"/>
        </w:rPr>
        <w:t>).</w:t>
      </w:r>
      <w:r w:rsidR="003247AC" w:rsidRPr="007A682B">
        <w:rPr>
          <w:rFonts w:ascii="Arial" w:hAnsi="Arial" w:cs="Arial"/>
          <w:sz w:val="20"/>
          <w:szCs w:val="20"/>
        </w:rPr>
        <w:t xml:space="preserve"> </w:t>
      </w:r>
      <w:r w:rsidR="007E5E79" w:rsidRPr="007A682B">
        <w:rPr>
          <w:rFonts w:ascii="Arial" w:hAnsi="Arial" w:cs="Arial"/>
          <w:sz w:val="20"/>
          <w:szCs w:val="20"/>
        </w:rPr>
        <w:t>We confirmed the</w:t>
      </w:r>
      <w:r w:rsidR="003247AC" w:rsidRPr="007A682B">
        <w:rPr>
          <w:rFonts w:ascii="Arial" w:hAnsi="Arial" w:cs="Arial"/>
          <w:sz w:val="20"/>
          <w:szCs w:val="20"/>
        </w:rPr>
        <w:t xml:space="preserve"> neuroanatomical regions</w:t>
      </w:r>
      <w:r w:rsidR="007E5E79" w:rsidRPr="007A682B">
        <w:rPr>
          <w:rFonts w:ascii="Arial" w:hAnsi="Arial" w:cs="Arial"/>
          <w:sz w:val="20"/>
          <w:szCs w:val="20"/>
        </w:rPr>
        <w:t xml:space="preserve"> of several clusters</w:t>
      </w:r>
      <w:r w:rsidR="003247AC" w:rsidRPr="007A682B">
        <w:rPr>
          <w:rFonts w:ascii="Arial" w:hAnsi="Arial" w:cs="Arial"/>
          <w:sz w:val="20"/>
          <w:szCs w:val="20"/>
        </w:rPr>
        <w:t xml:space="preserve"> </w:t>
      </w:r>
      <w:r w:rsidR="007E5E79" w:rsidRPr="007A682B">
        <w:rPr>
          <w:rFonts w:ascii="Arial" w:hAnsi="Arial" w:cs="Arial"/>
          <w:sz w:val="20"/>
          <w:szCs w:val="20"/>
        </w:rPr>
        <w:t xml:space="preserve">predicted </w:t>
      </w:r>
      <w:r w:rsidR="00AF0BB8" w:rsidRPr="007A682B">
        <w:rPr>
          <w:rFonts w:ascii="Arial" w:hAnsi="Arial" w:cs="Arial"/>
          <w:sz w:val="20"/>
          <w:szCs w:val="20"/>
        </w:rPr>
        <w:t>from that analysis</w:t>
      </w:r>
      <w:r w:rsidR="007E5E79" w:rsidRPr="007A682B">
        <w:rPr>
          <w:rFonts w:ascii="Arial" w:hAnsi="Arial" w:cs="Arial"/>
          <w:sz w:val="20"/>
          <w:szCs w:val="20"/>
        </w:rPr>
        <w:t xml:space="preserve">, </w:t>
      </w:r>
      <w:r w:rsidR="00AF0BB8" w:rsidRPr="007A682B">
        <w:rPr>
          <w:rFonts w:ascii="Arial" w:hAnsi="Arial" w:cs="Arial"/>
          <w:sz w:val="20"/>
          <w:szCs w:val="20"/>
        </w:rPr>
        <w:t>including the ventral telencephalon (parent cluster 9), dorsal telencephalon (parent cluster 2),</w:t>
      </w:r>
      <w:r w:rsidR="0076007E" w:rsidRPr="007A682B">
        <w:rPr>
          <w:rFonts w:ascii="Arial" w:hAnsi="Arial" w:cs="Arial"/>
          <w:sz w:val="20"/>
          <w:szCs w:val="20"/>
        </w:rPr>
        <w:t xml:space="preserve"> and</w:t>
      </w:r>
      <w:r w:rsidR="00AF0BB8" w:rsidRPr="007A682B">
        <w:rPr>
          <w:rFonts w:ascii="Arial" w:hAnsi="Arial" w:cs="Arial"/>
          <w:sz w:val="20"/>
          <w:szCs w:val="20"/>
        </w:rPr>
        <w:t xml:space="preserve"> POA (parent cluster 13). </w:t>
      </w:r>
    </w:p>
    <w:p w14:paraId="4C3BB7BD" w14:textId="7170EF14" w:rsidR="00AB18FA" w:rsidRPr="007A682B" w:rsidRDefault="00FA5D9F" w:rsidP="00D770B1">
      <w:pPr>
        <w:ind w:firstLine="720"/>
        <w:rPr>
          <w:rFonts w:ascii="Arial" w:hAnsi="Arial" w:cs="Arial"/>
          <w:sz w:val="20"/>
          <w:szCs w:val="20"/>
        </w:rPr>
      </w:pPr>
      <w:r w:rsidRPr="007A682B">
        <w:rPr>
          <w:rFonts w:ascii="Arial" w:hAnsi="Arial" w:cs="Arial"/>
          <w:sz w:val="20"/>
          <w:szCs w:val="20"/>
        </w:rPr>
        <w:t xml:space="preserve">To further characterize our cell-types, we cross-projected cluster labels from this snMultiome dataset with </w:t>
      </w:r>
      <w:r w:rsidR="007E5E79" w:rsidRPr="007A682B">
        <w:rPr>
          <w:rFonts w:ascii="Arial" w:hAnsi="Arial" w:cs="Arial"/>
          <w:sz w:val="20"/>
          <w:szCs w:val="20"/>
        </w:rPr>
        <w:t xml:space="preserve">the </w:t>
      </w:r>
      <w:r w:rsidR="00D770B1" w:rsidRPr="007A682B">
        <w:rPr>
          <w:rFonts w:ascii="Arial" w:hAnsi="Arial" w:cs="Arial"/>
          <w:sz w:val="20"/>
          <w:szCs w:val="20"/>
        </w:rPr>
        <w:t xml:space="preserve">snRNA-seq </w:t>
      </w:r>
      <w:r w:rsidR="007E5E79" w:rsidRPr="007A682B">
        <w:rPr>
          <w:rFonts w:ascii="Arial" w:hAnsi="Arial" w:cs="Arial"/>
          <w:sz w:val="20"/>
          <w:szCs w:val="20"/>
        </w:rPr>
        <w:t>telencephalon atlas and assessed agreement.</w:t>
      </w:r>
      <w:r w:rsidRPr="007A682B">
        <w:rPr>
          <w:rFonts w:ascii="Arial" w:hAnsi="Arial" w:cs="Arial"/>
          <w:sz w:val="20"/>
          <w:szCs w:val="20"/>
        </w:rPr>
        <w:t xml:space="preserve"> Glial cell types and excitatory neurons showed strong correspondence. Further, 6_POA_Mixed was the mutual best match for the putatively POA child cluster 13d</w:t>
      </w:r>
      <w:r w:rsidR="00D770B1" w:rsidRPr="007A682B">
        <w:rPr>
          <w:rFonts w:ascii="Arial" w:hAnsi="Arial" w:cs="Arial"/>
          <w:sz w:val="20"/>
          <w:szCs w:val="20"/>
        </w:rPr>
        <w:t xml:space="preserve"> (</w:t>
      </w:r>
      <w:r w:rsidR="00D770B1" w:rsidRPr="007A682B">
        <w:rPr>
          <w:rFonts w:ascii="Arial" w:hAnsi="Arial" w:cs="Arial"/>
          <w:sz w:val="20"/>
          <w:szCs w:val="20"/>
          <w:highlight w:val="yellow"/>
        </w:rPr>
        <w:t>Appendix S</w:t>
      </w:r>
      <w:r w:rsidR="00C538DF" w:rsidRPr="007A682B">
        <w:rPr>
          <w:rFonts w:ascii="Arial" w:hAnsi="Arial" w:cs="Arial"/>
          <w:sz w:val="20"/>
          <w:szCs w:val="20"/>
          <w:highlight w:val="yellow"/>
        </w:rPr>
        <w:t>4</w:t>
      </w:r>
      <w:r w:rsidR="00D770B1" w:rsidRPr="007A682B">
        <w:rPr>
          <w:rFonts w:ascii="Arial" w:hAnsi="Arial" w:cs="Arial"/>
          <w:sz w:val="20"/>
          <w:szCs w:val="20"/>
          <w:highlight w:val="yellow"/>
        </w:rPr>
        <w:t xml:space="preserve"> and S</w:t>
      </w:r>
      <w:r w:rsidR="00C538DF" w:rsidRPr="007A682B">
        <w:rPr>
          <w:rFonts w:ascii="Arial" w:hAnsi="Arial" w:cs="Arial"/>
          <w:sz w:val="20"/>
          <w:szCs w:val="20"/>
          <w:highlight w:val="yellow"/>
        </w:rPr>
        <w:t>5</w:t>
      </w:r>
      <w:r w:rsidR="00D770B1" w:rsidRPr="007A682B">
        <w:rPr>
          <w:rFonts w:ascii="Arial" w:hAnsi="Arial" w:cs="Arial"/>
          <w:sz w:val="20"/>
          <w:szCs w:val="20"/>
        </w:rPr>
        <w:t>)</w:t>
      </w:r>
      <w:r w:rsidRPr="007A682B">
        <w:rPr>
          <w:rFonts w:ascii="Arial" w:hAnsi="Arial" w:cs="Arial"/>
          <w:sz w:val="20"/>
          <w:szCs w:val="20"/>
        </w:rPr>
        <w:t xml:space="preserve">. We observed weaker </w:t>
      </w:r>
      <w:r w:rsidR="007E5E79" w:rsidRPr="007A682B">
        <w:rPr>
          <w:rFonts w:ascii="Arial" w:hAnsi="Arial" w:cs="Arial"/>
          <w:sz w:val="20"/>
          <w:szCs w:val="20"/>
        </w:rPr>
        <w:t>agreement</w:t>
      </w:r>
      <w:r w:rsidRPr="007A682B">
        <w:rPr>
          <w:rFonts w:ascii="Arial" w:hAnsi="Arial" w:cs="Arial"/>
          <w:sz w:val="20"/>
          <w:szCs w:val="20"/>
        </w:rPr>
        <w:t xml:space="preserve"> between cell types mapping to the </w:t>
      </w:r>
      <w:r w:rsidR="00256506" w:rsidRPr="007A682B">
        <w:rPr>
          <w:rFonts w:ascii="Arial" w:hAnsi="Arial" w:cs="Arial"/>
          <w:sz w:val="20"/>
          <w:szCs w:val="20"/>
        </w:rPr>
        <w:t>subpallium. Namely</w:t>
      </w:r>
      <w:r w:rsidR="007E5E79" w:rsidRPr="007A682B">
        <w:rPr>
          <w:rFonts w:ascii="Arial" w:hAnsi="Arial" w:cs="Arial"/>
          <w:sz w:val="20"/>
          <w:szCs w:val="20"/>
        </w:rPr>
        <w:t>,</w:t>
      </w:r>
      <w:r w:rsidR="00256506" w:rsidRPr="007A682B">
        <w:rPr>
          <w:rFonts w:ascii="Arial" w:hAnsi="Arial" w:cs="Arial"/>
          <w:sz w:val="20"/>
          <w:szCs w:val="20"/>
        </w:rPr>
        <w:t xml:space="preserve"> parent clusters 9 and 13 which clustered separately in Parker 2024</w:t>
      </w:r>
      <w:r w:rsidR="00433010" w:rsidRPr="007A682B">
        <w:rPr>
          <w:rFonts w:ascii="Arial" w:hAnsi="Arial" w:cs="Arial"/>
          <w:sz w:val="20"/>
          <w:szCs w:val="20"/>
        </w:rPr>
        <w:t xml:space="preserve"> </w:t>
      </w:r>
      <w:r w:rsidR="00433010" w:rsidRPr="007A682B">
        <w:rPr>
          <w:rFonts w:ascii="Arial" w:hAnsi="Arial" w:cs="Arial"/>
          <w:sz w:val="20"/>
          <w:szCs w:val="20"/>
        </w:rPr>
        <w:fldChar w:fldCharType="begin"/>
      </w:r>
      <w:r w:rsidR="00433010" w:rsidRPr="007A682B">
        <w:rPr>
          <w:rFonts w:ascii="Arial" w:hAnsi="Arial" w:cs="Arial"/>
          <w:sz w:val="20"/>
          <w:szCs w:val="20"/>
        </w:rPr>
        <w:instrText xml:space="preserve"> ADDIN ZOTERO_ITEM CSL_CITATION {"citationID":"mw0AU9pH","properties":{"unsorted":false,"formattedCitation":"(5)","plainCitation":"(5)","noteIndex":0},"citationItems":[{"id":3227,"uris":["http://zotero.org/users/11313215/items/RWMZ9QFA"],"itemData":{"id":3227,"type":"article-journal","abstract":"BACKGROUND: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433010" w:rsidRPr="007A682B">
        <w:rPr>
          <w:rFonts w:ascii="Arial" w:hAnsi="Arial" w:cs="Arial"/>
          <w:sz w:val="20"/>
          <w:szCs w:val="20"/>
        </w:rPr>
        <w:fldChar w:fldCharType="separate"/>
      </w:r>
      <w:r w:rsidR="00433010" w:rsidRPr="007A682B">
        <w:rPr>
          <w:rFonts w:ascii="Arial" w:hAnsi="Arial" w:cs="Arial"/>
          <w:noProof/>
          <w:sz w:val="20"/>
          <w:szCs w:val="20"/>
        </w:rPr>
        <w:t>(5)</w:t>
      </w:r>
      <w:r w:rsidR="00433010" w:rsidRPr="007A682B">
        <w:rPr>
          <w:rFonts w:ascii="Arial" w:hAnsi="Arial" w:cs="Arial"/>
          <w:sz w:val="20"/>
          <w:szCs w:val="20"/>
        </w:rPr>
        <w:fldChar w:fldCharType="end"/>
      </w:r>
      <w:r w:rsidR="00C32F02" w:rsidRPr="007A682B">
        <w:rPr>
          <w:rFonts w:ascii="Arial" w:hAnsi="Arial" w:cs="Arial"/>
          <w:sz w:val="20"/>
          <w:szCs w:val="20"/>
        </w:rPr>
        <w:t xml:space="preserve"> </w:t>
      </w:r>
      <w:r w:rsidR="00256506" w:rsidRPr="007A682B">
        <w:rPr>
          <w:rFonts w:ascii="Arial" w:hAnsi="Arial" w:cs="Arial"/>
          <w:sz w:val="20"/>
          <w:szCs w:val="20"/>
        </w:rPr>
        <w:t>clustered together in this work (clusters 0_</w:t>
      </w:r>
      <w:r w:rsidR="007E5E79" w:rsidRPr="007A682B">
        <w:rPr>
          <w:rFonts w:ascii="Arial" w:hAnsi="Arial" w:cs="Arial"/>
          <w:sz w:val="20"/>
          <w:szCs w:val="20"/>
        </w:rPr>
        <w:t>Spall_Mixed</w:t>
      </w:r>
      <w:r w:rsidR="00256506" w:rsidRPr="007A682B">
        <w:rPr>
          <w:rFonts w:ascii="Arial" w:hAnsi="Arial" w:cs="Arial"/>
          <w:sz w:val="20"/>
          <w:szCs w:val="20"/>
        </w:rPr>
        <w:t>, 3</w:t>
      </w:r>
      <w:r w:rsidR="007E5E79" w:rsidRPr="007A682B">
        <w:rPr>
          <w:rFonts w:ascii="Arial" w:hAnsi="Arial" w:cs="Arial"/>
          <w:sz w:val="20"/>
          <w:szCs w:val="20"/>
        </w:rPr>
        <w:t>_Spall_GABA</w:t>
      </w:r>
      <w:r w:rsidR="00256506" w:rsidRPr="007A682B">
        <w:rPr>
          <w:rFonts w:ascii="Arial" w:hAnsi="Arial" w:cs="Arial"/>
          <w:sz w:val="20"/>
          <w:szCs w:val="20"/>
        </w:rPr>
        <w:t>, 5</w:t>
      </w:r>
      <w:r w:rsidR="007E5E79" w:rsidRPr="007A682B">
        <w:rPr>
          <w:rFonts w:ascii="Arial" w:hAnsi="Arial" w:cs="Arial"/>
          <w:sz w:val="20"/>
          <w:szCs w:val="20"/>
        </w:rPr>
        <w:t>_Glut</w:t>
      </w:r>
      <w:r w:rsidR="00256506" w:rsidRPr="007A682B">
        <w:rPr>
          <w:rFonts w:ascii="Arial" w:hAnsi="Arial" w:cs="Arial"/>
          <w:sz w:val="20"/>
          <w:szCs w:val="20"/>
        </w:rPr>
        <w:t>, 6</w:t>
      </w:r>
      <w:r w:rsidR="007E5E79" w:rsidRPr="007A682B">
        <w:rPr>
          <w:rFonts w:ascii="Arial" w:hAnsi="Arial" w:cs="Arial"/>
          <w:sz w:val="20"/>
          <w:szCs w:val="20"/>
        </w:rPr>
        <w:t>_POA_Mixed</w:t>
      </w:r>
      <w:r w:rsidR="00256506" w:rsidRPr="007A682B">
        <w:rPr>
          <w:rFonts w:ascii="Arial" w:hAnsi="Arial" w:cs="Arial"/>
          <w:sz w:val="20"/>
          <w:szCs w:val="20"/>
        </w:rPr>
        <w:t>, 9</w:t>
      </w:r>
      <w:r w:rsidR="007E5E79" w:rsidRPr="007A682B">
        <w:rPr>
          <w:rFonts w:ascii="Arial" w:hAnsi="Arial" w:cs="Arial"/>
          <w:sz w:val="20"/>
          <w:szCs w:val="20"/>
        </w:rPr>
        <w:t>_Mixed</w:t>
      </w:r>
      <w:r w:rsidR="00256506" w:rsidRPr="007A682B">
        <w:rPr>
          <w:rFonts w:ascii="Arial" w:hAnsi="Arial" w:cs="Arial"/>
          <w:sz w:val="20"/>
          <w:szCs w:val="20"/>
        </w:rPr>
        <w:t>,</w:t>
      </w:r>
      <w:r w:rsidR="007E5E79" w:rsidRPr="007A682B">
        <w:rPr>
          <w:rFonts w:ascii="Arial" w:hAnsi="Arial" w:cs="Arial"/>
          <w:sz w:val="20"/>
          <w:szCs w:val="20"/>
        </w:rPr>
        <w:t xml:space="preserve"> </w:t>
      </w:r>
      <w:r w:rsidR="00256506" w:rsidRPr="007A682B">
        <w:rPr>
          <w:rFonts w:ascii="Arial" w:hAnsi="Arial" w:cs="Arial"/>
          <w:sz w:val="20"/>
          <w:szCs w:val="20"/>
        </w:rPr>
        <w:t>21</w:t>
      </w:r>
      <w:r w:rsidR="007E5E79" w:rsidRPr="007A682B">
        <w:rPr>
          <w:rFonts w:ascii="Arial" w:hAnsi="Arial" w:cs="Arial"/>
          <w:sz w:val="20"/>
          <w:szCs w:val="20"/>
        </w:rPr>
        <w:t>_Spall_GABA</w:t>
      </w:r>
      <w:r w:rsidR="00256506" w:rsidRPr="007A682B">
        <w:rPr>
          <w:rFonts w:ascii="Arial" w:hAnsi="Arial" w:cs="Arial"/>
          <w:sz w:val="20"/>
          <w:szCs w:val="20"/>
        </w:rPr>
        <w:t>,</w:t>
      </w:r>
      <w:r w:rsidR="007E5E79" w:rsidRPr="007A682B">
        <w:rPr>
          <w:rFonts w:ascii="Arial" w:hAnsi="Arial" w:cs="Arial"/>
          <w:sz w:val="20"/>
          <w:szCs w:val="20"/>
        </w:rPr>
        <w:t xml:space="preserve"> and </w:t>
      </w:r>
      <w:r w:rsidR="00256506" w:rsidRPr="007A682B">
        <w:rPr>
          <w:rFonts w:ascii="Arial" w:hAnsi="Arial" w:cs="Arial"/>
          <w:sz w:val="20"/>
          <w:szCs w:val="20"/>
        </w:rPr>
        <w:t>24</w:t>
      </w:r>
      <w:r w:rsidR="007E5E79" w:rsidRPr="007A682B">
        <w:rPr>
          <w:rFonts w:ascii="Arial" w:hAnsi="Arial" w:cs="Arial"/>
          <w:sz w:val="20"/>
          <w:szCs w:val="20"/>
        </w:rPr>
        <w:t>_Vs-m_Mixed</w:t>
      </w:r>
      <w:r w:rsidR="00256506" w:rsidRPr="007A682B">
        <w:rPr>
          <w:rFonts w:ascii="Arial" w:hAnsi="Arial" w:cs="Arial"/>
          <w:sz w:val="20"/>
          <w:szCs w:val="20"/>
        </w:rPr>
        <w:t>)</w:t>
      </w:r>
      <w:r w:rsidRPr="007A682B">
        <w:rPr>
          <w:rFonts w:ascii="Arial" w:hAnsi="Arial" w:cs="Arial"/>
          <w:sz w:val="20"/>
          <w:szCs w:val="20"/>
        </w:rPr>
        <w:t xml:space="preserve">. This is likely due to the weighted shared nearest neighbors clustering integrating both ATAC and RNA data used in this work reflecting their shared subpallial </w:t>
      </w:r>
      <w:r w:rsidR="007E5E79" w:rsidRPr="007A682B">
        <w:rPr>
          <w:rFonts w:ascii="Arial" w:hAnsi="Arial" w:cs="Arial"/>
          <w:sz w:val="20"/>
          <w:szCs w:val="20"/>
        </w:rPr>
        <w:t>identity (</w:t>
      </w:r>
      <w:r w:rsidR="00E318E3" w:rsidRPr="007A682B">
        <w:rPr>
          <w:rFonts w:ascii="Arial" w:hAnsi="Arial" w:cs="Arial"/>
          <w:sz w:val="20"/>
          <w:szCs w:val="20"/>
          <w:highlight w:val="yellow"/>
        </w:rPr>
        <w:t>Fig S</w:t>
      </w:r>
      <w:r w:rsidR="00376C7F" w:rsidRPr="007A682B">
        <w:rPr>
          <w:rFonts w:ascii="Arial" w:hAnsi="Arial" w:cs="Arial"/>
          <w:sz w:val="20"/>
          <w:szCs w:val="20"/>
          <w:highlight w:val="yellow"/>
        </w:rPr>
        <w:t>5A-C</w:t>
      </w:r>
      <w:r w:rsidR="00E318E3" w:rsidRPr="007A682B">
        <w:rPr>
          <w:rFonts w:ascii="Arial" w:hAnsi="Arial" w:cs="Arial"/>
          <w:sz w:val="20"/>
          <w:szCs w:val="20"/>
        </w:rPr>
        <w:t>)</w:t>
      </w:r>
      <w:r w:rsidR="003247AC" w:rsidRPr="007A682B">
        <w:rPr>
          <w:rFonts w:ascii="Arial" w:hAnsi="Arial" w:cs="Arial"/>
          <w:sz w:val="20"/>
          <w:szCs w:val="20"/>
        </w:rPr>
        <w:t>.</w:t>
      </w:r>
      <w:r w:rsidRPr="007A682B">
        <w:rPr>
          <w:rFonts w:ascii="Arial" w:hAnsi="Arial" w:cs="Arial"/>
          <w:sz w:val="20"/>
          <w:szCs w:val="20"/>
        </w:rPr>
        <w:t xml:space="preserve"> </w:t>
      </w:r>
      <w:r w:rsidR="00C61BB7" w:rsidRPr="007A682B">
        <w:rPr>
          <w:rFonts w:ascii="Arial" w:hAnsi="Arial" w:cs="Arial"/>
          <w:sz w:val="20"/>
          <w:szCs w:val="20"/>
        </w:rPr>
        <w:t xml:space="preserve">These findings demonstrate the robustness and reproducibility of the identified cell types identified in this work and </w:t>
      </w:r>
      <w:r w:rsidR="00C32F02" w:rsidRPr="007A682B">
        <w:rPr>
          <w:rFonts w:ascii="Arial" w:hAnsi="Arial" w:cs="Arial"/>
          <w:sz w:val="20"/>
          <w:szCs w:val="20"/>
        </w:rPr>
        <w:t xml:space="preserve">our </w:t>
      </w:r>
      <w:r w:rsidR="00C61BB7" w:rsidRPr="007A682B">
        <w:rPr>
          <w:rFonts w:ascii="Arial" w:hAnsi="Arial" w:cs="Arial"/>
          <w:sz w:val="20"/>
          <w:szCs w:val="20"/>
        </w:rPr>
        <w:t xml:space="preserve">previous </w:t>
      </w:r>
      <w:r w:rsidR="00C32F02" w:rsidRPr="007A682B">
        <w:rPr>
          <w:rFonts w:ascii="Arial" w:hAnsi="Arial" w:cs="Arial"/>
          <w:sz w:val="20"/>
          <w:szCs w:val="20"/>
        </w:rPr>
        <w:t>paper</w:t>
      </w:r>
      <w:r w:rsidR="00C61BB7" w:rsidRPr="007A682B">
        <w:rPr>
          <w:rFonts w:ascii="Arial" w:hAnsi="Arial" w:cs="Arial"/>
          <w:sz w:val="20"/>
          <w:szCs w:val="20"/>
        </w:rPr>
        <w:t>.</w:t>
      </w:r>
    </w:p>
    <w:p w14:paraId="4B2718F7" w14:textId="77777777" w:rsidR="00C32F02" w:rsidRPr="007A682B" w:rsidRDefault="00C32F02" w:rsidP="00D770B1">
      <w:pPr>
        <w:ind w:firstLine="720"/>
        <w:rPr>
          <w:rFonts w:ascii="Arial" w:hAnsi="Arial" w:cs="Arial"/>
          <w:sz w:val="20"/>
          <w:szCs w:val="20"/>
        </w:rPr>
      </w:pPr>
    </w:p>
    <w:p w14:paraId="46622BD7" w14:textId="77777777" w:rsidR="004816FA" w:rsidRPr="007A682B" w:rsidRDefault="004816FA" w:rsidP="00753C87">
      <w:pPr>
        <w:rPr>
          <w:rFonts w:ascii="Arial" w:hAnsi="Arial" w:cs="Arial"/>
          <w:b/>
          <w:bCs/>
          <w:sz w:val="20"/>
          <w:szCs w:val="20"/>
        </w:rPr>
      </w:pPr>
      <w:r w:rsidRPr="007A682B">
        <w:rPr>
          <w:rFonts w:ascii="Arial" w:hAnsi="Arial" w:cs="Arial"/>
          <w:b/>
          <w:bCs/>
          <w:sz w:val="20"/>
          <w:szCs w:val="20"/>
        </w:rPr>
        <w:lastRenderedPageBreak/>
        <w:t>Asynchronous Changes in Cell Type Composition During Sex Change</w:t>
      </w:r>
    </w:p>
    <w:p w14:paraId="22B4C425" w14:textId="3F8671D7" w:rsidR="00C65318" w:rsidRPr="007A682B" w:rsidRDefault="00C65318" w:rsidP="00C65318">
      <w:pPr>
        <w:rPr>
          <w:rFonts w:ascii="Arial" w:hAnsi="Arial" w:cs="Arial"/>
          <w:sz w:val="20"/>
          <w:szCs w:val="20"/>
        </w:rPr>
      </w:pPr>
      <w:r w:rsidRPr="007A682B">
        <w:rPr>
          <w:rFonts w:ascii="Arial" w:hAnsi="Arial" w:cs="Arial"/>
          <w:b/>
          <w:bCs/>
          <w:sz w:val="20"/>
          <w:szCs w:val="20"/>
        </w:rPr>
        <w:tab/>
      </w:r>
      <w:r w:rsidRPr="007A682B">
        <w:rPr>
          <w:rFonts w:ascii="Arial" w:hAnsi="Arial" w:cs="Arial"/>
          <w:sz w:val="20"/>
          <w:szCs w:val="20"/>
        </w:rPr>
        <w:t>Because sex change is associated with changes in brain size and composition</w:t>
      </w:r>
      <w:r w:rsidR="000E7AF0" w:rsidRPr="007A682B">
        <w:rPr>
          <w:rFonts w:ascii="Arial" w:hAnsi="Arial" w:cs="Arial"/>
          <w:sz w:val="20"/>
          <w:szCs w:val="20"/>
        </w:rPr>
        <w:t xml:space="preserve"> </w:t>
      </w:r>
      <w:r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{"citationID":"nc2JQN6K","properties":{"formattedCitation":"(6, 20)","plainCitation":"(6, 20)","noteIndex":0},"citationItems":[{"id":16,"uris":["http://zotero.org/users/11313215/items/VGA9PBJ3"],"itemData":{"id":16,"type":"article-journal","abstract":"Sex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S."}],"issued":{"date-parts":[["2023",3]]}}},{"id":3178,"uris":["http://zotero.org/users/11313215/items/TXXW73L8"],"itemData":{"id":3178,"type":"article-journal","abstract":"Teleost fish form the largest group of vertebrates and show a tremendous variety of adaptive behaviors, making them critically important for the study of brain evolution and cognition. The neural basis mediating these behaviors remains elusive. We performed a systematic comparative survey of the goldfish telencephalon. We mapped cell types using single-cell RNA sequencing and spatial transcriptomics, resulting in de novo molecular neuroanatomy parcellation. Glial cells were highly conserved across 450 million years of evolution separating mouse and goldfish, while neurons showed diversity and modularity in gene expression. Specifically, somatostatin interneurons, famously interspersed in the mammalian isocortex for local inhibitory input, were curiously aggregated in a single goldfish telencephalon nucleus but molecularly conserved. Cerebral nuclei including the striatum, a hub for motivated behavior in amniotes, had molecularly conserved goldfish homologs. We suggest elements of a hippocampal formation across the goldfish pallium. Last, aiding study of the teleostan everted telencephalon, we describe substantial molecular similarities between goldfish and zebrafish neuronal taxonomies.","container-title":"Science Advances","DOI":"10.1126/sciadv.adh7693","ISSN":"2375-2548","issue":"44","journalAbbreviation":"Sci Adv","language":"eng","page":"eadh7693","PMID":"37910612","PMCID":"PMC10619943","source":"PubMed","title":"A telencephalon cell type atlas for goldfish reveals diversity in the evolution of spatial structure and cell types","volume":"9","author":[{"family":"Tibi","given":"Muhammad"},{"family":"Biton Hayun","given":"Stav"},{"family":"Hochgerner","given":"Hannah"},{"family":"Lin","given":"Zhige"},{"family":"Givon","given":"Shachar"},{"family":"Ophir","given":"Osnat"},{"family":"Shay","given":"Tal"},{"family":"Mueller","given":"Thomas"},{"family":"Segev","given":"Ronen"},{"family":"Zeisel","given":"Amit"}],"issued":{"date-parts":[["2023",11,3]]}}}],"schema":"https://github.com/citation-style-language/schema/raw/master/csl-citation.json"} </w:instrText>
      </w:r>
      <w:r w:rsidRPr="007A682B">
        <w:rPr>
          <w:rFonts w:ascii="Arial" w:hAnsi="Arial" w:cs="Arial"/>
          <w:sz w:val="20"/>
          <w:szCs w:val="20"/>
        </w:rPr>
        <w:fldChar w:fldCharType="separate"/>
      </w:r>
      <w:r w:rsidR="0072390C" w:rsidRPr="007A682B">
        <w:rPr>
          <w:rFonts w:ascii="Arial" w:hAnsi="Arial" w:cs="Arial"/>
          <w:sz w:val="20"/>
          <w:szCs w:val="20"/>
        </w:rPr>
        <w:t>(6, 20)</w:t>
      </w:r>
      <w:r w:rsidRPr="007A682B">
        <w:rPr>
          <w:rFonts w:ascii="Arial" w:hAnsi="Arial" w:cs="Arial"/>
          <w:sz w:val="20"/>
          <w:szCs w:val="20"/>
        </w:rPr>
        <w:fldChar w:fldCharType="end"/>
      </w:r>
      <w:r w:rsidRPr="007A682B">
        <w:rPr>
          <w:rFonts w:ascii="Arial" w:hAnsi="Arial" w:cs="Arial"/>
          <w:sz w:val="20"/>
          <w:szCs w:val="20"/>
        </w:rPr>
        <w:t xml:space="preserve">, we next analyzed changes in cell populations across sex change. </w:t>
      </w:r>
      <w:r w:rsidR="00204F66" w:rsidRPr="007A682B">
        <w:rPr>
          <w:rFonts w:ascii="Arial" w:hAnsi="Arial" w:cs="Arial"/>
          <w:sz w:val="20"/>
          <w:szCs w:val="20"/>
        </w:rPr>
        <w:t>We then classified the changes in population according to its temporal pattern and direction of changes across males, intermediates, and females (</w:t>
      </w:r>
      <w:r w:rsidR="00204F66" w:rsidRPr="007A682B">
        <w:rPr>
          <w:rFonts w:ascii="Arial" w:hAnsi="Arial" w:cs="Arial"/>
          <w:sz w:val="20"/>
          <w:szCs w:val="20"/>
          <w:highlight w:val="yellow"/>
        </w:rPr>
        <w:t>Methods</w:t>
      </w:r>
      <w:r w:rsidR="00204F66" w:rsidRPr="007A682B">
        <w:rPr>
          <w:rFonts w:ascii="Arial" w:hAnsi="Arial" w:cs="Arial"/>
          <w:sz w:val="20"/>
          <w:szCs w:val="20"/>
        </w:rPr>
        <w:t xml:space="preserve">). Specifically, cell types were classified as exhibiting early, late, progressive, or transient patterns as well as either increasing or decreasing abundance. </w:t>
      </w:r>
      <w:r w:rsidRPr="007A682B">
        <w:rPr>
          <w:rFonts w:ascii="Arial" w:hAnsi="Arial" w:cs="Arial"/>
          <w:sz w:val="20"/>
          <w:szCs w:val="20"/>
        </w:rPr>
        <w:t xml:space="preserve">We detected significant phase differences in the </w:t>
      </w:r>
      <w:r w:rsidR="000E7AF0" w:rsidRPr="007A682B">
        <w:rPr>
          <w:rFonts w:ascii="Arial" w:hAnsi="Arial" w:cs="Arial"/>
          <w:sz w:val="20"/>
          <w:szCs w:val="20"/>
        </w:rPr>
        <w:t xml:space="preserve">abundance </w:t>
      </w:r>
      <w:r w:rsidRPr="007A682B">
        <w:rPr>
          <w:rFonts w:ascii="Arial" w:hAnsi="Arial" w:cs="Arial"/>
          <w:sz w:val="20"/>
          <w:szCs w:val="20"/>
        </w:rPr>
        <w:t xml:space="preserve">of cells in 12 of the 27 multiome clusters. Of these, nine were </w:t>
      </w:r>
      <w:r w:rsidR="000E7AF0" w:rsidRPr="007A682B">
        <w:rPr>
          <w:rFonts w:ascii="Arial" w:hAnsi="Arial" w:cs="Arial"/>
          <w:sz w:val="20"/>
          <w:szCs w:val="20"/>
        </w:rPr>
        <w:t xml:space="preserve">relative </w:t>
      </w:r>
      <w:r w:rsidRPr="007A682B">
        <w:rPr>
          <w:rFonts w:ascii="Arial" w:hAnsi="Arial" w:cs="Arial"/>
          <w:sz w:val="20"/>
          <w:szCs w:val="20"/>
        </w:rPr>
        <w:t>decreases in cell population while only three were increases. Notably, all three increases occurred in glia. Oligodendrocytes (2_OL) increased in population progressively with each phase</w:t>
      </w:r>
      <w:r w:rsidR="00530E82">
        <w:rPr>
          <w:rFonts w:ascii="Arial" w:hAnsi="Arial" w:cs="Arial"/>
          <w:sz w:val="20"/>
          <w:szCs w:val="20"/>
        </w:rPr>
        <w:t xml:space="preserve"> (</w:t>
      </w:r>
      <w:r w:rsidR="00530E82" w:rsidRPr="00530E82">
        <w:rPr>
          <w:rFonts w:ascii="Arial" w:hAnsi="Arial" w:cs="Arial"/>
          <w:sz w:val="20"/>
          <w:szCs w:val="20"/>
        </w:rPr>
        <w:t>χ</w:t>
      </w:r>
      <w:r w:rsidR="00530E82">
        <w:rPr>
          <w:rFonts w:ascii="Arial" w:hAnsi="Arial" w:cs="Arial"/>
          <w:sz w:val="20"/>
          <w:szCs w:val="20"/>
          <w:vertAlign w:val="superscript"/>
        </w:rPr>
        <w:t>2</w:t>
      </w:r>
      <w:r w:rsidR="00530E82">
        <w:rPr>
          <w:rFonts w:ascii="Arial" w:hAnsi="Arial" w:cs="Arial"/>
          <w:sz w:val="20"/>
          <w:szCs w:val="20"/>
        </w:rPr>
        <w:t>(2</w:t>
      </w:r>
      <w:r w:rsidR="00530E82" w:rsidRPr="007A682B">
        <w:rPr>
          <w:rFonts w:ascii="Arial" w:hAnsi="Arial" w:cs="Arial"/>
          <w:sz w:val="20"/>
          <w:szCs w:val="20"/>
        </w:rPr>
        <w:t>)</w:t>
      </w:r>
      <w:r w:rsidR="00530E82">
        <w:rPr>
          <w:rFonts w:ascii="Arial" w:hAnsi="Arial" w:cs="Arial"/>
          <w:sz w:val="20"/>
          <w:szCs w:val="20"/>
        </w:rPr>
        <w:t xml:space="preserve"> = 64.552, </w:t>
      </w:r>
      <w:r w:rsidR="00530E82">
        <w:rPr>
          <w:rFonts w:ascii="Arial" w:hAnsi="Arial" w:cs="Arial"/>
          <w:i/>
          <w:iCs/>
          <w:sz w:val="20"/>
          <w:szCs w:val="20"/>
        </w:rPr>
        <w:t>q</w:t>
      </w:r>
      <w:r w:rsidR="00530E82">
        <w:rPr>
          <w:rFonts w:ascii="Arial" w:hAnsi="Arial" w:cs="Arial"/>
          <w:sz w:val="20"/>
          <w:szCs w:val="20"/>
        </w:rPr>
        <w:t xml:space="preserve"> &lt;0.001), with </w:t>
      </w:r>
      <w:r w:rsidR="00530E82" w:rsidRPr="0059476D">
        <w:rPr>
          <w:rFonts w:ascii="Arial" w:hAnsi="Arial" w:cs="Arial"/>
          <w:sz w:val="20"/>
          <w:szCs w:val="20"/>
        </w:rPr>
        <w:t>a 1.2-fold</w:t>
      </w:r>
      <w:r w:rsidR="00530E82">
        <w:rPr>
          <w:rFonts w:ascii="Arial" w:hAnsi="Arial" w:cs="Arial"/>
          <w:sz w:val="20"/>
          <w:szCs w:val="20"/>
        </w:rPr>
        <w:t xml:space="preserve"> increase during both the male-intermediate transition and the intermediates-female transition. M</w:t>
      </w:r>
      <w:r w:rsidRPr="007A682B">
        <w:rPr>
          <w:rFonts w:ascii="Arial" w:hAnsi="Arial" w:cs="Arial"/>
          <w:sz w:val="20"/>
          <w:szCs w:val="20"/>
        </w:rPr>
        <w:t xml:space="preserve">icroglia (11_MG) </w:t>
      </w:r>
      <w:r w:rsidRPr="00530E82">
        <w:rPr>
          <w:rFonts w:ascii="Arial" w:hAnsi="Arial" w:cs="Arial"/>
          <w:sz w:val="20"/>
          <w:szCs w:val="20"/>
        </w:rPr>
        <w:t>increased</w:t>
      </w:r>
      <w:r w:rsidR="00530E82" w:rsidRPr="00530E82">
        <w:rPr>
          <w:rFonts w:ascii="Arial" w:hAnsi="Arial" w:cs="Arial"/>
          <w:sz w:val="20"/>
          <w:szCs w:val="20"/>
        </w:rPr>
        <w:t xml:space="preserve"> 1.2-fold</w:t>
      </w:r>
      <w:r w:rsidR="00530E82">
        <w:rPr>
          <w:rFonts w:ascii="Arial" w:hAnsi="Arial" w:cs="Arial"/>
          <w:sz w:val="20"/>
          <w:szCs w:val="20"/>
        </w:rPr>
        <w:t xml:space="preserve"> </w:t>
      </w:r>
      <w:r w:rsidRPr="007A682B">
        <w:rPr>
          <w:rFonts w:ascii="Arial" w:hAnsi="Arial" w:cs="Arial"/>
          <w:sz w:val="20"/>
          <w:szCs w:val="20"/>
        </w:rPr>
        <w:t>during the male-intermediate transition</w:t>
      </w:r>
      <w:r w:rsidR="00530E82">
        <w:rPr>
          <w:rFonts w:ascii="Arial" w:hAnsi="Arial" w:cs="Arial"/>
          <w:sz w:val="20"/>
          <w:szCs w:val="20"/>
        </w:rPr>
        <w:t xml:space="preserve"> </w:t>
      </w:r>
      <w:r w:rsidR="006468B0" w:rsidRPr="007A682B">
        <w:rPr>
          <w:rFonts w:ascii="Arial" w:hAnsi="Arial" w:cs="Arial"/>
          <w:sz w:val="20"/>
          <w:szCs w:val="20"/>
        </w:rPr>
        <w:t>(</w:t>
      </w:r>
      <w:r w:rsidR="00530E82" w:rsidRPr="00530E82">
        <w:rPr>
          <w:rFonts w:ascii="Arial" w:hAnsi="Arial" w:cs="Arial"/>
          <w:sz w:val="20"/>
          <w:szCs w:val="20"/>
        </w:rPr>
        <w:t>χ</w:t>
      </w:r>
      <w:r w:rsidR="00530E82">
        <w:rPr>
          <w:rFonts w:ascii="Arial" w:hAnsi="Arial" w:cs="Arial"/>
          <w:sz w:val="20"/>
          <w:szCs w:val="20"/>
          <w:vertAlign w:val="superscript"/>
        </w:rPr>
        <w:t>2</w:t>
      </w:r>
      <w:r w:rsidR="00530E82">
        <w:rPr>
          <w:rFonts w:ascii="Arial" w:hAnsi="Arial" w:cs="Arial"/>
          <w:sz w:val="20"/>
          <w:szCs w:val="20"/>
        </w:rPr>
        <w:t>(2</w:t>
      </w:r>
      <w:r w:rsidR="006468B0" w:rsidRPr="007A682B">
        <w:rPr>
          <w:rFonts w:ascii="Arial" w:hAnsi="Arial" w:cs="Arial"/>
          <w:sz w:val="20"/>
          <w:szCs w:val="20"/>
        </w:rPr>
        <w:t>)</w:t>
      </w:r>
      <w:r w:rsidR="00530E82">
        <w:rPr>
          <w:rFonts w:ascii="Arial" w:hAnsi="Arial" w:cs="Arial"/>
          <w:sz w:val="20"/>
          <w:szCs w:val="20"/>
        </w:rPr>
        <w:t xml:space="preserve"> =9.6</w:t>
      </w:r>
      <w:r w:rsidR="006044D0">
        <w:rPr>
          <w:rFonts w:ascii="Arial" w:hAnsi="Arial" w:cs="Arial"/>
          <w:sz w:val="20"/>
          <w:szCs w:val="20"/>
        </w:rPr>
        <w:t>9</w:t>
      </w:r>
      <w:r w:rsidR="00530E82">
        <w:rPr>
          <w:rFonts w:ascii="Arial" w:hAnsi="Arial" w:cs="Arial"/>
          <w:sz w:val="20"/>
          <w:szCs w:val="20"/>
        </w:rPr>
        <w:t xml:space="preserve">7, </w:t>
      </w:r>
      <w:r w:rsidR="00530E82">
        <w:rPr>
          <w:rFonts w:ascii="Arial" w:hAnsi="Arial" w:cs="Arial"/>
          <w:i/>
          <w:iCs/>
          <w:sz w:val="20"/>
          <w:szCs w:val="20"/>
        </w:rPr>
        <w:t>q</w:t>
      </w:r>
      <w:r w:rsidR="00530E82">
        <w:rPr>
          <w:rFonts w:ascii="Arial" w:hAnsi="Arial" w:cs="Arial"/>
          <w:sz w:val="20"/>
          <w:szCs w:val="20"/>
        </w:rPr>
        <w:t xml:space="preserve"> = 0.024, </w:t>
      </w:r>
      <w:r w:rsidRPr="007A682B">
        <w:rPr>
          <w:rFonts w:ascii="Arial" w:hAnsi="Arial" w:cs="Arial"/>
          <w:sz w:val="20"/>
          <w:szCs w:val="20"/>
          <w:highlight w:val="yellow"/>
        </w:rPr>
        <w:t>Fig. S</w:t>
      </w:r>
      <w:r w:rsidR="00376C7F" w:rsidRPr="007A682B">
        <w:rPr>
          <w:rFonts w:ascii="Arial" w:hAnsi="Arial" w:cs="Arial"/>
          <w:sz w:val="20"/>
          <w:szCs w:val="20"/>
          <w:highlight w:val="yellow"/>
        </w:rPr>
        <w:t>6</w:t>
      </w:r>
      <w:r w:rsidRPr="007A682B">
        <w:rPr>
          <w:rFonts w:ascii="Arial" w:hAnsi="Arial" w:cs="Arial"/>
          <w:sz w:val="20"/>
          <w:szCs w:val="20"/>
          <w:highlight w:val="yellow"/>
        </w:rPr>
        <w:t>A</w:t>
      </w:r>
      <w:r w:rsidRPr="007A682B">
        <w:rPr>
          <w:rFonts w:ascii="Arial" w:hAnsi="Arial" w:cs="Arial"/>
          <w:sz w:val="20"/>
          <w:szCs w:val="20"/>
        </w:rPr>
        <w:t xml:space="preserve">). Consistent with the idea that sex change is characterized by transient increases in neuro- and gliogenesis </w:t>
      </w:r>
      <w:r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{"citationID":"0xeA6Ki8","properties":{"unsorted":false,"formattedCitation":"(5, 6)","plainCitation":"(5, 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Pr="007A682B">
        <w:rPr>
          <w:rFonts w:ascii="Arial" w:hAnsi="Arial" w:cs="Arial"/>
          <w:sz w:val="20"/>
          <w:szCs w:val="20"/>
        </w:rPr>
        <w:fldChar w:fldCharType="separate"/>
      </w:r>
      <w:r w:rsidR="0072390C" w:rsidRPr="007A682B">
        <w:rPr>
          <w:rFonts w:ascii="Arial" w:hAnsi="Arial" w:cs="Arial"/>
          <w:sz w:val="20"/>
          <w:szCs w:val="20"/>
        </w:rPr>
        <w:t>(5, 6)</w:t>
      </w:r>
      <w:r w:rsidRPr="007A682B">
        <w:rPr>
          <w:rFonts w:ascii="Arial" w:hAnsi="Arial" w:cs="Arial"/>
          <w:sz w:val="20"/>
          <w:szCs w:val="20"/>
        </w:rPr>
        <w:fldChar w:fldCharType="end"/>
      </w:r>
      <w:r w:rsidRPr="007A682B">
        <w:rPr>
          <w:rFonts w:ascii="Arial" w:hAnsi="Arial" w:cs="Arial"/>
          <w:sz w:val="20"/>
          <w:szCs w:val="20"/>
        </w:rPr>
        <w:t xml:space="preserve">, the proportion of </w:t>
      </w:r>
      <w:r w:rsidR="00910508" w:rsidRPr="007A682B">
        <w:rPr>
          <w:rFonts w:ascii="Arial" w:hAnsi="Arial" w:cs="Arial"/>
          <w:sz w:val="20"/>
          <w:szCs w:val="20"/>
        </w:rPr>
        <w:t>RGCs</w:t>
      </w:r>
      <w:r w:rsidRPr="007A682B">
        <w:rPr>
          <w:rFonts w:ascii="Arial" w:hAnsi="Arial" w:cs="Arial"/>
          <w:sz w:val="20"/>
          <w:szCs w:val="20"/>
        </w:rPr>
        <w:t xml:space="preserve"> (1_RGC) transiently increased</w:t>
      </w:r>
      <w:r w:rsidR="0059476D">
        <w:rPr>
          <w:rFonts w:ascii="Arial" w:hAnsi="Arial" w:cs="Arial"/>
          <w:sz w:val="20"/>
          <w:szCs w:val="20"/>
        </w:rPr>
        <w:t xml:space="preserve"> 1.2-fold</w:t>
      </w:r>
      <w:r w:rsidRPr="007A682B">
        <w:rPr>
          <w:rFonts w:ascii="Arial" w:hAnsi="Arial" w:cs="Arial"/>
          <w:sz w:val="20"/>
          <w:szCs w:val="20"/>
        </w:rPr>
        <w:t xml:space="preserve"> in intermediates before returning to baseline levels in females </w:t>
      </w:r>
      <w:r w:rsidR="006468B0" w:rsidRPr="007A682B">
        <w:rPr>
          <w:rFonts w:ascii="Arial" w:hAnsi="Arial" w:cs="Arial"/>
          <w:sz w:val="20"/>
          <w:szCs w:val="20"/>
        </w:rPr>
        <w:t>(</w:t>
      </w:r>
      <w:r w:rsidR="0059476D" w:rsidRPr="00530E82">
        <w:rPr>
          <w:rFonts w:ascii="Arial" w:hAnsi="Arial" w:cs="Arial"/>
          <w:sz w:val="20"/>
          <w:szCs w:val="20"/>
        </w:rPr>
        <w:t>χ</w:t>
      </w:r>
      <w:r w:rsidR="0059476D">
        <w:rPr>
          <w:rFonts w:ascii="Arial" w:hAnsi="Arial" w:cs="Arial"/>
          <w:sz w:val="20"/>
          <w:szCs w:val="20"/>
          <w:vertAlign w:val="superscript"/>
        </w:rPr>
        <w:t>2</w:t>
      </w:r>
      <w:r w:rsidR="0059476D">
        <w:rPr>
          <w:rFonts w:ascii="Arial" w:hAnsi="Arial" w:cs="Arial"/>
          <w:sz w:val="20"/>
          <w:szCs w:val="20"/>
        </w:rPr>
        <w:t>(2</w:t>
      </w:r>
      <w:r w:rsidR="0059476D" w:rsidRPr="007A682B">
        <w:rPr>
          <w:rFonts w:ascii="Arial" w:hAnsi="Arial" w:cs="Arial"/>
          <w:sz w:val="20"/>
          <w:szCs w:val="20"/>
        </w:rPr>
        <w:t>)</w:t>
      </w:r>
      <w:r w:rsidR="0059476D">
        <w:rPr>
          <w:rFonts w:ascii="Arial" w:hAnsi="Arial" w:cs="Arial"/>
          <w:sz w:val="20"/>
          <w:szCs w:val="20"/>
        </w:rPr>
        <w:t xml:space="preserve"> =13.905, </w:t>
      </w:r>
      <w:r w:rsidR="0059476D">
        <w:rPr>
          <w:rFonts w:ascii="Arial" w:hAnsi="Arial" w:cs="Arial"/>
          <w:i/>
          <w:iCs/>
          <w:sz w:val="20"/>
          <w:szCs w:val="20"/>
        </w:rPr>
        <w:t>q</w:t>
      </w:r>
      <w:r w:rsidR="0059476D">
        <w:rPr>
          <w:rFonts w:ascii="Arial" w:hAnsi="Arial" w:cs="Arial"/>
          <w:sz w:val="20"/>
          <w:szCs w:val="20"/>
        </w:rPr>
        <w:t xml:space="preserve"> =0.004, </w:t>
      </w:r>
      <w:r w:rsidRPr="007A682B">
        <w:rPr>
          <w:rFonts w:ascii="Arial" w:hAnsi="Arial" w:cs="Arial"/>
          <w:sz w:val="20"/>
          <w:szCs w:val="20"/>
          <w:highlight w:val="yellow"/>
        </w:rPr>
        <w:t>Fig 3A</w:t>
      </w:r>
      <w:r w:rsidR="006468B0" w:rsidRPr="007A682B">
        <w:rPr>
          <w:rFonts w:ascii="Arial" w:hAnsi="Arial" w:cs="Arial"/>
          <w:sz w:val="20"/>
          <w:szCs w:val="20"/>
        </w:rPr>
        <w:t>, Appendix S1</w:t>
      </w:r>
      <w:r w:rsidRPr="007A682B">
        <w:rPr>
          <w:rFonts w:ascii="Arial" w:hAnsi="Arial" w:cs="Arial"/>
          <w:sz w:val="20"/>
          <w:szCs w:val="20"/>
        </w:rPr>
        <w:t xml:space="preserve">). Together, these findings reveal asynchronous </w:t>
      </w:r>
      <w:r w:rsidR="000E7AF0" w:rsidRPr="007A682B">
        <w:rPr>
          <w:rFonts w:ascii="Arial" w:hAnsi="Arial" w:cs="Arial"/>
          <w:sz w:val="20"/>
          <w:szCs w:val="20"/>
        </w:rPr>
        <w:t>changes in</w:t>
      </w:r>
      <w:r w:rsidRPr="007A682B">
        <w:rPr>
          <w:rFonts w:ascii="Arial" w:hAnsi="Arial" w:cs="Arial"/>
          <w:sz w:val="20"/>
          <w:szCs w:val="20"/>
        </w:rPr>
        <w:t xml:space="preserve"> glial populations during sex change, with an early expansion of </w:t>
      </w:r>
      <w:r w:rsidR="000E7AF0" w:rsidRPr="007A682B">
        <w:rPr>
          <w:rFonts w:ascii="Arial" w:hAnsi="Arial" w:cs="Arial"/>
          <w:sz w:val="20"/>
          <w:szCs w:val="20"/>
        </w:rPr>
        <w:t>RGCs and microglia</w:t>
      </w:r>
      <w:r w:rsidRPr="007A682B">
        <w:rPr>
          <w:rFonts w:ascii="Arial" w:hAnsi="Arial" w:cs="Arial"/>
          <w:sz w:val="20"/>
          <w:szCs w:val="20"/>
        </w:rPr>
        <w:t xml:space="preserve"> </w:t>
      </w:r>
      <w:r w:rsidR="000E7AF0" w:rsidRPr="007A682B">
        <w:rPr>
          <w:rFonts w:ascii="Arial" w:hAnsi="Arial" w:cs="Arial"/>
          <w:sz w:val="20"/>
          <w:szCs w:val="20"/>
        </w:rPr>
        <w:t>followed by</w:t>
      </w:r>
      <w:r w:rsidRPr="007A682B">
        <w:rPr>
          <w:rFonts w:ascii="Arial" w:hAnsi="Arial" w:cs="Arial"/>
          <w:sz w:val="20"/>
          <w:szCs w:val="20"/>
        </w:rPr>
        <w:t xml:space="preserve"> later accumulation of oligodendrocytes. This temporal sequence is consistent with </w:t>
      </w:r>
      <w:r w:rsidR="000E7AF0" w:rsidRPr="007A682B">
        <w:rPr>
          <w:rFonts w:ascii="Arial" w:hAnsi="Arial" w:cs="Arial"/>
          <w:sz w:val="20"/>
          <w:szCs w:val="20"/>
        </w:rPr>
        <w:t>RGCs</w:t>
      </w:r>
      <w:r w:rsidRPr="007A682B">
        <w:rPr>
          <w:rFonts w:ascii="Arial" w:hAnsi="Arial" w:cs="Arial"/>
          <w:sz w:val="20"/>
          <w:szCs w:val="20"/>
        </w:rPr>
        <w:t xml:space="preserve"> supporting the production of new neurons early in sex change</w:t>
      </w:r>
      <w:r w:rsidR="000E7AF0" w:rsidRPr="007A682B">
        <w:rPr>
          <w:rFonts w:ascii="Arial" w:hAnsi="Arial" w:cs="Arial"/>
          <w:sz w:val="20"/>
          <w:szCs w:val="20"/>
        </w:rPr>
        <w:t xml:space="preserve"> and microglia supporting and maintaining the expanded population</w:t>
      </w:r>
      <w:r w:rsidRPr="007A682B">
        <w:rPr>
          <w:rFonts w:ascii="Arial" w:hAnsi="Arial" w:cs="Arial"/>
          <w:sz w:val="20"/>
          <w:szCs w:val="20"/>
        </w:rPr>
        <w:t xml:space="preserve">, followed by </w:t>
      </w:r>
      <w:r w:rsidR="000E7AF0" w:rsidRPr="007A682B">
        <w:rPr>
          <w:rFonts w:ascii="Arial" w:hAnsi="Arial" w:cs="Arial"/>
          <w:sz w:val="20"/>
          <w:szCs w:val="20"/>
        </w:rPr>
        <w:t>oligodendrocytes myelinating the new neurons as they integrate into circuits</w:t>
      </w:r>
      <w:r w:rsidRPr="007A682B">
        <w:rPr>
          <w:rFonts w:ascii="Arial" w:hAnsi="Arial" w:cs="Arial"/>
          <w:sz w:val="20"/>
          <w:szCs w:val="20"/>
        </w:rPr>
        <w:t xml:space="preserve">.  </w:t>
      </w:r>
    </w:p>
    <w:p w14:paraId="260981F3" w14:textId="6ED14E70" w:rsidR="004816FA" w:rsidRPr="007A682B" w:rsidRDefault="003F3C8F" w:rsidP="00D770B1">
      <w:pPr>
        <w:ind w:firstLine="720"/>
        <w:rPr>
          <w:rFonts w:ascii="Arial" w:hAnsi="Arial" w:cs="Arial"/>
          <w:sz w:val="20"/>
          <w:szCs w:val="20"/>
        </w:rPr>
      </w:pPr>
      <w:r w:rsidRPr="007A682B">
        <w:rPr>
          <w:rFonts w:ascii="Arial" w:hAnsi="Arial" w:cs="Arial"/>
          <w:sz w:val="20"/>
          <w:szCs w:val="20"/>
        </w:rPr>
        <w:t>Because the large-scale changes in glial populations described above may obscure more subtle changes in neuronal populations, we next analyzed changes in proportion only considering neurons. Of the 20 neuronal clusters we analyzed, 11 changed in population, with four decreasing and seven increasing in population over the course of sex change. During the male-intermediate transition, we found significant increases in clusters 14_Vsst</w:t>
      </w:r>
      <w:r w:rsidR="00815DA7" w:rsidRPr="007A682B">
        <w:rPr>
          <w:rFonts w:ascii="Arial" w:hAnsi="Arial" w:cs="Arial"/>
          <w:sz w:val="20"/>
          <w:szCs w:val="20"/>
        </w:rPr>
        <w:t xml:space="preserve"> (</w:t>
      </w:r>
      <w:r w:rsidR="0059476D">
        <w:rPr>
          <w:rFonts w:ascii="Arial" w:hAnsi="Arial" w:cs="Arial"/>
          <w:sz w:val="20"/>
          <w:szCs w:val="20"/>
        </w:rPr>
        <w:t>1.4-fold)</w:t>
      </w:r>
      <w:r w:rsidRPr="007A682B">
        <w:rPr>
          <w:rFonts w:ascii="Arial" w:hAnsi="Arial" w:cs="Arial"/>
          <w:sz w:val="20"/>
          <w:szCs w:val="20"/>
        </w:rPr>
        <w:t>, 17_Glut</w:t>
      </w:r>
      <w:r w:rsidR="00815DA7" w:rsidRPr="007A682B">
        <w:rPr>
          <w:rFonts w:ascii="Arial" w:hAnsi="Arial" w:cs="Arial"/>
          <w:sz w:val="20"/>
          <w:szCs w:val="20"/>
        </w:rPr>
        <w:t xml:space="preserve"> (</w:t>
      </w:r>
      <w:r w:rsidR="0059476D">
        <w:rPr>
          <w:rFonts w:ascii="Arial" w:hAnsi="Arial" w:cs="Arial"/>
          <w:sz w:val="20"/>
          <w:szCs w:val="20"/>
        </w:rPr>
        <w:t>1.3-fold)</w:t>
      </w:r>
      <w:r w:rsidRPr="007A682B">
        <w:rPr>
          <w:rFonts w:ascii="Arial" w:hAnsi="Arial" w:cs="Arial"/>
          <w:sz w:val="20"/>
          <w:szCs w:val="20"/>
        </w:rPr>
        <w:t>, and 18_Glut</w:t>
      </w:r>
      <w:r w:rsidR="00815DA7" w:rsidRPr="007A682B">
        <w:rPr>
          <w:rFonts w:ascii="Arial" w:hAnsi="Arial" w:cs="Arial"/>
          <w:sz w:val="20"/>
          <w:szCs w:val="20"/>
        </w:rPr>
        <w:t xml:space="preserve"> (</w:t>
      </w:r>
      <w:r w:rsidR="0059476D">
        <w:rPr>
          <w:rFonts w:ascii="Arial" w:hAnsi="Arial" w:cs="Arial"/>
          <w:sz w:val="20"/>
          <w:szCs w:val="20"/>
        </w:rPr>
        <w:t>1.1-fold</w:t>
      </w:r>
      <w:r w:rsidR="00815DA7" w:rsidRPr="007A682B">
        <w:rPr>
          <w:rFonts w:ascii="Arial" w:hAnsi="Arial" w:cs="Arial"/>
          <w:sz w:val="20"/>
          <w:szCs w:val="20"/>
        </w:rPr>
        <w:t>)</w:t>
      </w:r>
      <w:r w:rsidRPr="007A682B">
        <w:rPr>
          <w:rFonts w:ascii="Arial" w:hAnsi="Arial" w:cs="Arial"/>
          <w:sz w:val="20"/>
          <w:szCs w:val="20"/>
        </w:rPr>
        <w:t>. In intermediates, we found a transient increase in cluster 0_Spall_Mixed</w:t>
      </w:r>
      <w:r w:rsidR="00815DA7" w:rsidRPr="007A682B">
        <w:rPr>
          <w:rFonts w:ascii="Arial" w:hAnsi="Arial" w:cs="Arial"/>
          <w:sz w:val="20"/>
          <w:szCs w:val="20"/>
        </w:rPr>
        <w:t xml:space="preserve"> (</w:t>
      </w:r>
      <w:r w:rsidR="00F32437">
        <w:rPr>
          <w:rFonts w:ascii="Arial" w:hAnsi="Arial" w:cs="Arial"/>
          <w:sz w:val="20"/>
          <w:szCs w:val="20"/>
        </w:rPr>
        <w:t>1.1-fold</w:t>
      </w:r>
      <w:r w:rsidR="00C82188">
        <w:rPr>
          <w:rFonts w:ascii="Arial" w:hAnsi="Arial" w:cs="Arial"/>
          <w:sz w:val="20"/>
          <w:szCs w:val="20"/>
        </w:rPr>
        <w:t>)</w:t>
      </w:r>
      <w:r w:rsidRPr="007A682B">
        <w:rPr>
          <w:rFonts w:ascii="Arial" w:hAnsi="Arial" w:cs="Arial"/>
          <w:sz w:val="20"/>
          <w:szCs w:val="20"/>
        </w:rPr>
        <w:t xml:space="preserve">, and a transient </w:t>
      </w:r>
      <w:r w:rsidR="00F32437">
        <w:rPr>
          <w:rFonts w:ascii="Arial" w:hAnsi="Arial" w:cs="Arial"/>
          <w:sz w:val="20"/>
          <w:szCs w:val="20"/>
        </w:rPr>
        <w:t>1</w:t>
      </w:r>
      <w:r w:rsidR="006044D0">
        <w:rPr>
          <w:rFonts w:ascii="Arial" w:hAnsi="Arial" w:cs="Arial"/>
          <w:sz w:val="20"/>
          <w:szCs w:val="20"/>
        </w:rPr>
        <w:t>3</w:t>
      </w:r>
      <w:r w:rsidR="00F32437">
        <w:rPr>
          <w:rFonts w:ascii="Arial" w:hAnsi="Arial" w:cs="Arial"/>
          <w:sz w:val="20"/>
          <w:szCs w:val="20"/>
        </w:rPr>
        <w:t xml:space="preserve">% </w:t>
      </w:r>
      <w:r w:rsidRPr="007A682B">
        <w:rPr>
          <w:rFonts w:ascii="Arial" w:hAnsi="Arial" w:cs="Arial"/>
          <w:sz w:val="20"/>
          <w:szCs w:val="20"/>
        </w:rPr>
        <w:t>decrease in cluster 4_TGN_Glu</w:t>
      </w:r>
      <w:r w:rsidR="00815DA7" w:rsidRPr="007A682B">
        <w:rPr>
          <w:rFonts w:ascii="Arial" w:hAnsi="Arial" w:cs="Arial"/>
          <w:sz w:val="20"/>
          <w:szCs w:val="20"/>
        </w:rPr>
        <w:t>t</w:t>
      </w:r>
      <w:r w:rsidRPr="007A682B">
        <w:rPr>
          <w:rFonts w:ascii="Arial" w:hAnsi="Arial" w:cs="Arial"/>
          <w:sz w:val="20"/>
          <w:szCs w:val="20"/>
        </w:rPr>
        <w:t>. During the intermediate-female transition, we found significant decreases in in 9_Mixed</w:t>
      </w:r>
      <w:r w:rsidR="00815DA7" w:rsidRPr="007A682B">
        <w:rPr>
          <w:rFonts w:ascii="Arial" w:hAnsi="Arial" w:cs="Arial"/>
          <w:sz w:val="20"/>
          <w:szCs w:val="20"/>
        </w:rPr>
        <w:t xml:space="preserve"> (</w:t>
      </w:r>
      <w:r w:rsidR="00F32437">
        <w:rPr>
          <w:rFonts w:ascii="Arial" w:hAnsi="Arial" w:cs="Arial"/>
          <w:sz w:val="20"/>
          <w:szCs w:val="20"/>
        </w:rPr>
        <w:t>26%</w:t>
      </w:r>
      <w:r w:rsidR="00815DA7" w:rsidRPr="007A682B">
        <w:rPr>
          <w:rFonts w:ascii="Arial" w:hAnsi="Arial" w:cs="Arial"/>
          <w:sz w:val="20"/>
          <w:szCs w:val="20"/>
        </w:rPr>
        <w:t>)</w:t>
      </w:r>
      <w:r w:rsidRPr="007A682B">
        <w:rPr>
          <w:rFonts w:ascii="Arial" w:hAnsi="Arial" w:cs="Arial"/>
          <w:sz w:val="20"/>
          <w:szCs w:val="20"/>
        </w:rPr>
        <w:t>, 22_Di_Glut</w:t>
      </w:r>
      <w:r w:rsidR="00815DA7" w:rsidRPr="007A682B">
        <w:rPr>
          <w:rFonts w:ascii="Arial" w:hAnsi="Arial" w:cs="Arial"/>
          <w:sz w:val="20"/>
          <w:szCs w:val="20"/>
        </w:rPr>
        <w:t xml:space="preserve"> (</w:t>
      </w:r>
      <w:r w:rsidR="00F32437">
        <w:rPr>
          <w:rFonts w:ascii="Arial" w:hAnsi="Arial" w:cs="Arial"/>
          <w:sz w:val="20"/>
          <w:szCs w:val="20"/>
        </w:rPr>
        <w:t>37%</w:t>
      </w:r>
      <w:r w:rsidR="00815DA7" w:rsidRPr="007A682B">
        <w:rPr>
          <w:rFonts w:ascii="Arial" w:hAnsi="Arial" w:cs="Arial"/>
          <w:sz w:val="20"/>
          <w:szCs w:val="20"/>
        </w:rPr>
        <w:t>)</w:t>
      </w:r>
      <w:r w:rsidRPr="007A682B">
        <w:rPr>
          <w:rFonts w:ascii="Arial" w:hAnsi="Arial" w:cs="Arial"/>
          <w:sz w:val="20"/>
          <w:szCs w:val="20"/>
        </w:rPr>
        <w:t>, and 24_Vs-m_Mixed</w:t>
      </w:r>
      <w:r w:rsidR="00815DA7" w:rsidRPr="007A682B">
        <w:rPr>
          <w:rFonts w:ascii="Arial" w:hAnsi="Arial" w:cs="Arial"/>
          <w:sz w:val="20"/>
          <w:szCs w:val="20"/>
        </w:rPr>
        <w:t xml:space="preserve"> (</w:t>
      </w:r>
      <w:r w:rsidR="00F32437">
        <w:rPr>
          <w:rFonts w:ascii="Arial" w:hAnsi="Arial" w:cs="Arial"/>
          <w:sz w:val="20"/>
          <w:szCs w:val="20"/>
        </w:rPr>
        <w:t>54%</w:t>
      </w:r>
      <w:r w:rsidR="00815DA7" w:rsidRPr="007A682B">
        <w:rPr>
          <w:rFonts w:ascii="Arial" w:hAnsi="Arial" w:cs="Arial"/>
          <w:sz w:val="20"/>
          <w:szCs w:val="20"/>
        </w:rPr>
        <w:t>)</w:t>
      </w:r>
      <w:r w:rsidRPr="007A682B">
        <w:rPr>
          <w:rFonts w:ascii="Arial" w:hAnsi="Arial" w:cs="Arial"/>
          <w:sz w:val="20"/>
          <w:szCs w:val="20"/>
        </w:rPr>
        <w:t xml:space="preserve"> and an</w:t>
      </w:r>
      <w:r w:rsidR="00F32437">
        <w:rPr>
          <w:rFonts w:ascii="Arial" w:hAnsi="Arial" w:cs="Arial"/>
          <w:sz w:val="20"/>
          <w:szCs w:val="20"/>
        </w:rPr>
        <w:t xml:space="preserve"> 1.4-fold</w:t>
      </w:r>
      <w:r w:rsidRPr="007A682B">
        <w:rPr>
          <w:rFonts w:ascii="Arial" w:hAnsi="Arial" w:cs="Arial"/>
          <w:sz w:val="20"/>
          <w:szCs w:val="20"/>
        </w:rPr>
        <w:t xml:space="preserve"> increase in 19_Di_GABA. Importantly, we also found a</w:t>
      </w:r>
      <w:r w:rsidR="00F32437">
        <w:rPr>
          <w:rFonts w:ascii="Arial" w:hAnsi="Arial" w:cs="Arial"/>
          <w:sz w:val="20"/>
          <w:szCs w:val="20"/>
        </w:rPr>
        <w:t xml:space="preserve"> 1.1-fold</w:t>
      </w:r>
      <w:r w:rsidRPr="007A682B">
        <w:rPr>
          <w:rFonts w:ascii="Arial" w:hAnsi="Arial" w:cs="Arial"/>
          <w:sz w:val="20"/>
          <w:szCs w:val="20"/>
        </w:rPr>
        <w:t xml:space="preserve"> increase in </w:t>
      </w:r>
      <w:r w:rsidR="00F32437">
        <w:rPr>
          <w:rFonts w:ascii="Arial" w:hAnsi="Arial" w:cs="Arial"/>
          <w:sz w:val="20"/>
          <w:szCs w:val="20"/>
        </w:rPr>
        <w:t xml:space="preserve">the population of </w:t>
      </w:r>
      <w:r w:rsidRPr="007A682B">
        <w:rPr>
          <w:rFonts w:ascii="Arial" w:hAnsi="Arial" w:cs="Arial"/>
          <w:sz w:val="20"/>
          <w:szCs w:val="20"/>
        </w:rPr>
        <w:t>6_POA_Mixed</w:t>
      </w:r>
      <w:r w:rsidR="00815DA7" w:rsidRPr="007A682B">
        <w:rPr>
          <w:rFonts w:ascii="Arial" w:hAnsi="Arial" w:cs="Arial"/>
          <w:sz w:val="20"/>
          <w:szCs w:val="20"/>
        </w:rPr>
        <w:t xml:space="preserve"> (</w:t>
      </w:r>
      <w:r w:rsidRPr="007A682B">
        <w:rPr>
          <w:rFonts w:ascii="Arial" w:hAnsi="Arial" w:cs="Arial"/>
          <w:sz w:val="20"/>
          <w:szCs w:val="20"/>
          <w:highlight w:val="yellow"/>
        </w:rPr>
        <w:t>Fig. 3B, S</w:t>
      </w:r>
      <w:r w:rsidR="00376C7F" w:rsidRPr="007A682B">
        <w:rPr>
          <w:rFonts w:ascii="Arial" w:hAnsi="Arial" w:cs="Arial"/>
          <w:sz w:val="20"/>
          <w:szCs w:val="20"/>
          <w:highlight w:val="yellow"/>
        </w:rPr>
        <w:t>6</w:t>
      </w:r>
      <w:r w:rsidRPr="007A682B">
        <w:rPr>
          <w:rFonts w:ascii="Arial" w:hAnsi="Arial" w:cs="Arial"/>
          <w:sz w:val="20"/>
          <w:szCs w:val="20"/>
          <w:highlight w:val="yellow"/>
        </w:rPr>
        <w:t>B</w:t>
      </w:r>
      <w:r w:rsidR="00250B02" w:rsidRPr="007A682B">
        <w:rPr>
          <w:rFonts w:ascii="Arial" w:hAnsi="Arial" w:cs="Arial"/>
          <w:sz w:val="20"/>
          <w:szCs w:val="20"/>
        </w:rPr>
        <w:t>, Appendix S1</w:t>
      </w:r>
      <w:r w:rsidRPr="007A682B">
        <w:rPr>
          <w:rFonts w:ascii="Arial" w:hAnsi="Arial" w:cs="Arial"/>
          <w:sz w:val="20"/>
          <w:szCs w:val="20"/>
        </w:rPr>
        <w:t>). This pattern of change in 6_POA_Mixed suggests that remodeling of this cluster occurs relatively late in the sex-change process</w:t>
      </w:r>
      <w:r w:rsidR="00D770B1" w:rsidRPr="007A682B">
        <w:rPr>
          <w:rFonts w:ascii="Arial" w:hAnsi="Arial" w:cs="Arial"/>
          <w:sz w:val="20"/>
          <w:szCs w:val="20"/>
        </w:rPr>
        <w:t>,</w:t>
      </w:r>
      <w:r w:rsidRPr="007A682B">
        <w:rPr>
          <w:rFonts w:ascii="Arial" w:hAnsi="Arial" w:cs="Arial"/>
          <w:sz w:val="20"/>
          <w:szCs w:val="20"/>
        </w:rPr>
        <w:t xml:space="preserve"> consistent with the hypothesis that the full expansion of this POA neuronal population occurs after gonadal transformation and represents one of the final neural changes accompanying sex change</w:t>
      </w:r>
      <w:r w:rsidR="00C32F02" w:rsidRPr="007A682B">
        <w:rPr>
          <w:rFonts w:ascii="Arial" w:hAnsi="Arial" w:cs="Arial"/>
          <w:sz w:val="20"/>
          <w:szCs w:val="20"/>
        </w:rPr>
        <w:t xml:space="preserve">. </w:t>
      </w:r>
      <w:r w:rsidR="009C5659" w:rsidRPr="007A682B">
        <w:rPr>
          <w:rFonts w:ascii="Arial" w:hAnsi="Arial" w:cs="Arial"/>
          <w:sz w:val="20"/>
          <w:szCs w:val="20"/>
        </w:rPr>
        <w:t>Together, these findings indicate that neuronal remodeling during sex change is a staged process</w:t>
      </w:r>
      <w:r w:rsidR="00D770B1" w:rsidRPr="007A682B">
        <w:rPr>
          <w:rFonts w:ascii="Arial" w:hAnsi="Arial" w:cs="Arial"/>
          <w:sz w:val="20"/>
          <w:szCs w:val="20"/>
        </w:rPr>
        <w:t xml:space="preserve"> where</w:t>
      </w:r>
      <w:r w:rsidR="009C5659" w:rsidRPr="007A682B">
        <w:rPr>
          <w:rFonts w:ascii="Arial" w:hAnsi="Arial" w:cs="Arial"/>
          <w:sz w:val="20"/>
          <w:szCs w:val="20"/>
        </w:rPr>
        <w:t xml:space="preserve"> distinct neuronal populations remodel at different stages of sex change, with some populations potentially contributing to the initiation of the transition, whereas others remodel only after the new reproductive state has been established.</w:t>
      </w:r>
    </w:p>
    <w:p w14:paraId="5D634031" w14:textId="77777777" w:rsidR="00AB18FA" w:rsidRPr="007A682B" w:rsidRDefault="00AB18FA" w:rsidP="004816FA">
      <w:pPr>
        <w:rPr>
          <w:rFonts w:ascii="Arial" w:hAnsi="Arial" w:cs="Arial"/>
          <w:sz w:val="20"/>
          <w:szCs w:val="20"/>
          <w:highlight w:val="yellow"/>
        </w:rPr>
      </w:pPr>
    </w:p>
    <w:p w14:paraId="2B35DCF9" w14:textId="04782882" w:rsidR="00E074EF" w:rsidRPr="007A682B" w:rsidRDefault="004816FA" w:rsidP="005E315B">
      <w:pPr>
        <w:rPr>
          <w:rFonts w:ascii="Arial" w:hAnsi="Arial" w:cs="Arial"/>
          <w:b/>
          <w:bCs/>
          <w:sz w:val="20"/>
          <w:szCs w:val="20"/>
        </w:rPr>
      </w:pPr>
      <w:r w:rsidRPr="007A682B">
        <w:rPr>
          <w:rFonts w:ascii="Arial" w:hAnsi="Arial" w:cs="Arial"/>
          <w:b/>
          <w:bCs/>
          <w:sz w:val="20"/>
          <w:szCs w:val="20"/>
        </w:rPr>
        <w:t xml:space="preserve">Cell Types Undergo Sex Change at Different Rates </w:t>
      </w:r>
    </w:p>
    <w:p w14:paraId="412C8B56" w14:textId="1E48DAD7" w:rsidR="00E074EF" w:rsidRPr="007A682B" w:rsidRDefault="00E074EF" w:rsidP="005E315B">
      <w:pPr>
        <w:rPr>
          <w:rFonts w:ascii="Arial" w:hAnsi="Arial" w:cs="Arial"/>
          <w:sz w:val="20"/>
          <w:szCs w:val="20"/>
          <w:u w:val="single"/>
        </w:rPr>
      </w:pPr>
      <w:r w:rsidRPr="007A682B">
        <w:rPr>
          <w:rFonts w:ascii="Arial" w:hAnsi="Arial" w:cs="Arial"/>
          <w:sz w:val="20"/>
          <w:szCs w:val="20"/>
          <w:u w:val="single"/>
        </w:rPr>
        <w:t>Transcriptomic sex change</w:t>
      </w:r>
    </w:p>
    <w:p w14:paraId="0D133D33" w14:textId="74B0C7C4" w:rsidR="00E074EF" w:rsidRPr="007A682B" w:rsidRDefault="004816FA" w:rsidP="005E315B">
      <w:pPr>
        <w:rPr>
          <w:rFonts w:ascii="Arial" w:hAnsi="Arial" w:cs="Arial"/>
          <w:sz w:val="20"/>
          <w:szCs w:val="20"/>
        </w:rPr>
      </w:pPr>
      <w:r w:rsidRPr="007A682B">
        <w:rPr>
          <w:rFonts w:ascii="Arial" w:hAnsi="Arial" w:cs="Arial"/>
          <w:b/>
          <w:bCs/>
          <w:sz w:val="20"/>
          <w:szCs w:val="20"/>
        </w:rPr>
        <w:tab/>
      </w:r>
      <w:r w:rsidR="00264846" w:rsidRPr="007A682B">
        <w:rPr>
          <w:rFonts w:ascii="Arial" w:hAnsi="Arial" w:cs="Arial"/>
          <w:sz w:val="20"/>
          <w:szCs w:val="20"/>
        </w:rPr>
        <w:t xml:space="preserve">To characterize the transcriptomic changes associated with sex change, we next identified differentially expressed genes (DEGs) and classified </w:t>
      </w:r>
      <w:r w:rsidR="00204F66" w:rsidRPr="007A682B">
        <w:rPr>
          <w:rFonts w:ascii="Arial" w:hAnsi="Arial" w:cs="Arial"/>
          <w:sz w:val="20"/>
          <w:szCs w:val="20"/>
        </w:rPr>
        <w:t xml:space="preserve">each in the same way as described above. </w:t>
      </w:r>
      <w:r w:rsidR="00264846" w:rsidRPr="007A682B">
        <w:rPr>
          <w:rFonts w:ascii="Arial" w:hAnsi="Arial" w:cs="Arial"/>
          <w:sz w:val="20"/>
          <w:szCs w:val="20"/>
        </w:rPr>
        <w:t xml:space="preserve">We identified a total of </w:t>
      </w:r>
      <w:r w:rsidR="00EA408F" w:rsidRPr="007A682B">
        <w:rPr>
          <w:rFonts w:ascii="Arial" w:hAnsi="Arial" w:cs="Arial"/>
          <w:sz w:val="20"/>
          <w:szCs w:val="20"/>
        </w:rPr>
        <w:t>290</w:t>
      </w:r>
      <w:r w:rsidR="00264846" w:rsidRPr="007A682B">
        <w:rPr>
          <w:rFonts w:ascii="Arial" w:hAnsi="Arial" w:cs="Arial"/>
          <w:sz w:val="20"/>
          <w:szCs w:val="20"/>
        </w:rPr>
        <w:t xml:space="preserve"> DEGs (</w:t>
      </w:r>
      <w:r w:rsidR="00264846" w:rsidRPr="007A682B">
        <w:rPr>
          <w:rFonts w:ascii="Arial" w:hAnsi="Arial" w:cs="Arial"/>
          <w:sz w:val="20"/>
          <w:szCs w:val="20"/>
          <w:highlight w:val="yellow"/>
        </w:rPr>
        <w:t>Appendix S</w:t>
      </w:r>
      <w:r w:rsidR="00C538DF" w:rsidRPr="007A682B">
        <w:rPr>
          <w:rFonts w:ascii="Arial" w:hAnsi="Arial" w:cs="Arial"/>
          <w:sz w:val="20"/>
          <w:szCs w:val="20"/>
          <w:highlight w:val="yellow"/>
        </w:rPr>
        <w:t>6</w:t>
      </w:r>
      <w:r w:rsidR="00264846" w:rsidRPr="007A682B">
        <w:rPr>
          <w:rFonts w:ascii="Arial" w:hAnsi="Arial" w:cs="Arial"/>
          <w:sz w:val="20"/>
          <w:szCs w:val="20"/>
        </w:rPr>
        <w:t>)</w:t>
      </w:r>
      <w:r w:rsidR="00C93467" w:rsidRPr="007A682B">
        <w:rPr>
          <w:rFonts w:ascii="Arial" w:hAnsi="Arial" w:cs="Arial"/>
          <w:sz w:val="20"/>
          <w:szCs w:val="20"/>
        </w:rPr>
        <w:t xml:space="preserve"> DEGs were roughly split, with 150 DEGs being upregulated and 140 being downregulated going from male to female. Temporally,</w:t>
      </w:r>
      <w:r w:rsidR="00A548FB" w:rsidRPr="007A682B">
        <w:rPr>
          <w:rFonts w:ascii="Arial" w:hAnsi="Arial" w:cs="Arial"/>
          <w:sz w:val="20"/>
          <w:szCs w:val="20"/>
        </w:rPr>
        <w:t xml:space="preserve"> </w:t>
      </w:r>
      <w:r w:rsidR="00653835" w:rsidRPr="007A682B">
        <w:rPr>
          <w:rFonts w:ascii="Arial" w:hAnsi="Arial" w:cs="Arial"/>
          <w:sz w:val="20"/>
          <w:szCs w:val="20"/>
        </w:rPr>
        <w:t>76</w:t>
      </w:r>
      <w:r w:rsidR="00C93467" w:rsidRPr="007A682B">
        <w:rPr>
          <w:rFonts w:ascii="Arial" w:hAnsi="Arial" w:cs="Arial"/>
          <w:sz w:val="20"/>
          <w:szCs w:val="20"/>
        </w:rPr>
        <w:t xml:space="preserve"> DEGs showed an </w:t>
      </w:r>
      <w:r w:rsidR="00264846" w:rsidRPr="007A682B">
        <w:rPr>
          <w:rFonts w:ascii="Arial" w:hAnsi="Arial" w:cs="Arial"/>
          <w:sz w:val="20"/>
          <w:szCs w:val="20"/>
        </w:rPr>
        <w:t>early</w:t>
      </w:r>
      <w:r w:rsidR="00C93467" w:rsidRPr="007A682B">
        <w:rPr>
          <w:rFonts w:ascii="Arial" w:hAnsi="Arial" w:cs="Arial"/>
          <w:sz w:val="20"/>
          <w:szCs w:val="20"/>
        </w:rPr>
        <w:t xml:space="preserve"> pattern </w:t>
      </w:r>
      <w:r w:rsidR="00D770B1" w:rsidRPr="007A682B">
        <w:rPr>
          <w:rFonts w:ascii="Arial" w:hAnsi="Arial" w:cs="Arial"/>
          <w:sz w:val="20"/>
          <w:szCs w:val="20"/>
        </w:rPr>
        <w:t>of change</w:t>
      </w:r>
      <w:r w:rsidR="00264846" w:rsidRPr="007A682B">
        <w:rPr>
          <w:rFonts w:ascii="Arial" w:hAnsi="Arial" w:cs="Arial"/>
          <w:sz w:val="20"/>
          <w:szCs w:val="20"/>
        </w:rPr>
        <w:t xml:space="preserve">, </w:t>
      </w:r>
      <w:r w:rsidR="00653835" w:rsidRPr="007A682B">
        <w:rPr>
          <w:rFonts w:ascii="Arial" w:hAnsi="Arial" w:cs="Arial"/>
          <w:sz w:val="20"/>
          <w:szCs w:val="20"/>
        </w:rPr>
        <w:t xml:space="preserve">136 </w:t>
      </w:r>
      <w:r w:rsidR="00264846" w:rsidRPr="007A682B">
        <w:rPr>
          <w:rFonts w:ascii="Arial" w:hAnsi="Arial" w:cs="Arial"/>
          <w:sz w:val="20"/>
          <w:szCs w:val="20"/>
        </w:rPr>
        <w:t xml:space="preserve">late, </w:t>
      </w:r>
      <w:r w:rsidR="00653835" w:rsidRPr="007A682B">
        <w:rPr>
          <w:rFonts w:ascii="Arial" w:hAnsi="Arial" w:cs="Arial"/>
          <w:sz w:val="20"/>
          <w:szCs w:val="20"/>
        </w:rPr>
        <w:t xml:space="preserve">6 </w:t>
      </w:r>
      <w:r w:rsidR="00264846" w:rsidRPr="007A682B">
        <w:rPr>
          <w:rFonts w:ascii="Arial" w:hAnsi="Arial" w:cs="Arial"/>
          <w:sz w:val="20"/>
          <w:szCs w:val="20"/>
        </w:rPr>
        <w:t xml:space="preserve">progressive and </w:t>
      </w:r>
      <w:r w:rsidR="00653835" w:rsidRPr="007A682B">
        <w:rPr>
          <w:rFonts w:ascii="Arial" w:hAnsi="Arial" w:cs="Arial"/>
          <w:sz w:val="20"/>
          <w:szCs w:val="20"/>
        </w:rPr>
        <w:t xml:space="preserve">72 </w:t>
      </w:r>
      <w:r w:rsidR="00264846" w:rsidRPr="007A682B">
        <w:rPr>
          <w:rFonts w:ascii="Arial" w:hAnsi="Arial" w:cs="Arial"/>
          <w:sz w:val="20"/>
          <w:szCs w:val="20"/>
        </w:rPr>
        <w:t xml:space="preserve">transient. </w:t>
      </w:r>
      <w:r w:rsidR="000471EB" w:rsidRPr="007A682B">
        <w:rPr>
          <w:rFonts w:ascii="Arial" w:hAnsi="Arial" w:cs="Arial"/>
          <w:sz w:val="20"/>
          <w:szCs w:val="20"/>
        </w:rPr>
        <w:t xml:space="preserve">In total 153 DEGs significantly differed between males and intermediates, 214 differed between females and intermediates, and 234 differed between females and males. This predominance of DEGs that differed between intermediates and females indicates that the greatest amount of transcriptomic remodeling occurs during the later stages of sex change when the gonads transform, while relatively </w:t>
      </w:r>
      <w:r w:rsidR="00D770B1" w:rsidRPr="007A682B">
        <w:rPr>
          <w:rFonts w:ascii="Arial" w:hAnsi="Arial" w:cs="Arial"/>
          <w:sz w:val="20"/>
          <w:szCs w:val="20"/>
        </w:rPr>
        <w:t>fewer changes occur</w:t>
      </w:r>
      <w:r w:rsidR="000471EB" w:rsidRPr="007A682B">
        <w:rPr>
          <w:rFonts w:ascii="Arial" w:hAnsi="Arial" w:cs="Arial"/>
          <w:sz w:val="20"/>
          <w:szCs w:val="20"/>
        </w:rPr>
        <w:t xml:space="preserve"> during earlier stages where the groundwork for gonadal sex change is laid. </w:t>
      </w:r>
      <w:r w:rsidR="00882F08" w:rsidRPr="007A682B">
        <w:rPr>
          <w:rFonts w:ascii="Arial" w:hAnsi="Arial" w:cs="Arial"/>
          <w:sz w:val="20"/>
          <w:szCs w:val="20"/>
        </w:rPr>
        <w:t>A chi-squared test revealed</w:t>
      </w:r>
      <w:r w:rsidR="00CF7C9C" w:rsidRPr="007A682B">
        <w:rPr>
          <w:rFonts w:ascii="Arial" w:hAnsi="Arial" w:cs="Arial"/>
          <w:sz w:val="20"/>
          <w:szCs w:val="20"/>
        </w:rPr>
        <w:t xml:space="preserve"> DEGs were </w:t>
      </w:r>
      <w:r w:rsidR="00882F08" w:rsidRPr="007A682B">
        <w:rPr>
          <w:rFonts w:ascii="Arial" w:hAnsi="Arial" w:cs="Arial"/>
          <w:sz w:val="20"/>
          <w:szCs w:val="20"/>
        </w:rPr>
        <w:t>significantly enriched</w:t>
      </w:r>
      <w:r w:rsidR="00CF7C9C" w:rsidRPr="007A682B">
        <w:rPr>
          <w:rFonts w:ascii="Arial" w:hAnsi="Arial" w:cs="Arial"/>
          <w:sz w:val="20"/>
          <w:szCs w:val="20"/>
        </w:rPr>
        <w:t xml:space="preserve"> in clusters 6_POA_Mixed (</w:t>
      </w:r>
      <w:r w:rsidR="00CF7C9C" w:rsidRPr="007A682B">
        <w:rPr>
          <w:rFonts w:ascii="Arial" w:hAnsi="Arial" w:cs="Arial"/>
          <w:sz w:val="20"/>
          <w:szCs w:val="20"/>
          <w:highlight w:val="yellow"/>
        </w:rPr>
        <w:t xml:space="preserve">Fig. </w:t>
      </w:r>
      <w:r w:rsidR="00A802D8" w:rsidRPr="007A682B">
        <w:rPr>
          <w:rFonts w:ascii="Arial" w:hAnsi="Arial" w:cs="Arial"/>
          <w:sz w:val="20"/>
          <w:szCs w:val="20"/>
          <w:highlight w:val="yellow"/>
        </w:rPr>
        <w:t>3</w:t>
      </w:r>
      <w:r w:rsidR="00CF7C9C" w:rsidRPr="007A682B">
        <w:rPr>
          <w:rFonts w:ascii="Arial" w:hAnsi="Arial" w:cs="Arial"/>
          <w:sz w:val="20"/>
          <w:szCs w:val="20"/>
          <w:highlight w:val="yellow"/>
        </w:rPr>
        <w:t>C</w:t>
      </w:r>
      <w:r w:rsidR="00250B02" w:rsidRPr="007A682B">
        <w:rPr>
          <w:rFonts w:ascii="Arial" w:hAnsi="Arial" w:cs="Arial"/>
          <w:sz w:val="20"/>
          <w:szCs w:val="20"/>
        </w:rPr>
        <w:t xml:space="preserve">, </w:t>
      </w:r>
      <w:r w:rsidR="002C63FE" w:rsidRPr="007A682B">
        <w:rPr>
          <w:rFonts w:ascii="Arial" w:hAnsi="Arial" w:cs="Arial"/>
          <w:sz w:val="20"/>
          <w:szCs w:val="20"/>
        </w:rPr>
        <w:t>4.7-fold</w:t>
      </w:r>
      <w:r w:rsidR="00250B02" w:rsidRPr="007A682B">
        <w:rPr>
          <w:rFonts w:ascii="Arial" w:hAnsi="Arial" w:cs="Arial"/>
          <w:sz w:val="20"/>
          <w:szCs w:val="20"/>
        </w:rPr>
        <w:t xml:space="preserve"> enrichment, </w:t>
      </w:r>
      <w:r w:rsidR="00250B02" w:rsidRPr="007A682B">
        <w:rPr>
          <w:rFonts w:ascii="Arial" w:hAnsi="Arial" w:cs="Arial"/>
          <w:i/>
          <w:iCs/>
          <w:sz w:val="20"/>
          <w:szCs w:val="20"/>
        </w:rPr>
        <w:t>q</w:t>
      </w:r>
      <w:r w:rsidR="00250B02" w:rsidRPr="007A682B">
        <w:rPr>
          <w:rFonts w:ascii="Arial" w:hAnsi="Arial" w:cs="Arial"/>
          <w:sz w:val="20"/>
          <w:szCs w:val="20"/>
        </w:rPr>
        <w:t xml:space="preserve"> &lt; 0.01</w:t>
      </w:r>
      <w:r w:rsidR="00CF7C9C" w:rsidRPr="007A682B">
        <w:rPr>
          <w:rFonts w:ascii="Arial" w:hAnsi="Arial" w:cs="Arial"/>
          <w:sz w:val="20"/>
          <w:szCs w:val="20"/>
        </w:rPr>
        <w:t>), 1_RGC</w:t>
      </w:r>
      <w:r w:rsidR="00250B02" w:rsidRPr="007A682B">
        <w:rPr>
          <w:rFonts w:ascii="Arial" w:hAnsi="Arial" w:cs="Arial"/>
          <w:sz w:val="20"/>
          <w:szCs w:val="20"/>
        </w:rPr>
        <w:t xml:space="preserve"> (</w:t>
      </w:r>
      <w:r w:rsidR="002C63FE" w:rsidRPr="007A682B">
        <w:rPr>
          <w:rFonts w:ascii="Arial" w:hAnsi="Arial" w:cs="Arial"/>
          <w:sz w:val="20"/>
          <w:szCs w:val="20"/>
        </w:rPr>
        <w:t>3.9-fold</w:t>
      </w:r>
      <w:r w:rsidR="00250B02" w:rsidRPr="007A682B">
        <w:rPr>
          <w:rFonts w:ascii="Arial" w:hAnsi="Arial" w:cs="Arial"/>
          <w:sz w:val="20"/>
          <w:szCs w:val="20"/>
        </w:rPr>
        <w:t xml:space="preserve"> enrichment, </w:t>
      </w:r>
      <w:r w:rsidR="00250B02" w:rsidRPr="007A682B">
        <w:rPr>
          <w:rFonts w:ascii="Arial" w:hAnsi="Arial" w:cs="Arial"/>
          <w:i/>
          <w:iCs/>
          <w:sz w:val="20"/>
          <w:szCs w:val="20"/>
        </w:rPr>
        <w:t>q</w:t>
      </w:r>
      <w:r w:rsidR="00250B02" w:rsidRPr="007A682B">
        <w:rPr>
          <w:rFonts w:ascii="Arial" w:hAnsi="Arial" w:cs="Arial"/>
          <w:sz w:val="20"/>
          <w:szCs w:val="20"/>
        </w:rPr>
        <w:t xml:space="preserve"> &lt; 0.01)</w:t>
      </w:r>
      <w:r w:rsidR="00CF7C9C" w:rsidRPr="007A682B">
        <w:rPr>
          <w:rFonts w:ascii="Arial" w:hAnsi="Arial" w:cs="Arial"/>
          <w:sz w:val="20"/>
          <w:szCs w:val="20"/>
        </w:rPr>
        <w:t>, 0_Spall_Mixed</w:t>
      </w:r>
      <w:r w:rsidR="00250B02" w:rsidRPr="007A682B">
        <w:rPr>
          <w:rFonts w:ascii="Arial" w:hAnsi="Arial" w:cs="Arial"/>
          <w:sz w:val="20"/>
          <w:szCs w:val="20"/>
        </w:rPr>
        <w:t xml:space="preserve"> (</w:t>
      </w:r>
      <w:r w:rsidR="002C63FE" w:rsidRPr="007A682B">
        <w:rPr>
          <w:rFonts w:ascii="Arial" w:hAnsi="Arial" w:cs="Arial"/>
          <w:sz w:val="20"/>
          <w:szCs w:val="20"/>
        </w:rPr>
        <w:t xml:space="preserve">3.4-fold enrichment, </w:t>
      </w:r>
      <w:r w:rsidR="002C63FE" w:rsidRPr="007A682B">
        <w:rPr>
          <w:rFonts w:ascii="Arial" w:hAnsi="Arial" w:cs="Arial"/>
          <w:i/>
          <w:iCs/>
          <w:sz w:val="20"/>
          <w:szCs w:val="20"/>
        </w:rPr>
        <w:t>q</w:t>
      </w:r>
      <w:r w:rsidR="002C63FE" w:rsidRPr="007A682B">
        <w:rPr>
          <w:rFonts w:ascii="Arial" w:hAnsi="Arial" w:cs="Arial"/>
          <w:sz w:val="20"/>
          <w:szCs w:val="20"/>
        </w:rPr>
        <w:t xml:space="preserve"> &lt; 0.01)</w:t>
      </w:r>
      <w:r w:rsidR="00CF7C9C" w:rsidRPr="007A682B">
        <w:rPr>
          <w:rFonts w:ascii="Arial" w:hAnsi="Arial" w:cs="Arial"/>
          <w:sz w:val="20"/>
          <w:szCs w:val="20"/>
        </w:rPr>
        <w:t>,</w:t>
      </w:r>
      <w:r w:rsidR="00882F08" w:rsidRPr="007A682B">
        <w:rPr>
          <w:rFonts w:ascii="Arial" w:hAnsi="Arial" w:cs="Arial"/>
          <w:sz w:val="20"/>
          <w:szCs w:val="20"/>
        </w:rPr>
        <w:t xml:space="preserve"> </w:t>
      </w:r>
      <w:r w:rsidR="00CF7C9C" w:rsidRPr="007A682B">
        <w:rPr>
          <w:rFonts w:ascii="Arial" w:hAnsi="Arial" w:cs="Arial"/>
          <w:sz w:val="20"/>
          <w:szCs w:val="20"/>
        </w:rPr>
        <w:t>11_MG</w:t>
      </w:r>
      <w:r w:rsidR="002C63FE" w:rsidRPr="007A682B">
        <w:rPr>
          <w:rFonts w:ascii="Arial" w:hAnsi="Arial" w:cs="Arial"/>
          <w:sz w:val="20"/>
          <w:szCs w:val="20"/>
        </w:rPr>
        <w:t xml:space="preserve"> (2.1-fold enrichment, </w:t>
      </w:r>
      <w:r w:rsidR="002C63FE" w:rsidRPr="007A682B">
        <w:rPr>
          <w:rFonts w:ascii="Arial" w:hAnsi="Arial" w:cs="Arial"/>
          <w:i/>
          <w:iCs/>
          <w:sz w:val="20"/>
          <w:szCs w:val="20"/>
        </w:rPr>
        <w:t>q</w:t>
      </w:r>
      <w:r w:rsidR="002C63FE" w:rsidRPr="007A682B">
        <w:rPr>
          <w:rFonts w:ascii="Arial" w:hAnsi="Arial" w:cs="Arial"/>
          <w:sz w:val="20"/>
          <w:szCs w:val="20"/>
        </w:rPr>
        <w:t xml:space="preserve"> &lt; 0.01)</w:t>
      </w:r>
      <w:r w:rsidR="00882F08" w:rsidRPr="007A682B">
        <w:rPr>
          <w:rFonts w:ascii="Arial" w:hAnsi="Arial" w:cs="Arial"/>
          <w:sz w:val="20"/>
          <w:szCs w:val="20"/>
        </w:rPr>
        <w:t>, and 4_TGN_Glut</w:t>
      </w:r>
      <w:r w:rsidR="002C63FE" w:rsidRPr="007A682B">
        <w:rPr>
          <w:rFonts w:ascii="Arial" w:hAnsi="Arial" w:cs="Arial"/>
          <w:sz w:val="20"/>
          <w:szCs w:val="20"/>
        </w:rPr>
        <w:t xml:space="preserve"> (1.7-fold enrichment, </w:t>
      </w:r>
      <w:r w:rsidR="002C63FE" w:rsidRPr="007A682B">
        <w:rPr>
          <w:rFonts w:ascii="Arial" w:hAnsi="Arial" w:cs="Arial"/>
          <w:i/>
          <w:iCs/>
          <w:sz w:val="20"/>
          <w:szCs w:val="20"/>
        </w:rPr>
        <w:t>q</w:t>
      </w:r>
      <w:r w:rsidR="002C63FE" w:rsidRPr="007A682B">
        <w:rPr>
          <w:rFonts w:ascii="Arial" w:hAnsi="Arial" w:cs="Arial"/>
          <w:sz w:val="20"/>
          <w:szCs w:val="20"/>
        </w:rPr>
        <w:t xml:space="preserve"> = 0.04</w:t>
      </w:r>
      <w:r w:rsidR="007407FC">
        <w:rPr>
          <w:rFonts w:ascii="Arial" w:hAnsi="Arial" w:cs="Arial"/>
          <w:sz w:val="20"/>
          <w:szCs w:val="20"/>
        </w:rPr>
        <w:t xml:space="preserve">, </w:t>
      </w:r>
      <w:r w:rsidR="002C63FE" w:rsidRPr="007A682B">
        <w:rPr>
          <w:rFonts w:ascii="Arial" w:hAnsi="Arial" w:cs="Arial"/>
          <w:sz w:val="20"/>
          <w:szCs w:val="20"/>
        </w:rPr>
        <w:t>Appendix S1)</w:t>
      </w:r>
      <w:r w:rsidR="00CF7C9C" w:rsidRPr="007A682B">
        <w:rPr>
          <w:rFonts w:ascii="Arial" w:hAnsi="Arial" w:cs="Arial"/>
          <w:sz w:val="20"/>
          <w:szCs w:val="20"/>
        </w:rPr>
        <w:t>.</w:t>
      </w:r>
    </w:p>
    <w:p w14:paraId="61F5FD23" w14:textId="77777777" w:rsidR="00555C7B" w:rsidRPr="007A682B" w:rsidRDefault="00555C7B" w:rsidP="00E074EF">
      <w:pPr>
        <w:rPr>
          <w:rFonts w:ascii="Arial" w:hAnsi="Arial" w:cs="Arial"/>
          <w:sz w:val="20"/>
          <w:szCs w:val="20"/>
          <w:u w:val="single"/>
        </w:rPr>
      </w:pPr>
    </w:p>
    <w:p w14:paraId="628CF3BB" w14:textId="32A536E9" w:rsidR="00E074EF" w:rsidRPr="007A682B" w:rsidRDefault="006A58A0" w:rsidP="00E074EF">
      <w:pPr>
        <w:rPr>
          <w:rFonts w:ascii="Arial" w:hAnsi="Arial" w:cs="Arial"/>
          <w:sz w:val="20"/>
          <w:szCs w:val="20"/>
          <w:u w:val="single"/>
        </w:rPr>
      </w:pPr>
      <w:r w:rsidRPr="007A682B">
        <w:rPr>
          <w:rFonts w:ascii="Arial" w:hAnsi="Arial" w:cs="Arial"/>
          <w:sz w:val="20"/>
          <w:szCs w:val="20"/>
          <w:u w:val="single"/>
        </w:rPr>
        <w:t xml:space="preserve">Epigenomic </w:t>
      </w:r>
      <w:r w:rsidR="00E074EF" w:rsidRPr="007A682B">
        <w:rPr>
          <w:rFonts w:ascii="Arial" w:hAnsi="Arial" w:cs="Arial"/>
          <w:sz w:val="20"/>
          <w:szCs w:val="20"/>
          <w:u w:val="single"/>
        </w:rPr>
        <w:t>sex change</w:t>
      </w:r>
    </w:p>
    <w:p w14:paraId="246D4878" w14:textId="1046C252" w:rsidR="0054434D" w:rsidRPr="007A682B" w:rsidRDefault="00555C7B">
      <w:pPr>
        <w:rPr>
          <w:rFonts w:ascii="Arial" w:hAnsi="Arial" w:cs="Arial"/>
          <w:sz w:val="20"/>
          <w:szCs w:val="20"/>
        </w:rPr>
      </w:pPr>
      <w:r w:rsidRPr="007A682B">
        <w:rPr>
          <w:rFonts w:ascii="Arial" w:hAnsi="Arial" w:cs="Arial"/>
          <w:sz w:val="20"/>
          <w:szCs w:val="20"/>
        </w:rPr>
        <w:tab/>
      </w:r>
      <w:r w:rsidR="0054434D" w:rsidRPr="007A682B">
        <w:rPr>
          <w:rFonts w:ascii="Arial" w:hAnsi="Arial" w:cs="Arial"/>
          <w:sz w:val="20"/>
          <w:szCs w:val="20"/>
        </w:rPr>
        <w:t>To characterize the epigenomic changes associated with sex change, we next identified differentially accessible regions (DARs) and classified each according to the same temporal patterns described above</w:t>
      </w:r>
      <w:r w:rsidR="005779D6" w:rsidRPr="007A682B">
        <w:rPr>
          <w:rFonts w:ascii="Arial" w:hAnsi="Arial" w:cs="Arial"/>
          <w:sz w:val="20"/>
          <w:szCs w:val="20"/>
        </w:rPr>
        <w:t xml:space="preserve">. </w:t>
      </w:r>
      <w:r w:rsidR="0054434D" w:rsidRPr="007A682B">
        <w:rPr>
          <w:rFonts w:ascii="Arial" w:hAnsi="Arial" w:cs="Arial"/>
          <w:sz w:val="20"/>
          <w:szCs w:val="20"/>
        </w:rPr>
        <w:t xml:space="preserve">We identified a total of </w:t>
      </w:r>
      <w:r w:rsidR="005779D6" w:rsidRPr="007A682B">
        <w:rPr>
          <w:rFonts w:ascii="Arial" w:hAnsi="Arial" w:cs="Arial"/>
          <w:sz w:val="20"/>
          <w:szCs w:val="20"/>
        </w:rPr>
        <w:t xml:space="preserve">53 </w:t>
      </w:r>
      <w:r w:rsidR="0054434D" w:rsidRPr="007A682B">
        <w:rPr>
          <w:rFonts w:ascii="Arial" w:hAnsi="Arial" w:cs="Arial"/>
          <w:sz w:val="20"/>
          <w:szCs w:val="20"/>
        </w:rPr>
        <w:t>DARs (</w:t>
      </w:r>
      <w:r w:rsidR="0054434D" w:rsidRPr="007A682B">
        <w:rPr>
          <w:rFonts w:ascii="Arial" w:hAnsi="Arial" w:cs="Arial"/>
          <w:sz w:val="20"/>
          <w:szCs w:val="20"/>
          <w:highlight w:val="yellow"/>
        </w:rPr>
        <w:t>Appendix S</w:t>
      </w:r>
      <w:r w:rsidR="00C538DF" w:rsidRPr="007A682B">
        <w:rPr>
          <w:rFonts w:ascii="Arial" w:hAnsi="Arial" w:cs="Arial"/>
          <w:sz w:val="20"/>
          <w:szCs w:val="20"/>
        </w:rPr>
        <w:t>7</w:t>
      </w:r>
      <w:r w:rsidR="0054434D" w:rsidRPr="007A682B">
        <w:rPr>
          <w:rFonts w:ascii="Arial" w:hAnsi="Arial" w:cs="Arial"/>
          <w:sz w:val="20"/>
          <w:szCs w:val="20"/>
        </w:rPr>
        <w:t xml:space="preserve">), of which </w:t>
      </w:r>
      <w:r w:rsidR="00B764DB" w:rsidRPr="007A682B">
        <w:rPr>
          <w:rFonts w:ascii="Arial" w:hAnsi="Arial" w:cs="Arial"/>
          <w:sz w:val="20"/>
          <w:szCs w:val="20"/>
        </w:rPr>
        <w:t>six</w:t>
      </w:r>
      <w:r w:rsidR="00653835" w:rsidRPr="007A682B">
        <w:rPr>
          <w:rFonts w:ascii="Arial" w:hAnsi="Arial" w:cs="Arial"/>
          <w:sz w:val="20"/>
          <w:szCs w:val="20"/>
        </w:rPr>
        <w:t xml:space="preserve"> </w:t>
      </w:r>
      <w:r w:rsidR="0054434D" w:rsidRPr="007A682B">
        <w:rPr>
          <w:rFonts w:ascii="Arial" w:hAnsi="Arial" w:cs="Arial"/>
          <w:sz w:val="20"/>
          <w:szCs w:val="20"/>
        </w:rPr>
        <w:t xml:space="preserve">exhibited early changes, </w:t>
      </w:r>
      <w:r w:rsidR="00653835" w:rsidRPr="007A682B">
        <w:rPr>
          <w:rFonts w:ascii="Arial" w:hAnsi="Arial" w:cs="Arial"/>
          <w:sz w:val="20"/>
          <w:szCs w:val="20"/>
        </w:rPr>
        <w:lastRenderedPageBreak/>
        <w:t xml:space="preserve">22 </w:t>
      </w:r>
      <w:r w:rsidR="0054434D" w:rsidRPr="007A682B">
        <w:rPr>
          <w:rFonts w:ascii="Arial" w:hAnsi="Arial" w:cs="Arial"/>
          <w:sz w:val="20"/>
          <w:szCs w:val="20"/>
        </w:rPr>
        <w:t xml:space="preserve">late changes, </w:t>
      </w:r>
      <w:r w:rsidR="00653835" w:rsidRPr="007A682B">
        <w:rPr>
          <w:rFonts w:ascii="Arial" w:hAnsi="Arial" w:cs="Arial"/>
          <w:sz w:val="20"/>
          <w:szCs w:val="20"/>
        </w:rPr>
        <w:t xml:space="preserve">25 </w:t>
      </w:r>
      <w:r w:rsidR="0054434D" w:rsidRPr="007A682B">
        <w:rPr>
          <w:rFonts w:ascii="Arial" w:hAnsi="Arial" w:cs="Arial"/>
          <w:sz w:val="20"/>
          <w:szCs w:val="20"/>
        </w:rPr>
        <w:t xml:space="preserve">progressive changes, and </w:t>
      </w:r>
      <w:r w:rsidR="00653835" w:rsidRPr="007A682B">
        <w:rPr>
          <w:rFonts w:ascii="Arial" w:hAnsi="Arial" w:cs="Arial"/>
          <w:sz w:val="20"/>
          <w:szCs w:val="20"/>
        </w:rPr>
        <w:t xml:space="preserve">none exhibited </w:t>
      </w:r>
      <w:r w:rsidR="0054434D" w:rsidRPr="007A682B">
        <w:rPr>
          <w:rFonts w:ascii="Arial" w:hAnsi="Arial" w:cs="Arial"/>
          <w:sz w:val="20"/>
          <w:szCs w:val="20"/>
        </w:rPr>
        <w:t xml:space="preserve">transient changes. </w:t>
      </w:r>
      <w:r w:rsidR="00653835" w:rsidRPr="007A682B">
        <w:rPr>
          <w:rFonts w:ascii="Arial" w:hAnsi="Arial" w:cs="Arial"/>
          <w:sz w:val="20"/>
          <w:szCs w:val="20"/>
        </w:rPr>
        <w:t>Overall, 28 DARs decreased in accessibility and 25 increased in accessibility</w:t>
      </w:r>
      <w:r w:rsidR="00E04B65" w:rsidRPr="007A682B">
        <w:rPr>
          <w:rFonts w:ascii="Arial" w:hAnsi="Arial" w:cs="Arial"/>
          <w:sz w:val="20"/>
          <w:szCs w:val="20"/>
        </w:rPr>
        <w:t xml:space="preserve"> from male to female</w:t>
      </w:r>
      <w:r w:rsidR="00653835" w:rsidRPr="007A682B">
        <w:rPr>
          <w:rFonts w:ascii="Arial" w:hAnsi="Arial" w:cs="Arial"/>
          <w:sz w:val="20"/>
          <w:szCs w:val="20"/>
        </w:rPr>
        <w:t xml:space="preserve">. </w:t>
      </w:r>
      <w:r w:rsidR="0054434D" w:rsidRPr="007A682B">
        <w:rPr>
          <w:rFonts w:ascii="Arial" w:hAnsi="Arial" w:cs="Arial"/>
          <w:sz w:val="20"/>
          <w:szCs w:val="20"/>
        </w:rPr>
        <w:t xml:space="preserve">Similar to the transcriptomic analysis, the </w:t>
      </w:r>
      <w:r w:rsidR="00264301" w:rsidRPr="007A682B">
        <w:rPr>
          <w:rFonts w:ascii="Arial" w:hAnsi="Arial" w:cs="Arial"/>
          <w:sz w:val="20"/>
          <w:szCs w:val="20"/>
        </w:rPr>
        <w:t xml:space="preserve">large number </w:t>
      </w:r>
      <w:r w:rsidR="0054434D" w:rsidRPr="007A682B">
        <w:rPr>
          <w:rFonts w:ascii="Arial" w:hAnsi="Arial" w:cs="Arial"/>
          <w:sz w:val="20"/>
          <w:szCs w:val="20"/>
        </w:rPr>
        <w:t xml:space="preserve">of late DARs indicates that the greatest amount of epigenomic remodeling occurs during the later stages of sex change. </w:t>
      </w:r>
      <w:r w:rsidR="006C2F07" w:rsidRPr="007A682B">
        <w:rPr>
          <w:rFonts w:ascii="Arial" w:hAnsi="Arial" w:cs="Arial"/>
          <w:sz w:val="20"/>
          <w:szCs w:val="20"/>
        </w:rPr>
        <w:t xml:space="preserve">In contrast to the transcriptomic changes, which were predominantly late, chromatin accessibility was characterized by a large proportion of progressive changes and an absence of transient remodeling. These results suggest that much of the epigenomic reorganization begins </w:t>
      </w:r>
      <w:r w:rsidR="00B764DB" w:rsidRPr="007A682B">
        <w:rPr>
          <w:rFonts w:ascii="Arial" w:hAnsi="Arial" w:cs="Arial"/>
          <w:sz w:val="20"/>
          <w:szCs w:val="20"/>
        </w:rPr>
        <w:t>prior to</w:t>
      </w:r>
      <w:r w:rsidR="006C2F07" w:rsidRPr="007A682B">
        <w:rPr>
          <w:rFonts w:ascii="Arial" w:hAnsi="Arial" w:cs="Arial"/>
          <w:sz w:val="20"/>
          <w:szCs w:val="20"/>
        </w:rPr>
        <w:t xml:space="preserve"> the intermediate stage and progresses across sex change, whereas transcriptomic reorganization is more strongly concentrated during the later stages</w:t>
      </w:r>
      <w:r w:rsidR="0054434D" w:rsidRPr="007A682B">
        <w:rPr>
          <w:rFonts w:ascii="Arial" w:hAnsi="Arial" w:cs="Arial"/>
          <w:sz w:val="20"/>
          <w:szCs w:val="20"/>
        </w:rPr>
        <w:t xml:space="preserve">. </w:t>
      </w:r>
      <w:r w:rsidR="00882F08" w:rsidRPr="007A682B">
        <w:rPr>
          <w:rFonts w:ascii="Arial" w:hAnsi="Arial" w:cs="Arial"/>
          <w:sz w:val="20"/>
          <w:szCs w:val="20"/>
        </w:rPr>
        <w:t>As above, a chi-squared test f</w:t>
      </w:r>
      <w:r w:rsidR="00264301" w:rsidRPr="007A682B">
        <w:rPr>
          <w:rFonts w:ascii="Arial" w:hAnsi="Arial" w:cs="Arial"/>
          <w:sz w:val="20"/>
          <w:szCs w:val="20"/>
        </w:rPr>
        <w:t xml:space="preserve">ound DARs were </w:t>
      </w:r>
      <w:r w:rsidR="00882F08" w:rsidRPr="007A682B">
        <w:rPr>
          <w:rFonts w:ascii="Arial" w:hAnsi="Arial" w:cs="Arial"/>
          <w:sz w:val="20"/>
          <w:szCs w:val="20"/>
        </w:rPr>
        <w:t>enriched</w:t>
      </w:r>
      <w:r w:rsidR="00264301" w:rsidRPr="007A682B">
        <w:rPr>
          <w:rFonts w:ascii="Arial" w:hAnsi="Arial" w:cs="Arial"/>
          <w:sz w:val="20"/>
          <w:szCs w:val="20"/>
        </w:rPr>
        <w:t xml:space="preserve"> in clusters</w:t>
      </w:r>
      <w:r w:rsidR="0054434D" w:rsidRPr="007A682B">
        <w:rPr>
          <w:rFonts w:ascii="Arial" w:hAnsi="Arial" w:cs="Arial"/>
          <w:sz w:val="20"/>
          <w:szCs w:val="20"/>
        </w:rPr>
        <w:t xml:space="preserve"> 1_RGC</w:t>
      </w:r>
      <w:r w:rsidR="002C63FE" w:rsidRPr="007A682B">
        <w:rPr>
          <w:rFonts w:ascii="Arial" w:hAnsi="Arial" w:cs="Arial"/>
          <w:sz w:val="20"/>
          <w:szCs w:val="20"/>
        </w:rPr>
        <w:t xml:space="preserve"> (3.1-fold enrichment, </w:t>
      </w:r>
      <w:r w:rsidR="002C63FE" w:rsidRPr="007A682B">
        <w:rPr>
          <w:rFonts w:ascii="Arial" w:hAnsi="Arial" w:cs="Arial"/>
          <w:i/>
          <w:iCs/>
          <w:sz w:val="20"/>
          <w:szCs w:val="20"/>
        </w:rPr>
        <w:t>q</w:t>
      </w:r>
      <w:r w:rsidR="002C63FE" w:rsidRPr="007A682B">
        <w:rPr>
          <w:rFonts w:ascii="Arial" w:hAnsi="Arial" w:cs="Arial"/>
          <w:sz w:val="20"/>
          <w:szCs w:val="20"/>
        </w:rPr>
        <w:t xml:space="preserve"> &lt;0.01)</w:t>
      </w:r>
      <w:r w:rsidR="0054434D" w:rsidRPr="007A682B">
        <w:rPr>
          <w:rFonts w:ascii="Arial" w:hAnsi="Arial" w:cs="Arial"/>
          <w:sz w:val="20"/>
          <w:szCs w:val="20"/>
        </w:rPr>
        <w:t xml:space="preserve"> and 2_OL</w:t>
      </w:r>
      <w:r w:rsidR="002C63FE" w:rsidRPr="007A682B">
        <w:rPr>
          <w:rFonts w:ascii="Arial" w:hAnsi="Arial" w:cs="Arial"/>
          <w:sz w:val="20"/>
          <w:szCs w:val="20"/>
        </w:rPr>
        <w:t xml:space="preserve"> (2.5-fold enrichment, </w:t>
      </w:r>
      <w:r w:rsidR="002C63FE" w:rsidRPr="007A682B">
        <w:rPr>
          <w:rFonts w:ascii="Arial" w:hAnsi="Arial" w:cs="Arial"/>
          <w:i/>
          <w:iCs/>
          <w:sz w:val="20"/>
          <w:szCs w:val="20"/>
        </w:rPr>
        <w:t>q</w:t>
      </w:r>
      <w:r w:rsidR="002C63FE" w:rsidRPr="007A682B">
        <w:rPr>
          <w:rFonts w:ascii="Arial" w:hAnsi="Arial" w:cs="Arial"/>
          <w:sz w:val="20"/>
          <w:szCs w:val="20"/>
        </w:rPr>
        <w:t xml:space="preserve"> = 0.0</w:t>
      </w:r>
      <w:r w:rsidR="00861E9A">
        <w:rPr>
          <w:rFonts w:ascii="Arial" w:hAnsi="Arial" w:cs="Arial"/>
          <w:sz w:val="20"/>
          <w:szCs w:val="20"/>
        </w:rPr>
        <w:t>3</w:t>
      </w:r>
      <w:r w:rsidR="00910DBE">
        <w:rPr>
          <w:rFonts w:ascii="Arial" w:hAnsi="Arial" w:cs="Arial"/>
          <w:sz w:val="20"/>
          <w:szCs w:val="20"/>
        </w:rPr>
        <w:t xml:space="preserve">, </w:t>
      </w:r>
      <w:r w:rsidR="0054434D" w:rsidRPr="007A682B">
        <w:rPr>
          <w:rFonts w:ascii="Arial" w:hAnsi="Arial" w:cs="Arial"/>
          <w:sz w:val="20"/>
          <w:szCs w:val="20"/>
          <w:highlight w:val="yellow"/>
        </w:rPr>
        <w:t xml:space="preserve">Fig. </w:t>
      </w:r>
      <w:r w:rsidR="00A802D8" w:rsidRPr="007A682B">
        <w:rPr>
          <w:rFonts w:ascii="Arial" w:hAnsi="Arial" w:cs="Arial"/>
          <w:sz w:val="20"/>
          <w:szCs w:val="20"/>
          <w:highlight w:val="yellow"/>
        </w:rPr>
        <w:t>3</w:t>
      </w:r>
      <w:r w:rsidR="0054434D" w:rsidRPr="007A682B">
        <w:rPr>
          <w:rFonts w:ascii="Arial" w:hAnsi="Arial" w:cs="Arial"/>
          <w:sz w:val="20"/>
          <w:szCs w:val="20"/>
          <w:highlight w:val="yellow"/>
        </w:rPr>
        <w:t>D</w:t>
      </w:r>
      <w:r w:rsidR="002C63FE" w:rsidRPr="007A682B">
        <w:rPr>
          <w:rFonts w:ascii="Arial" w:hAnsi="Arial" w:cs="Arial"/>
          <w:sz w:val="20"/>
          <w:szCs w:val="20"/>
        </w:rPr>
        <w:t>, Appendix S1</w:t>
      </w:r>
      <w:r w:rsidR="00264301" w:rsidRPr="007A682B">
        <w:rPr>
          <w:rFonts w:ascii="Arial" w:hAnsi="Arial" w:cs="Arial"/>
          <w:sz w:val="20"/>
          <w:szCs w:val="20"/>
        </w:rPr>
        <w:t>)</w:t>
      </w:r>
      <w:r w:rsidR="0054434D" w:rsidRPr="007A682B">
        <w:rPr>
          <w:rFonts w:ascii="Arial" w:hAnsi="Arial" w:cs="Arial"/>
          <w:sz w:val="20"/>
          <w:szCs w:val="20"/>
        </w:rPr>
        <w:t>.</w:t>
      </w:r>
    </w:p>
    <w:p w14:paraId="0C9B791B" w14:textId="77777777" w:rsidR="00264301" w:rsidRPr="007A682B" w:rsidRDefault="00264301" w:rsidP="00D770B1">
      <w:pPr>
        <w:rPr>
          <w:rFonts w:ascii="Arial" w:hAnsi="Arial" w:cs="Arial"/>
          <w:sz w:val="20"/>
          <w:szCs w:val="20"/>
        </w:rPr>
      </w:pPr>
    </w:p>
    <w:p w14:paraId="4CF2830D" w14:textId="67B4F178" w:rsidR="006C603E" w:rsidRPr="007A682B" w:rsidRDefault="00175C20" w:rsidP="006C603E">
      <w:pPr>
        <w:rPr>
          <w:rFonts w:ascii="Arial" w:hAnsi="Arial" w:cs="Arial"/>
          <w:sz w:val="20"/>
          <w:szCs w:val="20"/>
        </w:rPr>
      </w:pPr>
      <w:r w:rsidRPr="007A682B">
        <w:rPr>
          <w:rFonts w:ascii="Arial" w:hAnsi="Arial" w:cs="Arial"/>
          <w:sz w:val="20"/>
          <w:szCs w:val="20"/>
          <w:u w:val="single"/>
        </w:rPr>
        <w:t>Relationship Between DEGs and DARs</w:t>
      </w:r>
    </w:p>
    <w:p w14:paraId="50E678AF" w14:textId="6DBC9F79" w:rsidR="006C603E" w:rsidRPr="007A682B" w:rsidRDefault="006C603E" w:rsidP="004C751B">
      <w:pPr>
        <w:ind w:firstLine="720"/>
        <w:rPr>
          <w:rFonts w:ascii="Arial" w:hAnsi="Arial" w:cs="Arial"/>
          <w:sz w:val="20"/>
          <w:szCs w:val="20"/>
        </w:rPr>
      </w:pPr>
      <w:r w:rsidRPr="007A682B">
        <w:rPr>
          <w:rFonts w:ascii="Arial" w:hAnsi="Arial" w:cs="Arial"/>
          <w:sz w:val="20"/>
          <w:szCs w:val="20"/>
        </w:rPr>
        <w:t xml:space="preserve">We next asked </w:t>
      </w:r>
      <w:r w:rsidR="00555C7B" w:rsidRPr="007A682B">
        <w:rPr>
          <w:rFonts w:ascii="Arial" w:hAnsi="Arial" w:cs="Arial"/>
          <w:sz w:val="20"/>
          <w:szCs w:val="20"/>
        </w:rPr>
        <w:t>which changes in gene expression could be explained by changes in the epigenome</w:t>
      </w:r>
      <w:r w:rsidRPr="007A682B">
        <w:rPr>
          <w:rFonts w:ascii="Arial" w:hAnsi="Arial" w:cs="Arial"/>
          <w:sz w:val="20"/>
          <w:szCs w:val="20"/>
        </w:rPr>
        <w:t>.</w:t>
      </w:r>
      <w:r w:rsidR="00646584" w:rsidRPr="007A682B">
        <w:rPr>
          <w:rFonts w:ascii="Arial" w:hAnsi="Arial" w:cs="Arial"/>
          <w:sz w:val="20"/>
          <w:szCs w:val="20"/>
        </w:rPr>
        <w:t xml:space="preserve"> A direct comparison of </w:t>
      </w:r>
      <w:r w:rsidR="00D770B1" w:rsidRPr="007A682B">
        <w:rPr>
          <w:rFonts w:ascii="Arial" w:hAnsi="Arial" w:cs="Arial"/>
          <w:sz w:val="20"/>
          <w:szCs w:val="20"/>
        </w:rPr>
        <w:t>DEGs and DARs</w:t>
      </w:r>
      <w:r w:rsidR="00646584" w:rsidRPr="007A682B">
        <w:rPr>
          <w:rFonts w:ascii="Arial" w:hAnsi="Arial" w:cs="Arial"/>
          <w:sz w:val="20"/>
          <w:szCs w:val="20"/>
        </w:rPr>
        <w:t xml:space="preserve"> identified only a single overlapping gene </w:t>
      </w:r>
      <w:r w:rsidRPr="007A682B">
        <w:rPr>
          <w:rFonts w:ascii="Arial" w:hAnsi="Arial" w:cs="Arial"/>
          <w:sz w:val="20"/>
          <w:szCs w:val="20"/>
        </w:rPr>
        <w:t>(</w:t>
      </w:r>
      <w:r w:rsidRPr="007A682B">
        <w:rPr>
          <w:rFonts w:ascii="Arial" w:hAnsi="Arial" w:cs="Arial"/>
          <w:i/>
          <w:iCs/>
          <w:sz w:val="20"/>
          <w:szCs w:val="20"/>
        </w:rPr>
        <w:t>igf2bp1</w:t>
      </w:r>
      <w:r w:rsidRPr="007A682B">
        <w:rPr>
          <w:rFonts w:ascii="Arial" w:hAnsi="Arial" w:cs="Arial"/>
          <w:sz w:val="20"/>
          <w:szCs w:val="20"/>
        </w:rPr>
        <w:t xml:space="preserve"> in 0</w:t>
      </w:r>
      <w:r w:rsidR="005779D6" w:rsidRPr="007A682B">
        <w:rPr>
          <w:rFonts w:ascii="Arial" w:hAnsi="Arial" w:cs="Arial"/>
          <w:sz w:val="20"/>
          <w:szCs w:val="20"/>
        </w:rPr>
        <w:t>_Spall_Mixed</w:t>
      </w:r>
      <w:r w:rsidRPr="007A682B">
        <w:rPr>
          <w:rFonts w:ascii="Arial" w:hAnsi="Arial" w:cs="Arial"/>
          <w:sz w:val="20"/>
          <w:szCs w:val="20"/>
        </w:rPr>
        <w:t xml:space="preserve">). </w:t>
      </w:r>
      <w:r w:rsidR="00646584" w:rsidRPr="007A682B">
        <w:rPr>
          <w:rFonts w:ascii="Arial" w:hAnsi="Arial" w:cs="Arial"/>
          <w:sz w:val="20"/>
          <w:szCs w:val="20"/>
        </w:rPr>
        <w:t xml:space="preserve">Because this comparison requires both </w:t>
      </w:r>
      <w:r w:rsidR="00121AE8" w:rsidRPr="007A682B">
        <w:rPr>
          <w:rFonts w:ascii="Arial" w:hAnsi="Arial" w:cs="Arial"/>
          <w:sz w:val="20"/>
          <w:szCs w:val="20"/>
        </w:rPr>
        <w:t xml:space="preserve">transcriptomic </w:t>
      </w:r>
      <w:r w:rsidR="00646584" w:rsidRPr="007A682B">
        <w:rPr>
          <w:rFonts w:ascii="Arial" w:hAnsi="Arial" w:cs="Arial"/>
          <w:sz w:val="20"/>
          <w:szCs w:val="20"/>
        </w:rPr>
        <w:t xml:space="preserve">and </w:t>
      </w:r>
      <w:r w:rsidR="00D770B1" w:rsidRPr="007A682B">
        <w:rPr>
          <w:rFonts w:ascii="Arial" w:hAnsi="Arial" w:cs="Arial"/>
          <w:sz w:val="20"/>
          <w:szCs w:val="20"/>
        </w:rPr>
        <w:t>epigenomic</w:t>
      </w:r>
      <w:r w:rsidR="00646584" w:rsidRPr="007A682B">
        <w:rPr>
          <w:rFonts w:ascii="Arial" w:hAnsi="Arial" w:cs="Arial"/>
          <w:sz w:val="20"/>
          <w:szCs w:val="20"/>
        </w:rPr>
        <w:t xml:space="preserve"> changes to independently satisfy </w:t>
      </w:r>
      <w:r w:rsidR="00555C7B" w:rsidRPr="007A682B">
        <w:rPr>
          <w:rFonts w:ascii="Arial" w:hAnsi="Arial" w:cs="Arial"/>
          <w:sz w:val="20"/>
          <w:szCs w:val="20"/>
        </w:rPr>
        <w:t xml:space="preserve">strict </w:t>
      </w:r>
      <w:r w:rsidR="00646584" w:rsidRPr="007A682B">
        <w:rPr>
          <w:rFonts w:ascii="Arial" w:hAnsi="Arial" w:cs="Arial"/>
          <w:sz w:val="20"/>
          <w:szCs w:val="20"/>
        </w:rPr>
        <w:t>significance thresholds, we next as</w:t>
      </w:r>
      <w:r w:rsidR="00555C7B" w:rsidRPr="007A682B">
        <w:rPr>
          <w:rFonts w:ascii="Arial" w:hAnsi="Arial" w:cs="Arial"/>
          <w:sz w:val="20"/>
          <w:szCs w:val="20"/>
        </w:rPr>
        <w:t xml:space="preserve">ked which DEGs and DARs </w:t>
      </w:r>
      <w:r w:rsidR="00AC4828" w:rsidRPr="007A682B">
        <w:rPr>
          <w:rFonts w:ascii="Arial" w:hAnsi="Arial" w:cs="Arial"/>
          <w:sz w:val="20"/>
          <w:szCs w:val="20"/>
        </w:rPr>
        <w:t>had a</w:t>
      </w:r>
      <w:r w:rsidR="00555C7B" w:rsidRPr="007A682B">
        <w:rPr>
          <w:rFonts w:ascii="Arial" w:hAnsi="Arial" w:cs="Arial"/>
          <w:sz w:val="20"/>
          <w:szCs w:val="20"/>
        </w:rPr>
        <w:t xml:space="preserve"> significant correlation between the alternate modality (i.e., whether the expression of a DEG is </w:t>
      </w:r>
      <w:r w:rsidR="00AC4828" w:rsidRPr="007A682B">
        <w:rPr>
          <w:rFonts w:ascii="Arial" w:hAnsi="Arial" w:cs="Arial"/>
          <w:sz w:val="20"/>
          <w:szCs w:val="20"/>
        </w:rPr>
        <w:t>correlated</w:t>
      </w:r>
      <w:r w:rsidR="00555C7B" w:rsidRPr="007A682B">
        <w:rPr>
          <w:rFonts w:ascii="Arial" w:hAnsi="Arial" w:cs="Arial"/>
          <w:sz w:val="20"/>
          <w:szCs w:val="20"/>
        </w:rPr>
        <w:t xml:space="preserve"> with </w:t>
      </w:r>
      <w:r w:rsidR="00AC4828" w:rsidRPr="007A682B">
        <w:rPr>
          <w:rFonts w:ascii="Arial" w:hAnsi="Arial" w:cs="Arial"/>
          <w:sz w:val="20"/>
          <w:szCs w:val="20"/>
        </w:rPr>
        <w:t>its</w:t>
      </w:r>
      <w:r w:rsidR="00555C7B" w:rsidRPr="007A682B">
        <w:rPr>
          <w:rFonts w:ascii="Arial" w:hAnsi="Arial" w:cs="Arial"/>
          <w:sz w:val="20"/>
          <w:szCs w:val="20"/>
        </w:rPr>
        <w:t xml:space="preserve"> </w:t>
      </w:r>
      <w:r w:rsidR="001C4E6C" w:rsidRPr="007A682B">
        <w:rPr>
          <w:rFonts w:ascii="Arial" w:hAnsi="Arial" w:cs="Arial"/>
          <w:sz w:val="20"/>
          <w:szCs w:val="20"/>
        </w:rPr>
        <w:t>ATAC</w:t>
      </w:r>
      <w:r w:rsidR="00555C7B" w:rsidRPr="007A682B">
        <w:rPr>
          <w:rFonts w:ascii="Arial" w:hAnsi="Arial" w:cs="Arial"/>
          <w:sz w:val="20"/>
          <w:szCs w:val="20"/>
        </w:rPr>
        <w:t xml:space="preserve"> accessibility)</w:t>
      </w:r>
      <w:r w:rsidR="00646584" w:rsidRPr="007A682B">
        <w:rPr>
          <w:rFonts w:ascii="Arial" w:hAnsi="Arial" w:cs="Arial"/>
          <w:sz w:val="20"/>
          <w:szCs w:val="20"/>
        </w:rPr>
        <w:t xml:space="preserve">. </w:t>
      </w:r>
      <w:r w:rsidR="00175C20" w:rsidRPr="007A682B">
        <w:rPr>
          <w:rFonts w:ascii="Arial" w:hAnsi="Arial" w:cs="Arial"/>
          <w:sz w:val="20"/>
          <w:szCs w:val="20"/>
        </w:rPr>
        <w:t>To do this</w:t>
      </w:r>
      <w:r w:rsidRPr="007A682B">
        <w:rPr>
          <w:rFonts w:ascii="Arial" w:hAnsi="Arial" w:cs="Arial"/>
          <w:sz w:val="20"/>
          <w:szCs w:val="20"/>
        </w:rPr>
        <w:t>, we correlated pseudobulk</w:t>
      </w:r>
      <w:r w:rsidR="00555C7B" w:rsidRPr="007A682B">
        <w:rPr>
          <w:rFonts w:ascii="Arial" w:hAnsi="Arial" w:cs="Arial"/>
          <w:sz w:val="20"/>
          <w:szCs w:val="20"/>
        </w:rPr>
        <w:t>ed</w:t>
      </w:r>
      <w:r w:rsidRPr="007A682B">
        <w:rPr>
          <w:rFonts w:ascii="Arial" w:hAnsi="Arial" w:cs="Arial"/>
          <w:sz w:val="20"/>
          <w:szCs w:val="20"/>
        </w:rPr>
        <w:t xml:space="preserve"> gene expression with </w:t>
      </w:r>
      <w:r w:rsidR="00555C7B" w:rsidRPr="007A682B">
        <w:rPr>
          <w:rFonts w:ascii="Arial" w:hAnsi="Arial" w:cs="Arial"/>
          <w:sz w:val="20"/>
          <w:szCs w:val="20"/>
        </w:rPr>
        <w:t xml:space="preserve">pseudobulked </w:t>
      </w:r>
      <w:r w:rsidRPr="007A682B">
        <w:rPr>
          <w:rFonts w:ascii="Arial" w:hAnsi="Arial" w:cs="Arial"/>
          <w:sz w:val="20"/>
          <w:szCs w:val="20"/>
        </w:rPr>
        <w:t>chromatin accessibility scores for ATAC peaks</w:t>
      </w:r>
      <w:r w:rsidR="00555C7B" w:rsidRPr="007A682B">
        <w:rPr>
          <w:rFonts w:ascii="Arial" w:hAnsi="Arial" w:cs="Arial"/>
          <w:sz w:val="20"/>
          <w:szCs w:val="20"/>
        </w:rPr>
        <w:t xml:space="preserve"> </w:t>
      </w:r>
      <w:r w:rsidRPr="007A682B">
        <w:rPr>
          <w:rFonts w:ascii="Arial" w:hAnsi="Arial" w:cs="Arial"/>
          <w:sz w:val="20"/>
          <w:szCs w:val="20"/>
        </w:rPr>
        <w:t xml:space="preserve">located within promoter and gene-body regions of each gene across individuals. </w:t>
      </w:r>
      <w:r w:rsidR="00AC4828" w:rsidRPr="007A682B">
        <w:rPr>
          <w:rFonts w:ascii="Arial" w:hAnsi="Arial" w:cs="Arial"/>
          <w:sz w:val="20"/>
          <w:szCs w:val="20"/>
        </w:rPr>
        <w:t xml:space="preserve">Of the 226 genes </w:t>
      </w:r>
      <w:r w:rsidR="001C4E6C" w:rsidRPr="007A682B">
        <w:rPr>
          <w:rFonts w:ascii="Arial" w:hAnsi="Arial" w:cs="Arial"/>
          <w:sz w:val="20"/>
          <w:szCs w:val="20"/>
        </w:rPr>
        <w:t>which passed quality control (</w:t>
      </w:r>
      <w:r w:rsidR="001C4E6C" w:rsidRPr="007A682B">
        <w:rPr>
          <w:rFonts w:ascii="Arial" w:hAnsi="Arial" w:cs="Arial"/>
          <w:sz w:val="20"/>
          <w:szCs w:val="20"/>
          <w:highlight w:val="yellow"/>
        </w:rPr>
        <w:t xml:space="preserve">Appendix </w:t>
      </w:r>
      <w:r w:rsidR="00C538DF" w:rsidRPr="007A682B">
        <w:rPr>
          <w:rFonts w:ascii="Arial" w:hAnsi="Arial" w:cs="Arial"/>
          <w:sz w:val="20"/>
          <w:szCs w:val="20"/>
          <w:highlight w:val="yellow"/>
        </w:rPr>
        <w:t>S8</w:t>
      </w:r>
      <w:r w:rsidR="001C4E6C" w:rsidRPr="007A682B">
        <w:rPr>
          <w:rFonts w:ascii="Arial" w:hAnsi="Arial" w:cs="Arial"/>
          <w:sz w:val="20"/>
          <w:szCs w:val="20"/>
          <w:highlight w:val="yellow"/>
        </w:rPr>
        <w:t>, S</w:t>
      </w:r>
      <w:r w:rsidR="00C538DF" w:rsidRPr="007A682B">
        <w:rPr>
          <w:rFonts w:ascii="Arial" w:hAnsi="Arial" w:cs="Arial"/>
          <w:sz w:val="20"/>
          <w:szCs w:val="20"/>
        </w:rPr>
        <w:t>9</w:t>
      </w:r>
      <w:r w:rsidR="001C4E6C" w:rsidRPr="007A682B">
        <w:rPr>
          <w:rFonts w:ascii="Arial" w:hAnsi="Arial" w:cs="Arial"/>
          <w:sz w:val="20"/>
          <w:szCs w:val="20"/>
        </w:rPr>
        <w:t>)</w:t>
      </w:r>
      <w:r w:rsidR="00AC4828" w:rsidRPr="007A682B">
        <w:rPr>
          <w:rFonts w:ascii="Arial" w:hAnsi="Arial" w:cs="Arial"/>
          <w:sz w:val="20"/>
          <w:szCs w:val="20"/>
        </w:rPr>
        <w:t>, 67</w:t>
      </w:r>
      <w:r w:rsidRPr="007A682B">
        <w:rPr>
          <w:rFonts w:ascii="Arial" w:hAnsi="Arial" w:cs="Arial"/>
          <w:sz w:val="20"/>
          <w:szCs w:val="20"/>
        </w:rPr>
        <w:t xml:space="preserve"> exhibited a significant correlation between gene expression and the accessibility of their best local ATAC peak (Pearson's </w:t>
      </w:r>
      <w:r w:rsidR="00120D6D" w:rsidRPr="007A682B">
        <w:rPr>
          <w:rFonts w:ascii="Arial" w:hAnsi="Arial" w:cs="Arial"/>
          <w:i/>
          <w:iCs/>
          <w:sz w:val="20"/>
          <w:szCs w:val="20"/>
        </w:rPr>
        <w:t>p</w:t>
      </w:r>
      <w:r w:rsidRPr="007A682B">
        <w:rPr>
          <w:rFonts w:ascii="Arial" w:hAnsi="Arial" w:cs="Arial"/>
          <w:sz w:val="20"/>
          <w:szCs w:val="20"/>
        </w:rPr>
        <w:t xml:space="preserve"> &lt; 0.05). The prevalence of accessibility-associated DEGs did not differ significantly among cell clusters, indicating that the contribution of local chromatin accessibility to transcriptional remodeling was broadly similar across cell populations</w:t>
      </w:r>
      <w:r w:rsidR="00C32F02" w:rsidRPr="007A682B">
        <w:rPr>
          <w:rFonts w:ascii="Arial" w:hAnsi="Arial" w:cs="Arial"/>
          <w:sz w:val="20"/>
          <w:szCs w:val="20"/>
        </w:rPr>
        <w:t xml:space="preserve"> as indicated by a non-significant chi-square test</w:t>
      </w:r>
      <w:r w:rsidRPr="007A682B">
        <w:rPr>
          <w:rFonts w:ascii="Arial" w:hAnsi="Arial" w:cs="Arial"/>
          <w:sz w:val="20"/>
          <w:szCs w:val="20"/>
        </w:rPr>
        <w:t>.</w:t>
      </w:r>
    </w:p>
    <w:p w14:paraId="7B2536BA" w14:textId="191F6C8D" w:rsidR="006C603E" w:rsidRPr="007A682B" w:rsidRDefault="006C603E" w:rsidP="004C751B">
      <w:pPr>
        <w:ind w:firstLine="720"/>
        <w:rPr>
          <w:rFonts w:ascii="Arial" w:hAnsi="Arial" w:cs="Arial"/>
          <w:sz w:val="20"/>
          <w:szCs w:val="20"/>
        </w:rPr>
      </w:pPr>
      <w:r w:rsidRPr="007A682B">
        <w:rPr>
          <w:rFonts w:ascii="Arial" w:hAnsi="Arial" w:cs="Arial"/>
          <w:sz w:val="20"/>
          <w:szCs w:val="20"/>
        </w:rPr>
        <w:t xml:space="preserve">As a complementary analysis, we next examined whether </w:t>
      </w:r>
      <w:r w:rsidR="00C551F6" w:rsidRPr="007A682B">
        <w:rPr>
          <w:rFonts w:ascii="Arial" w:hAnsi="Arial" w:cs="Arial"/>
          <w:sz w:val="20"/>
          <w:szCs w:val="20"/>
        </w:rPr>
        <w:t>DARs</w:t>
      </w:r>
      <w:r w:rsidRPr="007A682B">
        <w:rPr>
          <w:rFonts w:ascii="Arial" w:hAnsi="Arial" w:cs="Arial"/>
          <w:sz w:val="20"/>
          <w:szCs w:val="20"/>
        </w:rPr>
        <w:t xml:space="preserve"> were associated with expression of their nearest expressed gene. Following quality-control</w:t>
      </w:r>
      <w:r w:rsidR="006C2F07" w:rsidRPr="007A682B">
        <w:rPr>
          <w:rFonts w:ascii="Arial" w:hAnsi="Arial" w:cs="Arial"/>
          <w:sz w:val="20"/>
          <w:szCs w:val="20"/>
        </w:rPr>
        <w:t>,</w:t>
      </w:r>
      <w:r w:rsidRPr="007A682B">
        <w:rPr>
          <w:rFonts w:ascii="Arial" w:hAnsi="Arial" w:cs="Arial"/>
          <w:sz w:val="20"/>
          <w:szCs w:val="20"/>
        </w:rPr>
        <w:t xml:space="preserve"> 23 of </w:t>
      </w:r>
      <w:r w:rsidR="00C551F6" w:rsidRPr="007A682B">
        <w:rPr>
          <w:rFonts w:ascii="Arial" w:hAnsi="Arial" w:cs="Arial"/>
          <w:sz w:val="20"/>
          <w:szCs w:val="20"/>
        </w:rPr>
        <w:t xml:space="preserve">the </w:t>
      </w:r>
      <w:r w:rsidRPr="007A682B">
        <w:rPr>
          <w:rFonts w:ascii="Arial" w:hAnsi="Arial" w:cs="Arial"/>
          <w:sz w:val="20"/>
          <w:szCs w:val="20"/>
        </w:rPr>
        <w:t xml:space="preserve">53 DARs were suitable for analysis. Of these, </w:t>
      </w:r>
      <w:r w:rsidR="00C551F6" w:rsidRPr="007A682B">
        <w:rPr>
          <w:rFonts w:ascii="Arial" w:hAnsi="Arial" w:cs="Arial"/>
          <w:sz w:val="20"/>
          <w:szCs w:val="20"/>
        </w:rPr>
        <w:t xml:space="preserve">four </w:t>
      </w:r>
      <w:r w:rsidRPr="007A682B">
        <w:rPr>
          <w:rFonts w:ascii="Arial" w:hAnsi="Arial" w:cs="Arial"/>
          <w:sz w:val="20"/>
          <w:szCs w:val="20"/>
        </w:rPr>
        <w:t xml:space="preserve">exhibited significant correlations between chromatin accessibility and gene expression (Pearson's </w:t>
      </w:r>
      <w:r w:rsidR="00120D6D" w:rsidRPr="007A682B">
        <w:rPr>
          <w:rFonts w:ascii="Arial" w:hAnsi="Arial" w:cs="Arial"/>
          <w:i/>
          <w:iCs/>
          <w:sz w:val="20"/>
          <w:szCs w:val="20"/>
        </w:rPr>
        <w:t>p</w:t>
      </w:r>
      <w:r w:rsidRPr="007A682B">
        <w:rPr>
          <w:rFonts w:ascii="Arial" w:hAnsi="Arial" w:cs="Arial"/>
          <w:sz w:val="20"/>
          <w:szCs w:val="20"/>
        </w:rPr>
        <w:t xml:space="preserve"> &lt; 0.05</w:t>
      </w:r>
      <w:r w:rsidR="007407FC">
        <w:rPr>
          <w:rFonts w:ascii="Arial" w:hAnsi="Arial" w:cs="Arial"/>
          <w:sz w:val="20"/>
          <w:szCs w:val="20"/>
        </w:rPr>
        <w:t xml:space="preserve">, </w:t>
      </w:r>
      <w:r w:rsidR="00C551F6" w:rsidRPr="007A682B">
        <w:rPr>
          <w:rFonts w:ascii="Arial" w:hAnsi="Arial" w:cs="Arial"/>
          <w:sz w:val="20"/>
          <w:szCs w:val="20"/>
          <w:highlight w:val="yellow"/>
        </w:rPr>
        <w:t xml:space="preserve">Appendix </w:t>
      </w:r>
      <w:r w:rsidRPr="007A682B">
        <w:rPr>
          <w:rFonts w:ascii="Arial" w:hAnsi="Arial" w:cs="Arial"/>
          <w:sz w:val="20"/>
          <w:szCs w:val="20"/>
          <w:highlight w:val="yellow"/>
        </w:rPr>
        <w:t>S</w:t>
      </w:r>
      <w:r w:rsidR="00C538DF" w:rsidRPr="007A682B">
        <w:rPr>
          <w:rFonts w:ascii="Arial" w:hAnsi="Arial" w:cs="Arial"/>
          <w:sz w:val="20"/>
          <w:szCs w:val="20"/>
          <w:highlight w:val="yellow"/>
        </w:rPr>
        <w:t>10</w:t>
      </w:r>
      <w:r w:rsidR="00C551F6" w:rsidRPr="007A682B">
        <w:rPr>
          <w:rFonts w:ascii="Arial" w:hAnsi="Arial" w:cs="Arial"/>
          <w:sz w:val="20"/>
          <w:szCs w:val="20"/>
          <w:highlight w:val="yellow"/>
        </w:rPr>
        <w:t xml:space="preserve">, </w:t>
      </w:r>
      <w:r w:rsidR="007276EA" w:rsidRPr="007A682B">
        <w:rPr>
          <w:rFonts w:ascii="Arial" w:hAnsi="Arial" w:cs="Arial"/>
          <w:sz w:val="20"/>
          <w:szCs w:val="20"/>
          <w:highlight w:val="yellow"/>
        </w:rPr>
        <w:t>S</w:t>
      </w:r>
      <w:r w:rsidR="00C538DF" w:rsidRPr="007A682B">
        <w:rPr>
          <w:rFonts w:ascii="Arial" w:hAnsi="Arial" w:cs="Arial"/>
          <w:sz w:val="20"/>
          <w:szCs w:val="20"/>
          <w:highlight w:val="yellow"/>
        </w:rPr>
        <w:t>11</w:t>
      </w:r>
      <w:r w:rsidR="00C551F6" w:rsidRPr="007A682B">
        <w:rPr>
          <w:rFonts w:ascii="Arial" w:hAnsi="Arial" w:cs="Arial"/>
          <w:sz w:val="20"/>
          <w:szCs w:val="20"/>
        </w:rPr>
        <w:t>)</w:t>
      </w:r>
      <w:r w:rsidRPr="007A682B">
        <w:rPr>
          <w:rFonts w:ascii="Arial" w:hAnsi="Arial" w:cs="Arial"/>
          <w:sz w:val="20"/>
          <w:szCs w:val="20"/>
        </w:rPr>
        <w:t xml:space="preserve">. </w:t>
      </w:r>
    </w:p>
    <w:p w14:paraId="71363FA6" w14:textId="1E370279" w:rsidR="00747DD7" w:rsidRPr="007A682B" w:rsidRDefault="00747DD7" w:rsidP="004C751B">
      <w:pPr>
        <w:ind w:firstLine="720"/>
        <w:rPr>
          <w:rFonts w:ascii="Arial" w:hAnsi="Arial" w:cs="Arial"/>
          <w:sz w:val="20"/>
          <w:szCs w:val="20"/>
        </w:rPr>
      </w:pPr>
      <w:r w:rsidRPr="007A682B">
        <w:rPr>
          <w:rFonts w:ascii="Arial" w:hAnsi="Arial" w:cs="Arial"/>
          <w:sz w:val="20"/>
          <w:szCs w:val="20"/>
        </w:rPr>
        <w:t xml:space="preserve">Together, these analyses indicate that while direct overlap between DEGs and DARs was limited, changes in local chromatin accessibility were nevertheless associated with the expression of a substantial subset of DEGs. Thus, chromatin accessibility appears to contribute to transcriptional remodeling during sex change, while the expression of many </w:t>
      </w:r>
      <w:r w:rsidR="006365CB" w:rsidRPr="007A682B">
        <w:rPr>
          <w:rFonts w:ascii="Arial" w:hAnsi="Arial" w:cs="Arial"/>
          <w:sz w:val="20"/>
          <w:szCs w:val="20"/>
        </w:rPr>
        <w:t xml:space="preserve">other </w:t>
      </w:r>
      <w:r w:rsidRPr="007A682B">
        <w:rPr>
          <w:rFonts w:ascii="Arial" w:hAnsi="Arial" w:cs="Arial"/>
          <w:sz w:val="20"/>
          <w:szCs w:val="20"/>
        </w:rPr>
        <w:t>genes is likely influenced by additional regulatory mechanisms.</w:t>
      </w:r>
    </w:p>
    <w:p w14:paraId="30DC6B12" w14:textId="77777777" w:rsidR="00395F94" w:rsidRPr="007A682B" w:rsidRDefault="00395F94" w:rsidP="004816FA">
      <w:pPr>
        <w:rPr>
          <w:rFonts w:ascii="Arial" w:hAnsi="Arial" w:cs="Arial"/>
          <w:sz w:val="20"/>
          <w:szCs w:val="20"/>
        </w:rPr>
      </w:pPr>
    </w:p>
    <w:p w14:paraId="6007913C" w14:textId="04D972DA" w:rsidR="00F00CD3" w:rsidRPr="007A682B" w:rsidRDefault="00681942" w:rsidP="004C751B">
      <w:pPr>
        <w:rPr>
          <w:rFonts w:ascii="Arial" w:hAnsi="Arial" w:cs="Arial"/>
          <w:sz w:val="20"/>
          <w:szCs w:val="20"/>
          <w:u w:val="single"/>
        </w:rPr>
      </w:pPr>
      <w:r w:rsidRPr="007A682B">
        <w:rPr>
          <w:rFonts w:ascii="Arial" w:hAnsi="Arial" w:cs="Arial"/>
          <w:sz w:val="20"/>
          <w:szCs w:val="20"/>
          <w:u w:val="single"/>
        </w:rPr>
        <w:t>Sex Change Occurs Asynchronously Across Cell Types</w:t>
      </w:r>
      <w:r w:rsidR="0031506B" w:rsidRPr="007A682B">
        <w:rPr>
          <w:rFonts w:ascii="Arial" w:hAnsi="Arial" w:cs="Arial"/>
          <w:sz w:val="20"/>
          <w:szCs w:val="20"/>
        </w:rPr>
        <w:tab/>
      </w:r>
    </w:p>
    <w:p w14:paraId="50C24CC3" w14:textId="3F9CF21D" w:rsidR="004F008D" w:rsidRPr="007A682B" w:rsidRDefault="004F008D" w:rsidP="00817393">
      <w:pPr>
        <w:ind w:firstLine="720"/>
        <w:rPr>
          <w:rFonts w:ascii="Arial" w:hAnsi="Arial" w:cs="Arial"/>
          <w:sz w:val="20"/>
          <w:szCs w:val="20"/>
        </w:rPr>
      </w:pPr>
      <w:r w:rsidRPr="007A682B">
        <w:rPr>
          <w:rFonts w:ascii="Arial" w:hAnsi="Arial" w:cs="Arial"/>
          <w:sz w:val="20"/>
          <w:szCs w:val="20"/>
        </w:rPr>
        <w:t>We next trained machine learning models to determine how far each cell cluster in each intermediate had progressed from the male toward the female state (</w:t>
      </w:r>
      <w:r w:rsidRPr="007A682B">
        <w:rPr>
          <w:rFonts w:ascii="Arial" w:hAnsi="Arial" w:cs="Arial"/>
          <w:sz w:val="20"/>
          <w:szCs w:val="20"/>
          <w:highlight w:val="yellow"/>
        </w:rPr>
        <w:t>Methods</w:t>
      </w:r>
      <w:r w:rsidRPr="007A682B">
        <w:rPr>
          <w:rFonts w:ascii="Arial" w:hAnsi="Arial" w:cs="Arial"/>
          <w:sz w:val="20"/>
          <w:szCs w:val="20"/>
        </w:rPr>
        <w:t>). Models were trained using expression of DEGs and accessibility of DARs that differed between males and females and were then applied to intermediates to estimate the position of each cluster along the male-to-female axis. A more female-like prediction (closer to 1) indicates that a cluster had progressed further toward the female state by six months, whereas a more male-like prediction (closer to 0) indicates less progression.</w:t>
      </w:r>
    </w:p>
    <w:p w14:paraId="617C425C" w14:textId="2DF05F89" w:rsidR="004F008D" w:rsidRPr="007A682B" w:rsidRDefault="004F008D" w:rsidP="004F008D">
      <w:pPr>
        <w:ind w:firstLine="720"/>
        <w:rPr>
          <w:rFonts w:ascii="Arial" w:hAnsi="Arial" w:cs="Arial"/>
          <w:sz w:val="20"/>
          <w:szCs w:val="20"/>
        </w:rPr>
      </w:pPr>
      <w:r w:rsidRPr="007A682B">
        <w:rPr>
          <w:rFonts w:ascii="Arial" w:hAnsi="Arial" w:cs="Arial"/>
          <w:sz w:val="20"/>
          <w:szCs w:val="20"/>
        </w:rPr>
        <w:t>Of the 2</w:t>
      </w:r>
      <w:r w:rsidR="00861E9A">
        <w:rPr>
          <w:rFonts w:ascii="Arial" w:hAnsi="Arial" w:cs="Arial"/>
          <w:sz w:val="20"/>
          <w:szCs w:val="20"/>
        </w:rPr>
        <w:t>6</w:t>
      </w:r>
      <w:r w:rsidRPr="007A682B">
        <w:rPr>
          <w:rFonts w:ascii="Arial" w:hAnsi="Arial" w:cs="Arial"/>
          <w:sz w:val="20"/>
          <w:szCs w:val="20"/>
        </w:rPr>
        <w:t xml:space="preserve"> clusters, 16 passed quality control metrics and were analyzed. The mean score </w:t>
      </w:r>
      <w:r w:rsidR="00D66DFA" w:rsidRPr="007A682B">
        <w:rPr>
          <w:rFonts w:ascii="Arial" w:hAnsi="Arial" w:cs="Arial"/>
          <w:sz w:val="20"/>
          <w:szCs w:val="20"/>
        </w:rPr>
        <w:t xml:space="preserve">for intermediates </w:t>
      </w:r>
      <w:r w:rsidRPr="007A682B">
        <w:rPr>
          <w:rFonts w:ascii="Arial" w:hAnsi="Arial" w:cs="Arial"/>
          <w:sz w:val="20"/>
          <w:szCs w:val="20"/>
        </w:rPr>
        <w:t>across analyzed clusters was 0.3</w:t>
      </w:r>
      <w:r w:rsidR="00290B1A">
        <w:rPr>
          <w:rFonts w:ascii="Arial" w:hAnsi="Arial" w:cs="Arial"/>
          <w:sz w:val="20"/>
          <w:szCs w:val="20"/>
        </w:rPr>
        <w:t>4</w:t>
      </w:r>
      <w:r w:rsidR="00D66DFA" w:rsidRPr="007A682B">
        <w:rPr>
          <w:rFonts w:ascii="Arial" w:hAnsi="Arial" w:cs="Arial"/>
          <w:sz w:val="20"/>
          <w:szCs w:val="20"/>
        </w:rPr>
        <w:t>2</w:t>
      </w:r>
      <w:r w:rsidR="00C82188" w:rsidRPr="00C82188">
        <w:rPr>
          <w:rFonts w:ascii="Arial" w:hAnsi="Arial" w:cs="Arial"/>
          <w:sz w:val="20"/>
          <w:szCs w:val="20"/>
          <w:highlight w:val="yellow"/>
        </w:rPr>
        <w:t xml:space="preserve"> ± </w:t>
      </w:r>
      <w:r w:rsidRPr="007A682B">
        <w:rPr>
          <w:rFonts w:ascii="Arial" w:hAnsi="Arial" w:cs="Arial"/>
          <w:sz w:val="20"/>
          <w:szCs w:val="20"/>
        </w:rPr>
        <w:t>0.0</w:t>
      </w:r>
      <w:r w:rsidR="00290B1A">
        <w:rPr>
          <w:rFonts w:ascii="Arial" w:hAnsi="Arial" w:cs="Arial"/>
          <w:sz w:val="20"/>
          <w:szCs w:val="20"/>
        </w:rPr>
        <w:t>3</w:t>
      </w:r>
      <w:r w:rsidR="00BE65FB">
        <w:rPr>
          <w:rFonts w:ascii="Arial" w:hAnsi="Arial" w:cs="Arial"/>
          <w:sz w:val="20"/>
          <w:szCs w:val="20"/>
        </w:rPr>
        <w:t>3</w:t>
      </w:r>
      <w:r w:rsidR="00910DBE">
        <w:rPr>
          <w:rFonts w:ascii="Arial" w:hAnsi="Arial" w:cs="Arial"/>
          <w:sz w:val="20"/>
          <w:szCs w:val="20"/>
        </w:rPr>
        <w:t xml:space="preserve"> SE</w:t>
      </w:r>
      <w:r w:rsidRPr="007A682B">
        <w:rPr>
          <w:rFonts w:ascii="Arial" w:hAnsi="Arial" w:cs="Arial"/>
          <w:sz w:val="20"/>
          <w:szCs w:val="20"/>
        </w:rPr>
        <w:t xml:space="preserve"> (</w:t>
      </w:r>
      <w:r w:rsidRPr="007A682B">
        <w:rPr>
          <w:rFonts w:ascii="Arial" w:hAnsi="Arial" w:cs="Arial"/>
          <w:sz w:val="20"/>
          <w:szCs w:val="20"/>
          <w:highlight w:val="yellow"/>
        </w:rPr>
        <w:t>Appendix S</w:t>
      </w:r>
      <w:r w:rsidR="00C538DF" w:rsidRPr="007A682B">
        <w:rPr>
          <w:rFonts w:ascii="Arial" w:hAnsi="Arial" w:cs="Arial"/>
          <w:sz w:val="20"/>
          <w:szCs w:val="20"/>
          <w:highlight w:val="yellow"/>
        </w:rPr>
        <w:t>12</w:t>
      </w:r>
      <w:r w:rsidRPr="007A682B">
        <w:rPr>
          <w:rFonts w:ascii="Arial" w:hAnsi="Arial" w:cs="Arial"/>
          <w:sz w:val="20"/>
          <w:szCs w:val="20"/>
        </w:rPr>
        <w:t>), indicating that overall, intermediate cell populations remained substantially more male-like than female-like at six months. Broadly, GABAergic and glutamatergic neurons tended to be further toward the female state than mixed neuronal populations and glia. The most male-like clusters in intermediates were 1_RGC</w:t>
      </w:r>
      <w:r w:rsidR="00121AE8" w:rsidRPr="007A682B">
        <w:rPr>
          <w:rFonts w:ascii="Arial" w:hAnsi="Arial" w:cs="Arial"/>
          <w:sz w:val="20"/>
          <w:szCs w:val="20"/>
        </w:rPr>
        <w:t xml:space="preserve"> (0.</w:t>
      </w:r>
      <w:r w:rsidR="00290B1A">
        <w:rPr>
          <w:rFonts w:ascii="Arial" w:hAnsi="Arial" w:cs="Arial"/>
          <w:sz w:val="20"/>
          <w:szCs w:val="20"/>
        </w:rPr>
        <w:t>033</w:t>
      </w:r>
      <w:r w:rsidR="00C82188" w:rsidRPr="00C82188">
        <w:rPr>
          <w:rFonts w:ascii="Arial" w:hAnsi="Arial" w:cs="Arial"/>
          <w:sz w:val="20"/>
          <w:szCs w:val="20"/>
          <w:highlight w:val="yellow"/>
        </w:rPr>
        <w:t xml:space="preserve"> ± </w:t>
      </w:r>
      <w:r w:rsidR="00121AE8" w:rsidRPr="007A682B">
        <w:rPr>
          <w:rFonts w:ascii="Arial" w:hAnsi="Arial" w:cs="Arial"/>
          <w:sz w:val="20"/>
          <w:szCs w:val="20"/>
        </w:rPr>
        <w:t>0.0</w:t>
      </w:r>
      <w:r w:rsidR="00290B1A">
        <w:rPr>
          <w:rFonts w:ascii="Arial" w:hAnsi="Arial" w:cs="Arial"/>
          <w:sz w:val="20"/>
          <w:szCs w:val="20"/>
        </w:rPr>
        <w:t>12</w:t>
      </w:r>
      <w:r w:rsidR="00910DBE">
        <w:rPr>
          <w:rFonts w:ascii="Arial" w:hAnsi="Arial" w:cs="Arial"/>
          <w:sz w:val="20"/>
          <w:szCs w:val="20"/>
        </w:rPr>
        <w:t xml:space="preserve"> SE</w:t>
      </w:r>
      <w:r w:rsidR="00121AE8" w:rsidRPr="007A682B">
        <w:rPr>
          <w:rFonts w:ascii="Arial" w:hAnsi="Arial" w:cs="Arial"/>
          <w:sz w:val="20"/>
          <w:szCs w:val="20"/>
        </w:rPr>
        <w:t>)</w:t>
      </w:r>
      <w:r w:rsidRPr="007A682B">
        <w:rPr>
          <w:rFonts w:ascii="Arial" w:hAnsi="Arial" w:cs="Arial"/>
          <w:sz w:val="20"/>
          <w:szCs w:val="20"/>
        </w:rPr>
        <w:t>, 6_POA_Mixed</w:t>
      </w:r>
      <w:r w:rsidR="00121AE8" w:rsidRPr="007A682B">
        <w:rPr>
          <w:rFonts w:ascii="Arial" w:hAnsi="Arial" w:cs="Arial"/>
          <w:sz w:val="20"/>
          <w:szCs w:val="20"/>
        </w:rPr>
        <w:t xml:space="preserve"> (0.056</w:t>
      </w:r>
      <w:r w:rsidR="00C82188" w:rsidRPr="00C82188">
        <w:rPr>
          <w:rFonts w:ascii="Arial" w:hAnsi="Arial" w:cs="Arial"/>
          <w:sz w:val="20"/>
          <w:szCs w:val="20"/>
          <w:highlight w:val="yellow"/>
        </w:rPr>
        <w:t xml:space="preserve"> ± </w:t>
      </w:r>
      <w:r w:rsidR="00121AE8" w:rsidRPr="007A682B">
        <w:rPr>
          <w:rFonts w:ascii="Arial" w:hAnsi="Arial" w:cs="Arial"/>
          <w:sz w:val="20"/>
          <w:szCs w:val="20"/>
        </w:rPr>
        <w:t>0.019</w:t>
      </w:r>
      <w:r w:rsidR="00910DBE">
        <w:rPr>
          <w:rFonts w:ascii="Arial" w:hAnsi="Arial" w:cs="Arial"/>
          <w:sz w:val="20"/>
          <w:szCs w:val="20"/>
        </w:rPr>
        <w:t xml:space="preserve"> SE</w:t>
      </w:r>
      <w:r w:rsidR="00121AE8" w:rsidRPr="007A682B">
        <w:rPr>
          <w:rFonts w:ascii="Arial" w:hAnsi="Arial" w:cs="Arial"/>
          <w:sz w:val="20"/>
          <w:szCs w:val="20"/>
        </w:rPr>
        <w:t>)</w:t>
      </w:r>
      <w:r w:rsidRPr="007A682B">
        <w:rPr>
          <w:rFonts w:ascii="Arial" w:hAnsi="Arial" w:cs="Arial"/>
          <w:sz w:val="20"/>
          <w:szCs w:val="20"/>
        </w:rPr>
        <w:t xml:space="preserve">, and 3_Spall_GABA </w:t>
      </w:r>
      <w:r w:rsidR="00121AE8" w:rsidRPr="007A682B">
        <w:rPr>
          <w:rFonts w:ascii="Arial" w:hAnsi="Arial" w:cs="Arial"/>
          <w:sz w:val="20"/>
          <w:szCs w:val="20"/>
        </w:rPr>
        <w:t>(0.057</w:t>
      </w:r>
      <w:r w:rsidR="00C82188" w:rsidRPr="00C82188">
        <w:rPr>
          <w:rFonts w:ascii="Arial" w:hAnsi="Arial" w:cs="Arial"/>
          <w:sz w:val="20"/>
          <w:szCs w:val="20"/>
          <w:highlight w:val="yellow"/>
        </w:rPr>
        <w:t xml:space="preserve"> ± </w:t>
      </w:r>
      <w:r w:rsidR="00121AE8" w:rsidRPr="007A682B">
        <w:rPr>
          <w:rFonts w:ascii="Arial" w:hAnsi="Arial" w:cs="Arial"/>
          <w:sz w:val="20"/>
          <w:szCs w:val="20"/>
        </w:rPr>
        <w:t>0.026</w:t>
      </w:r>
      <w:r w:rsidR="00910DBE">
        <w:rPr>
          <w:rFonts w:ascii="Arial" w:hAnsi="Arial" w:cs="Arial"/>
          <w:sz w:val="20"/>
          <w:szCs w:val="20"/>
        </w:rPr>
        <w:t xml:space="preserve"> SE</w:t>
      </w:r>
      <w:r w:rsidR="00557AEB" w:rsidRPr="007A682B">
        <w:rPr>
          <w:rFonts w:ascii="Arial" w:hAnsi="Arial" w:cs="Arial"/>
          <w:sz w:val="20"/>
          <w:szCs w:val="20"/>
        </w:rPr>
        <w:t xml:space="preserve">, </w:t>
      </w:r>
      <w:r w:rsidRPr="007A682B">
        <w:rPr>
          <w:rFonts w:ascii="Arial" w:hAnsi="Arial" w:cs="Arial"/>
          <w:sz w:val="20"/>
          <w:szCs w:val="20"/>
          <w:highlight w:val="yellow"/>
        </w:rPr>
        <w:t>Fig. 3E</w:t>
      </w:r>
      <w:r w:rsidRPr="007A682B">
        <w:rPr>
          <w:rFonts w:ascii="Arial" w:hAnsi="Arial" w:cs="Arial"/>
          <w:sz w:val="20"/>
          <w:szCs w:val="20"/>
        </w:rPr>
        <w:t xml:space="preserve">). Taken together, these results demonstrate that sex change progresses asynchronously across cell types, with some populations substantially further toward the female state than others at </w:t>
      </w:r>
      <w:r w:rsidR="00EB4946" w:rsidRPr="007A682B">
        <w:rPr>
          <w:rFonts w:ascii="Arial" w:hAnsi="Arial" w:cs="Arial"/>
          <w:sz w:val="20"/>
          <w:szCs w:val="20"/>
        </w:rPr>
        <w:t>the intermediate</w:t>
      </w:r>
      <w:r w:rsidRPr="007A682B">
        <w:rPr>
          <w:rFonts w:ascii="Arial" w:hAnsi="Arial" w:cs="Arial"/>
          <w:sz w:val="20"/>
          <w:szCs w:val="20"/>
        </w:rPr>
        <w:t xml:space="preserve"> stage of sex change.</w:t>
      </w:r>
    </w:p>
    <w:p w14:paraId="1E470E54" w14:textId="77777777" w:rsidR="0054434D" w:rsidRPr="007A682B" w:rsidRDefault="0054434D" w:rsidP="004816FA">
      <w:pPr>
        <w:rPr>
          <w:rFonts w:ascii="Arial" w:hAnsi="Arial" w:cs="Arial"/>
          <w:sz w:val="20"/>
          <w:szCs w:val="20"/>
        </w:rPr>
      </w:pPr>
    </w:p>
    <w:p w14:paraId="09E38C2F" w14:textId="2944DBD7" w:rsidR="00112078" w:rsidRPr="007A682B" w:rsidRDefault="009B4AA7" w:rsidP="004816FA">
      <w:pPr>
        <w:rPr>
          <w:rFonts w:ascii="Arial" w:hAnsi="Arial" w:cs="Arial"/>
          <w:b/>
          <w:bCs/>
          <w:sz w:val="20"/>
          <w:szCs w:val="20"/>
        </w:rPr>
      </w:pPr>
      <w:r w:rsidRPr="007A682B">
        <w:rPr>
          <w:rFonts w:ascii="Arial" w:hAnsi="Arial" w:cs="Arial"/>
          <w:b/>
          <w:bCs/>
          <w:sz w:val="20"/>
          <w:szCs w:val="20"/>
        </w:rPr>
        <w:t>Intermediate RGCs Enter a Distinct State Characterized by Low Brain Aromatase Expression and High Neurogenic Activity</w:t>
      </w:r>
    </w:p>
    <w:p w14:paraId="7F65623E" w14:textId="77777777" w:rsidR="009B4AA7" w:rsidRPr="007A682B" w:rsidRDefault="009B4AA7" w:rsidP="009B4AA7">
      <w:pPr>
        <w:ind w:firstLine="720"/>
        <w:rPr>
          <w:rFonts w:ascii="Arial" w:hAnsi="Arial" w:cs="Arial"/>
          <w:sz w:val="20"/>
          <w:szCs w:val="20"/>
        </w:rPr>
      </w:pPr>
      <w:r w:rsidRPr="007A682B">
        <w:rPr>
          <w:rFonts w:ascii="Arial" w:hAnsi="Arial" w:cs="Arial"/>
          <w:sz w:val="20"/>
          <w:szCs w:val="20"/>
        </w:rPr>
        <w:t xml:space="preserve">Sex change is associated with extensive changes in cell population and steroid hormone signaling in the brain, both of which are controlled by RGCs </w:t>
      </w:r>
      <w:r w:rsidRPr="007A682B">
        <w:rPr>
          <w:rFonts w:ascii="Arial" w:hAnsi="Arial" w:cs="Arial"/>
          <w:sz w:val="20"/>
          <w:szCs w:val="20"/>
        </w:rPr>
        <w:fldChar w:fldCharType="begin"/>
      </w:r>
      <w:r w:rsidRPr="007A682B">
        <w:rPr>
          <w:rFonts w:ascii="Arial" w:hAnsi="Arial" w:cs="Arial"/>
          <w:sz w:val="20"/>
          <w:szCs w:val="20"/>
        </w:rPr>
        <w:instrText xml:space="preserve"> ADDIN ZOTERO_ITEM CSL_CITATION {"citationID":"HiKP1KCv","properties":{"unsorted":false,"formattedCitation":"(21)","plainCitation":"(21)","noteIndex":0},"citationItems":[{"id":4149,"uris":["http://zotero.org/users/11313215/items/XBVTYWAC"],"itemData":{"id":4149,"type":"article-journal","abstract":"Sex steroid hormones are synthesized from cholesterol and exert pleiotropic effects notably in the central nervous system. Pioneering studies from Baulieu and colleagues have suggested that steroids are also locally-synthesized in the brain. Such steroids, called neurosteroids, can rapidly modulate neuronal excitability and functions, brain plasticity, and behavior. Accumulating data obtained on a wide variety of species demonstrate that neurosteroidogenesis is an evolutionary conserved feature across fish, birds, and mammals. In this review, we will first document neurosteroidogenesis and steroid signaling for estrogens, progestagens, and androgens in the brain of teleost fish, birds, and mammals. We will next consider the effects of sex steroids in homeostatic and regenerative neurogenesis, in neuroprotection, and in sexual behaviors. In a last part, we will discuss the transport of steroids and lipoproteins from the periphery within the brain (and vice-versa) and document their effects on the blood-brain barrier (BBB) permeability and on neuroprotection. We will emphasize the potential interaction between lipoproteins and sex steroids, addressing the beneficial effects of steroids and lipoproteins, particularly HDL-cholesterol, against the breakdown of the BBB reported to occur during brain ischemic stroke. We will consequently highlight the potential anti-inflammatory, anti-oxidant, and neuroprotective properties of sex steroid and lipoproteins, these latest improving cholesterol and steroid ester transport within the brain after insults.","container-title":"Frontiers in Neuroscience","DOI":"10.3389/fnins.2018.00084","ISSN":"1662-4548","journalAbbreviation":"Front Neurosci","page":"84","PMID":"29515356","PMCID":"PMC5826223","source":"PubMed Central","title":"Steroid Transport, Local Synthesis, and Signaling within the Brain: Roles in Neurogenesis, Neuroprotection, and Sexual Behaviors","title-short":"Steroid Transport, Local Synthesis, and Signaling within the Brain","volume":"12","author":[{"family":"Diotel","given":"Nicolas"},{"family":"Charlier","given":"Thierry D."},{"family":"Lefebvre d'Hellencourt","given":"Christian"},{"family":"Couret","given":"David"},{"family":"Trudeau","given":"Vance L."},{"family":"Nicolau","given":"Joel C."},{"family":"Meilhac","given":"Olivier"},{"family":"Kah","given":"Olivier"},{"family":"Pellegrini","given":"Elisabeth"}],"issued":{"date-parts":[["2018",2,20]]}}}],"schema":"https://github.com/citation-style-language/schema/raw/master/csl-citation.json"} </w:instrText>
      </w:r>
      <w:r w:rsidRPr="007A682B">
        <w:rPr>
          <w:rFonts w:ascii="Arial" w:hAnsi="Arial" w:cs="Arial"/>
          <w:sz w:val="20"/>
          <w:szCs w:val="20"/>
        </w:rPr>
        <w:fldChar w:fldCharType="separate"/>
      </w:r>
      <w:r w:rsidRPr="007A682B">
        <w:rPr>
          <w:rFonts w:ascii="Arial" w:hAnsi="Arial" w:cs="Arial"/>
          <w:sz w:val="20"/>
          <w:szCs w:val="20"/>
        </w:rPr>
        <w:t>(21)</w:t>
      </w:r>
      <w:r w:rsidRPr="007A682B">
        <w:rPr>
          <w:rFonts w:ascii="Arial" w:hAnsi="Arial" w:cs="Arial"/>
          <w:sz w:val="20"/>
          <w:szCs w:val="20"/>
        </w:rPr>
        <w:fldChar w:fldCharType="end"/>
      </w:r>
      <w:r w:rsidRPr="007A682B">
        <w:rPr>
          <w:rFonts w:ascii="Arial" w:hAnsi="Arial" w:cs="Arial"/>
          <w:sz w:val="20"/>
          <w:szCs w:val="20"/>
        </w:rPr>
        <w:t xml:space="preserve">. Indeed, among all identified cell </w:t>
      </w:r>
      <w:r w:rsidRPr="007A682B">
        <w:rPr>
          <w:rFonts w:ascii="Arial" w:hAnsi="Arial" w:cs="Arial"/>
          <w:sz w:val="20"/>
          <w:szCs w:val="20"/>
        </w:rPr>
        <w:lastRenderedPageBreak/>
        <w:t xml:space="preserve">populations, cluster 1_RGC exhibited the second-highest number of DEGs and the greatest number of DARs. Thus, we next focused our analysis on cluster 1_RGC. </w:t>
      </w:r>
      <w:r w:rsidRPr="007A682B">
        <w:rPr>
          <w:rFonts w:ascii="Arial" w:hAnsi="Arial" w:cs="Arial"/>
          <w:sz w:val="20"/>
          <w:szCs w:val="20"/>
        </w:rPr>
        <w:tab/>
      </w:r>
    </w:p>
    <w:p w14:paraId="27C2623B" w14:textId="7A3DDB17" w:rsidR="00F00CD3" w:rsidRPr="007A682B" w:rsidRDefault="009B4AA7" w:rsidP="00704475">
      <w:pPr>
        <w:ind w:firstLine="720"/>
        <w:rPr>
          <w:rFonts w:ascii="Arial" w:hAnsi="Arial" w:cs="Arial"/>
          <w:sz w:val="20"/>
          <w:szCs w:val="20"/>
        </w:rPr>
      </w:pPr>
      <w:r w:rsidRPr="007A682B">
        <w:rPr>
          <w:rFonts w:ascii="Arial" w:hAnsi="Arial" w:cs="Arial"/>
          <w:sz w:val="20"/>
          <w:szCs w:val="20"/>
        </w:rPr>
        <w:t xml:space="preserve">Among the most </w:t>
      </w:r>
      <w:r w:rsidR="00704475" w:rsidRPr="007A682B">
        <w:rPr>
          <w:rFonts w:ascii="Arial" w:hAnsi="Arial" w:cs="Arial"/>
          <w:sz w:val="20"/>
          <w:szCs w:val="20"/>
        </w:rPr>
        <w:t>striking</w:t>
      </w:r>
      <w:r w:rsidRPr="007A682B">
        <w:rPr>
          <w:rFonts w:ascii="Arial" w:hAnsi="Arial" w:cs="Arial"/>
          <w:sz w:val="20"/>
          <w:szCs w:val="20"/>
        </w:rPr>
        <w:t xml:space="preserve"> changes in 1_RGC was transient </w:t>
      </w:r>
      <w:r w:rsidR="005311A9">
        <w:rPr>
          <w:rFonts w:ascii="Arial" w:hAnsi="Arial" w:cs="Arial"/>
          <w:sz w:val="20"/>
          <w:szCs w:val="20"/>
          <w:highlight w:val="yellow"/>
        </w:rPr>
        <w:t>42</w:t>
      </w:r>
      <w:r w:rsidR="00A367F6" w:rsidRPr="00A367F6">
        <w:rPr>
          <w:rFonts w:ascii="Arial" w:hAnsi="Arial" w:cs="Arial"/>
          <w:sz w:val="20"/>
          <w:szCs w:val="20"/>
          <w:highlight w:val="yellow"/>
        </w:rPr>
        <w:t>%</w:t>
      </w:r>
      <w:r w:rsidR="00A367F6">
        <w:rPr>
          <w:rFonts w:ascii="Arial" w:hAnsi="Arial" w:cs="Arial"/>
          <w:sz w:val="20"/>
          <w:szCs w:val="20"/>
        </w:rPr>
        <w:t xml:space="preserve"> </w:t>
      </w:r>
      <w:r w:rsidRPr="007A682B">
        <w:rPr>
          <w:rFonts w:ascii="Arial" w:hAnsi="Arial" w:cs="Arial"/>
          <w:sz w:val="20"/>
          <w:szCs w:val="20"/>
        </w:rPr>
        <w:t>downregulation of brain aromatase (</w:t>
      </w:r>
      <w:r w:rsidRPr="007A682B">
        <w:rPr>
          <w:rFonts w:ascii="Arial" w:hAnsi="Arial" w:cs="Arial"/>
          <w:i/>
          <w:iCs/>
          <w:sz w:val="20"/>
          <w:szCs w:val="20"/>
        </w:rPr>
        <w:t>cyp19a1b</w:t>
      </w:r>
      <w:r w:rsidR="00A367F6">
        <w:rPr>
          <w:rFonts w:ascii="Arial" w:hAnsi="Arial" w:cs="Arial"/>
          <w:i/>
          <w:iCs/>
          <w:sz w:val="20"/>
          <w:szCs w:val="20"/>
        </w:rPr>
        <w:t>,</w:t>
      </w:r>
      <w:r w:rsidR="00A367F6" w:rsidRPr="00A367F6">
        <w:rPr>
          <w:rFonts w:ascii="Arial" w:hAnsi="Arial" w:cs="Arial"/>
          <w:sz w:val="20"/>
          <w:szCs w:val="20"/>
        </w:rPr>
        <w:t xml:space="preserve"> </w:t>
      </w:r>
      <w:r w:rsidR="00A367F6" w:rsidRPr="00530E82">
        <w:rPr>
          <w:rFonts w:ascii="Arial" w:hAnsi="Arial" w:cs="Arial"/>
          <w:sz w:val="20"/>
          <w:szCs w:val="20"/>
        </w:rPr>
        <w:t>χ</w:t>
      </w:r>
      <w:r w:rsidR="00A367F6">
        <w:rPr>
          <w:rFonts w:ascii="Arial" w:hAnsi="Arial" w:cs="Arial"/>
          <w:sz w:val="20"/>
          <w:szCs w:val="20"/>
          <w:vertAlign w:val="superscript"/>
        </w:rPr>
        <w:t>2</w:t>
      </w:r>
      <w:r w:rsidR="00A367F6">
        <w:rPr>
          <w:rFonts w:ascii="Arial" w:hAnsi="Arial" w:cs="Arial"/>
          <w:sz w:val="20"/>
          <w:szCs w:val="20"/>
        </w:rPr>
        <w:t>(2</w:t>
      </w:r>
      <w:r w:rsidR="00A367F6" w:rsidRPr="007A682B">
        <w:rPr>
          <w:rFonts w:ascii="Arial" w:hAnsi="Arial" w:cs="Arial"/>
          <w:sz w:val="20"/>
          <w:szCs w:val="20"/>
        </w:rPr>
        <w:t>)</w:t>
      </w:r>
      <w:r w:rsidR="00A367F6">
        <w:rPr>
          <w:rFonts w:ascii="Arial" w:hAnsi="Arial" w:cs="Arial"/>
          <w:sz w:val="20"/>
          <w:szCs w:val="20"/>
        </w:rPr>
        <w:t xml:space="preserve"> = 2</w:t>
      </w:r>
      <w:r w:rsidR="00861E9A">
        <w:rPr>
          <w:rFonts w:ascii="Arial" w:hAnsi="Arial" w:cs="Arial"/>
          <w:sz w:val="20"/>
          <w:szCs w:val="20"/>
        </w:rPr>
        <w:t>3.401</w:t>
      </w:r>
      <w:r w:rsidR="00A367F6">
        <w:rPr>
          <w:rFonts w:ascii="Arial" w:hAnsi="Arial" w:cs="Arial"/>
          <w:sz w:val="20"/>
          <w:szCs w:val="20"/>
        </w:rPr>
        <w:t xml:space="preserve">, </w:t>
      </w:r>
      <w:r w:rsidR="00A367F6">
        <w:rPr>
          <w:rFonts w:ascii="Arial" w:hAnsi="Arial" w:cs="Arial"/>
          <w:i/>
          <w:iCs/>
          <w:sz w:val="20"/>
          <w:szCs w:val="20"/>
        </w:rPr>
        <w:t>q</w:t>
      </w:r>
      <w:r w:rsidR="00A367F6">
        <w:rPr>
          <w:rFonts w:ascii="Arial" w:hAnsi="Arial" w:cs="Arial"/>
          <w:sz w:val="20"/>
          <w:szCs w:val="20"/>
        </w:rPr>
        <w:t xml:space="preserve"> </w:t>
      </w:r>
      <w:r w:rsidR="00861E9A">
        <w:rPr>
          <w:rFonts w:ascii="Arial" w:hAnsi="Arial" w:cs="Arial"/>
          <w:sz w:val="20"/>
          <w:szCs w:val="20"/>
        </w:rPr>
        <w:t>&lt; 0.001</w:t>
      </w:r>
      <w:r w:rsidRPr="007A682B">
        <w:rPr>
          <w:rFonts w:ascii="Arial" w:hAnsi="Arial" w:cs="Arial"/>
          <w:sz w:val="20"/>
          <w:szCs w:val="20"/>
        </w:rPr>
        <w:t xml:space="preserve">), the enzyme responsible for converting androgens to estrogens in the teleost brain </w:t>
      </w:r>
      <w:r w:rsidRPr="007A682B">
        <w:rPr>
          <w:rFonts w:ascii="Arial" w:hAnsi="Arial" w:cs="Arial"/>
          <w:sz w:val="20"/>
          <w:szCs w:val="20"/>
        </w:rPr>
        <w:fldChar w:fldCharType="begin"/>
      </w:r>
      <w:r w:rsidRPr="007A682B">
        <w:rPr>
          <w:rFonts w:ascii="Arial" w:hAnsi="Arial" w:cs="Arial"/>
          <w:sz w:val="20"/>
          <w:szCs w:val="20"/>
        </w:rPr>
        <w:instrText xml:space="preserve"> ADDIN ZOTERO_ITEM CSL_CITATION {"citationID":"dttOgGbo","properties":{"unsorted":false,"formattedCitation":"(21)","plainCitation":"(21)","noteIndex":0},"citationItems":[{"id":4149,"uris":["http://zotero.org/users/11313215/items/XBVTYWAC"],"itemData":{"id":4149,"type":"article-journal","abstract":"Sex steroid hormones are synthesized from cholesterol and exert pleiotropic effects notably in the central nervous system. Pioneering studies from Baulieu and colleagues have suggested that steroids are also locally-synthesized in the brain. Such steroids, called neurosteroids, can rapidly modulate neuronal excitability and functions, brain plasticity, and behavior. Accumulating data obtained on a wide variety of species demonstrate that neurosteroidogenesis is an evolutionary conserved feature across fish, birds, and mammals. In this review, we will first document neurosteroidogenesis and steroid signaling for estrogens, progestagens, and androgens in the brain of teleost fish, birds, and mammals. We will next consider the effects of sex steroids in homeostatic and regenerative neurogenesis, in neuroprotection, and in sexual behaviors. In a last part, we will discuss the transport of steroids and lipoproteins from the periphery within the brain (and vice-versa) and document their effects on the blood-brain barrier (BBB) permeability and on neuroprotection. We will emphasize the potential interaction between lipoproteins and sex steroids, addressing the beneficial effects of steroids and lipoproteins, particularly HDL-cholesterol, against the breakdown of the BBB reported to occur during brain ischemic stroke. We will consequently highlight the potential anti-inflammatory, anti-oxidant, and neuroprotective properties of sex steroid and lipoproteins, these latest improving cholesterol and steroid ester transport within the brain after insults.","container-title":"Frontiers in Neuroscience","DOI":"10.3389/fnins.2018.00084","ISSN":"1662-4548","journalAbbreviation":"Front Neurosci","page":"84","PMID":"29515356","PMCID":"PMC5826223","source":"PubMed Central","title":"Steroid Transport, Local Synthesis, and Signaling within the Brain: Roles in Neurogenesis, Neuroprotection, and Sexual Behaviors","title-short":"Steroid Transport, Local Synthesis, and Signaling within the Brain","volume":"12","author":[{"family":"Diotel","given":"Nicolas"},{"family":"Charlier","given":"Thierry D."},{"family":"Lefebvre d'Hellencourt","given":"Christian"},{"family":"Couret","given":"David"},{"family":"Trudeau","given":"Vance L."},{"family":"Nicolau","given":"Joel C."},{"family":"Meilhac","given":"Olivier"},{"family":"Kah","given":"Olivier"},{"family":"Pellegrini","given":"Elisabeth"}],"issued":{"date-parts":[["2018",2,20]]}}}],"schema":"https://github.com/citation-style-language/schema/raw/master/csl-citation.json"} </w:instrText>
      </w:r>
      <w:r w:rsidRPr="007A682B">
        <w:rPr>
          <w:rFonts w:ascii="Arial" w:hAnsi="Arial" w:cs="Arial"/>
          <w:sz w:val="20"/>
          <w:szCs w:val="20"/>
        </w:rPr>
        <w:fldChar w:fldCharType="separate"/>
      </w:r>
      <w:r w:rsidRPr="007A682B">
        <w:rPr>
          <w:rFonts w:ascii="Arial" w:hAnsi="Arial" w:cs="Arial"/>
          <w:sz w:val="20"/>
          <w:szCs w:val="20"/>
        </w:rPr>
        <w:t>(21)</w:t>
      </w:r>
      <w:r w:rsidRPr="007A682B">
        <w:rPr>
          <w:rFonts w:ascii="Arial" w:hAnsi="Arial" w:cs="Arial"/>
          <w:sz w:val="20"/>
          <w:szCs w:val="20"/>
        </w:rPr>
        <w:fldChar w:fldCharType="end"/>
      </w:r>
      <w:r w:rsidRPr="007A682B">
        <w:rPr>
          <w:rFonts w:ascii="Arial" w:hAnsi="Arial" w:cs="Arial"/>
          <w:sz w:val="20"/>
          <w:szCs w:val="20"/>
        </w:rPr>
        <w:t xml:space="preserve">. Expression of </w:t>
      </w:r>
      <w:r w:rsidRPr="007A682B">
        <w:rPr>
          <w:rFonts w:ascii="Arial" w:hAnsi="Arial" w:cs="Arial"/>
          <w:i/>
          <w:iCs/>
          <w:sz w:val="20"/>
          <w:szCs w:val="20"/>
        </w:rPr>
        <w:t>cyp19a1b</w:t>
      </w:r>
      <w:r w:rsidRPr="007A682B">
        <w:rPr>
          <w:rFonts w:ascii="Arial" w:hAnsi="Arial" w:cs="Arial"/>
          <w:sz w:val="20"/>
          <w:szCs w:val="20"/>
        </w:rPr>
        <w:t xml:space="preserve"> was significantly reduced in intermediates relative to both males and females, whereas males and females did not differ (</w:t>
      </w:r>
      <w:r w:rsidRPr="007A682B">
        <w:rPr>
          <w:rFonts w:ascii="Arial" w:hAnsi="Arial" w:cs="Arial"/>
          <w:sz w:val="20"/>
          <w:szCs w:val="20"/>
          <w:highlight w:val="yellow"/>
        </w:rPr>
        <w:t>Fig. 4A</w:t>
      </w:r>
      <w:r w:rsidR="00704475" w:rsidRPr="007A682B">
        <w:rPr>
          <w:rFonts w:ascii="Arial" w:hAnsi="Arial" w:cs="Arial"/>
          <w:sz w:val="20"/>
          <w:szCs w:val="20"/>
        </w:rPr>
        <w:t>, Appendix S1</w:t>
      </w:r>
      <w:r w:rsidRPr="007A682B">
        <w:rPr>
          <w:rFonts w:ascii="Arial" w:hAnsi="Arial" w:cs="Arial"/>
          <w:sz w:val="20"/>
          <w:szCs w:val="20"/>
        </w:rPr>
        <w:t xml:space="preserve">). </w:t>
      </w:r>
      <w:r w:rsidR="00704475" w:rsidRPr="007A682B">
        <w:rPr>
          <w:rFonts w:ascii="Arial" w:hAnsi="Arial" w:cs="Arial"/>
          <w:sz w:val="20"/>
          <w:szCs w:val="20"/>
        </w:rPr>
        <w:t>Beyond modulating the estrogenic environment,</w:t>
      </w:r>
      <w:r w:rsidR="0023174B">
        <w:rPr>
          <w:rFonts w:ascii="Arial" w:hAnsi="Arial" w:cs="Arial"/>
          <w:sz w:val="20"/>
          <w:szCs w:val="20"/>
        </w:rPr>
        <w:t xml:space="preserve"> </w:t>
      </w:r>
      <w:r w:rsidRPr="007A682B">
        <w:rPr>
          <w:rFonts w:ascii="Arial" w:hAnsi="Arial" w:cs="Arial"/>
          <w:sz w:val="20"/>
          <w:szCs w:val="20"/>
        </w:rPr>
        <w:t xml:space="preserve">it has been reported that </w:t>
      </w:r>
      <w:r w:rsidR="00704475" w:rsidRPr="007A682B">
        <w:rPr>
          <w:rFonts w:ascii="Arial" w:hAnsi="Arial" w:cs="Arial"/>
          <w:sz w:val="20"/>
          <w:szCs w:val="20"/>
        </w:rPr>
        <w:t>during neurogenesis following lesion to the telencephalon</w:t>
      </w:r>
      <w:r w:rsidR="007407FC">
        <w:rPr>
          <w:rFonts w:ascii="Arial" w:hAnsi="Arial" w:cs="Arial"/>
          <w:sz w:val="20"/>
          <w:szCs w:val="20"/>
        </w:rPr>
        <w:t xml:space="preserve"> </w:t>
      </w:r>
      <w:r w:rsidR="0023174B">
        <w:rPr>
          <w:rFonts w:ascii="Arial" w:hAnsi="Arial" w:cs="Arial"/>
          <w:sz w:val="20"/>
          <w:szCs w:val="20"/>
        </w:rPr>
        <w:t>of zebrafish</w:t>
      </w:r>
      <w:r w:rsidR="00704475" w:rsidRPr="007A682B">
        <w:rPr>
          <w:rFonts w:ascii="Arial" w:hAnsi="Arial" w:cs="Arial"/>
          <w:sz w:val="20"/>
          <w:szCs w:val="20"/>
        </w:rPr>
        <w:t xml:space="preserve">, RGCs downregulate </w:t>
      </w:r>
      <w:r w:rsidR="00704475" w:rsidRPr="007A682B">
        <w:rPr>
          <w:rFonts w:ascii="Arial" w:hAnsi="Arial" w:cs="Arial"/>
          <w:i/>
          <w:iCs/>
          <w:sz w:val="20"/>
          <w:szCs w:val="20"/>
        </w:rPr>
        <w:t>cyp19a1b</w:t>
      </w:r>
      <w:r w:rsidR="00704475" w:rsidRPr="007A682B">
        <w:rPr>
          <w:rFonts w:ascii="Arial" w:hAnsi="Arial" w:cs="Arial"/>
          <w:sz w:val="20"/>
          <w:szCs w:val="20"/>
        </w:rPr>
        <w:t xml:space="preserve"> expression and brain aromatase protein production </w:t>
      </w:r>
      <w:r w:rsidR="00704475" w:rsidRPr="007A682B">
        <w:rPr>
          <w:rFonts w:ascii="Arial" w:hAnsi="Arial" w:cs="Arial"/>
          <w:sz w:val="20"/>
          <w:szCs w:val="20"/>
        </w:rPr>
        <w:fldChar w:fldCharType="begin"/>
      </w:r>
      <w:r w:rsidR="00704475" w:rsidRPr="007A682B">
        <w:rPr>
          <w:rFonts w:ascii="Arial" w:hAnsi="Arial" w:cs="Arial"/>
          <w:sz w:val="20"/>
          <w:szCs w:val="20"/>
        </w:rPr>
        <w:instrText xml:space="preserve"> ADDIN ZOTERO_ITEM CSL_CITATION {"citationID":"BmAYD4M9","properties":{"unsorted":false,"formattedCitation":"(22)","plainCitation":"(22)","noteIndex":0},"citationItems":[{"id":5843,"uris":["http://zotero.org/users/11313215/items/FI8565AV"],"itemData":{"id":5843,"type":"article-journal","abstract":"This article is part of a Special Issue \"Hormones &amp; Neurotrauma\". The brain of the adult teleost fish exhibits intense neurogenic activity and an outstanding capability for brain repair. Remarkably, the brain estrogen-synthesizing enzyme, aromatase B, is strongly expressed, particularly in adult fishes, in radial glial cells, which act as progenitors. Using zebrafish, we tested the hypothesis that estrogens affect adult neurogenesis and brain regeneration by modulating the neurogenic activity of radial glial cells. To investigate this, the estrogenic environment was modified through inhibition of aromatase activity, blockade of nuclear estrogen receptors, or estrogenic treatments. Estrogens significantly decreased cell proliferation and migration at the olfactory bulbs/telencephalon junction and in the mediobasal hypothalamus. It also appears that cell survival is reduced at the olfactory bulbs/telencephalon junction. We also developed a model of telencephalic lesion to assess the role of aromatase and estrogens in brain repair. Proliferation increased rapidly immediately after the lesion in the parenchyma of the injured telencephalon, while proliferation at the ventricular surface appeared after 48h and peaked at 7days. At this time, most proliferative cells express Sox2, however, none of these Sox2 positive cells correspond to aromatase B-positive radial glial cells. Interestingly, aromatase B expression was significantly reduced 48h and 7days after the injury, but surprisingly, at 72h after lesion, aromatase B expression appeared de novo expressed in parenchyma cells, suggesting a role for this ectopic expression of aromatase in brain repair mechanisms. Altogether these data suggest that estrogens modulate adult, but not reparative neurogenesis, in zebrafish.","collection-title":"Hormones &amp; Neurotrauma: Protection, Degeneration and Plasticity","container-title":"Hormones and Behavior","DOI":"10.1016/j.yhbeh.2012.04.003","ISSN":"0018-506X","issue":"2","journalAbbreviation":"Hormones and Behavior","page":"193-207","source":"ScienceDirect","title":"Effects of estradiol in adult neurogenesis and brain repair in zebrafish","volume":"63","author":[{"family":"Diotel","given":"Nicolas"},{"family":"Vaillant","given":"Colette"},{"family":"Gabbero","given":"Cyril"},{"family":"Mironov","given":"Svetlana"},{"family":"Fostier","given":"Alexis"},{"family":"Gueguen","given":"Marie-Madeleine"},{"family":"Anglade","given":"Isabelle"},{"family":"Kah","given":"Olivier"},{"family":"Pellegrini","given":"Elisabeth"}],"issued":{"date-parts":[["2013",2,1]]}}}],"schema":"https://github.com/citation-style-language/schema/raw/master/csl-citation.json"} </w:instrText>
      </w:r>
      <w:r w:rsidR="00704475" w:rsidRPr="007A682B">
        <w:rPr>
          <w:rFonts w:ascii="Arial" w:hAnsi="Arial" w:cs="Arial"/>
          <w:sz w:val="20"/>
          <w:szCs w:val="20"/>
        </w:rPr>
        <w:fldChar w:fldCharType="separate"/>
      </w:r>
      <w:r w:rsidR="00704475" w:rsidRPr="007A682B">
        <w:rPr>
          <w:rFonts w:ascii="Arial" w:hAnsi="Arial" w:cs="Arial"/>
          <w:noProof/>
          <w:sz w:val="20"/>
          <w:szCs w:val="20"/>
        </w:rPr>
        <w:t>(22)</w:t>
      </w:r>
      <w:r w:rsidR="00704475" w:rsidRPr="007A682B">
        <w:rPr>
          <w:rFonts w:ascii="Arial" w:hAnsi="Arial" w:cs="Arial"/>
          <w:sz w:val="20"/>
          <w:szCs w:val="20"/>
        </w:rPr>
        <w:fldChar w:fldCharType="end"/>
      </w:r>
      <w:r w:rsidR="00704475" w:rsidRPr="007A682B">
        <w:rPr>
          <w:rFonts w:ascii="Arial" w:hAnsi="Arial" w:cs="Arial"/>
          <w:sz w:val="20"/>
          <w:szCs w:val="20"/>
        </w:rPr>
        <w:t xml:space="preserve">. Consistent with this, the single largest group of DEGs in 1_RGC </w:t>
      </w:r>
      <w:r w:rsidR="00F00CD3" w:rsidRPr="007A682B">
        <w:rPr>
          <w:rFonts w:ascii="Arial" w:hAnsi="Arial" w:cs="Arial"/>
          <w:sz w:val="20"/>
          <w:szCs w:val="20"/>
        </w:rPr>
        <w:t xml:space="preserve">were transcription </w:t>
      </w:r>
      <w:r w:rsidR="00704475" w:rsidRPr="007A682B">
        <w:rPr>
          <w:rFonts w:ascii="Arial" w:hAnsi="Arial" w:cs="Arial"/>
          <w:sz w:val="20"/>
          <w:szCs w:val="20"/>
        </w:rPr>
        <w:t>factors known</w:t>
      </w:r>
      <w:r w:rsidR="00F00CD3" w:rsidRPr="007A682B">
        <w:rPr>
          <w:rFonts w:ascii="Arial" w:hAnsi="Arial" w:cs="Arial"/>
          <w:sz w:val="20"/>
          <w:szCs w:val="20"/>
        </w:rPr>
        <w:t xml:space="preserve"> to play roles in neuro- and </w:t>
      </w:r>
      <w:r w:rsidR="00704475" w:rsidRPr="007A682B">
        <w:rPr>
          <w:rFonts w:ascii="Arial" w:hAnsi="Arial" w:cs="Arial"/>
          <w:sz w:val="20"/>
          <w:szCs w:val="20"/>
        </w:rPr>
        <w:t>gliogeneiss. Further, we detected several</w:t>
      </w:r>
      <w:r w:rsidR="00F00CD3" w:rsidRPr="007A682B">
        <w:rPr>
          <w:rFonts w:ascii="Arial" w:hAnsi="Arial" w:cs="Arial"/>
          <w:sz w:val="20"/>
          <w:szCs w:val="20"/>
        </w:rPr>
        <w:t xml:space="preserve"> </w:t>
      </w:r>
      <w:r w:rsidR="00704475" w:rsidRPr="007A682B">
        <w:rPr>
          <w:rFonts w:ascii="Arial" w:hAnsi="Arial" w:cs="Arial"/>
          <w:sz w:val="20"/>
          <w:szCs w:val="20"/>
        </w:rPr>
        <w:t xml:space="preserve">DEGs </w:t>
      </w:r>
      <w:r w:rsidR="00F00CD3" w:rsidRPr="007A682B">
        <w:rPr>
          <w:rFonts w:ascii="Arial" w:hAnsi="Arial" w:cs="Arial"/>
          <w:sz w:val="20"/>
          <w:szCs w:val="20"/>
        </w:rPr>
        <w:t xml:space="preserve">related to the </w:t>
      </w:r>
      <w:r w:rsidR="00170D0A" w:rsidRPr="007A682B">
        <w:rPr>
          <w:rFonts w:ascii="Arial" w:hAnsi="Arial" w:cs="Arial"/>
          <w:sz w:val="20"/>
          <w:szCs w:val="20"/>
        </w:rPr>
        <w:t xml:space="preserve">epigenome </w:t>
      </w:r>
      <w:r w:rsidR="00170D0A" w:rsidRPr="007A682B">
        <w:rPr>
          <w:rFonts w:ascii="Arial" w:hAnsi="Arial" w:cs="Arial"/>
          <w:sz w:val="20"/>
          <w:szCs w:val="20"/>
        </w:rPr>
        <w:fldChar w:fldCharType="begin"/>
      </w:r>
      <w:r w:rsidR="00704475" w:rsidRPr="007A682B">
        <w:rPr>
          <w:rFonts w:ascii="Arial" w:hAnsi="Arial" w:cs="Arial"/>
          <w:sz w:val="20"/>
          <w:szCs w:val="20"/>
        </w:rPr>
        <w:instrText xml:space="preserve"> ADDIN ZOTERO_ITEM CSL_CITATION {"citationID":"ZqkW7bTl","properties":{"unsorted":false,"formattedCitation":"(23\\uc0\\u8211{}30)","plainCitation":"(23–30)","noteIndex":0},"citationItems":[{"id":5354,"uris":["http://zotero.org/users/11313215/items/M97TK2BY"],"itemData":{"id":5354,"type":"article-journal","abstract":"During vertebrate development, the specification of distinct cell types is thought to be controlled by inductive signals acting at different concentration thresholds1. The degree of receptor activation in response to these signals is a known determinant of cell fate2, but the later steps at which graded signals are converted into all-or-none distinctions in cell identity remain poorly resolved. In the ventral neural tube, motor neuron and interneuron generation depends on the graded activity of the signalling protein Sonic hedgehog (Shh)3,4,5. These neuronal subtypes derive from distinct progenitor cell populations that express the homeodomain proteins Nkx2.2 or Pax6 in response to graded Shh signalling6,7. In mice lacking Pax6, progenitor cells generate neurons characteristic of exposure to greater Shh activity6,7. However, Nkx2.2 expression expands dosally in Pax6 mutants6, raising the possibility that Pax6 controls neuronal pattern indirectly. Here we provide evidence that Nkx2.2 has a primary role in ventral neuronal patterning. In Nkx2.2 mutants, Pax6 expression is unchanged but cells undergo a ventral-to-dorsal transformation in fate and generate motor neurons rather than interneurons. Thus, Nkx2.2 has an essential role in interpreting graded Shh signals and selecting neuronal identity.","container-title":"Nature","DOI":"10.1038/19315","ISSN":"1476-4687","issue":"6728","language":"en","license":"1999 Macmillan Magazines Ltd.","page":"622-627","publisher":"Nature Publishing Group","source":"www.nature.com","title":"Homeobox gene Nkx2.2 and specification of neuronal identity by graded Sonic hedgehog signalling","volume":"398","author":[{"family":"Briscoe","given":"J."},{"family":"Sussel","given":"L."},{"family":"Serup","given":"P."},{"family":"Hartigan-O'Connor","given":"D."},{"family":"Jessell","given":"T. M."},{"family":"Rubenstein","given":"J. L. R."},{"family":"Ericson","given":"J."}],"issued":{"date-parts":[["1999",4]]}}},{"id":5340,"uris":["http://zotero.org/users/11313215/items/AYTFI9LD"],"itemData":{"id":5340,"type":"article-journal","abstract":"Approximately 20,000 genes are encoded in our genome, one tenth of which are thought to be transcription factors. Considering the complexity and variety of cell types generated during development, many transcription factors likely play multiple roles. Uncovering the versatile roles of Sox6 in vertebrate development sheds some light on how an organism efficiently utilizes the limited resources of transcription factors. The structure of the Sox6 gene itself may dictate its functional versatility. First, Sox6 contains no known regulatory domains; instead, it utilizes various cofactors. Second, Sox6 has a long 3′-UTR that contains multiple microRNA targets, thus its protein level is duly adjusted by cell type–specific microRNAs. Just combining these two characteristics alone makes Sox6 extremely versatile. To date, Sox6 has been reported to regulate differentiation of tissues of mesoderm, ectoderm, and endoderm origins, making Sox6 a truly multifaceted transcription factor. Developmental Dynamics 240:1311–1321, 2011. © 2011 Wiley-Liss, Inc.","container-title":"Developmental Dynamics","DOI":"10.1002/dvdy.22639","ISSN":"1097-0177","issue":"6","language":"en","license":"Copyright © 2011 Wiley-Liss, Inc.","note":"_eprint: https://anatomypubs.onlinelibrary.wiley.com/doi/pdf/10.1002/dvdy.22639","page":"1311-1321","source":"Wiley Online Library","title":"Sox6, jack of all trades: A versatile regulatory protein in vertebrate development","title-short":"Sox6, jack of all trades","volume":"240","author":[{"family":"Hagiwara","given":"Nobuko"}],"issued":{"date-parts":[["2011"]]}}},{"id":5347,"uris":["http://zotero.org/users/11313215/items/DI5V26B3"],"itemData":{"id":5347,"type":"article-journal","abstract":"FOXP transcription factors are an evolutionarily ancient protein subfamily coordinating the development of several organ systems in the vertebrate body. Association of their genes with neurodevelopmental disorders has sparked particular interest in their expression patterns and functions in the brain. Here, FOXP1, FOXP2, and FOXP4 are expressed in distinct cell type-specific spatiotemporal patterns in multiple regions, including the cortex, hippocampus, amygdala, basal ganglia, thalamus, and cerebellum. These varied sites and timepoints of expression have complicated efforts to link FOXP1 and FOXP2 mutations to their respective developmental disorders, the former affecting global neural functions and the latter specifically affecting speech and language. However, the use of animal models, particularly those with brain region- and cell type-specific manipulations, has greatly advanced our understanding of how FOXP expression patterns could underlie disorder-related phenotypes. While many questions remain regarding FOXP expression and function in the brain, studies to date have illuminated the roles of these transcription factors in vertebrate brain development and have greatly informed our understanding of human development and disorders. This article is categorized under: Nervous System Development &gt; Vertebrates: General Principles Gene Expression and Transcriptional Hierarchies &gt; Gene Networks and Genomics Nervous System Development &gt; Vertebrates: Regional Development","container-title":"WIREs Developmental Biology","DOI":"10.1002/wdev.375","ISSN":"1759-7692","issue":"5","language":"en","license":"© 2020 Wiley Periodicals, Inc.","note":"_eprint: https://wires.onlinelibrary.wiley.com/doi/pdf/10.1002/wdev.375","page":"e375","source":"Wiley Online Library","title":"FOXP transcription factors in vertebrate brain development, function, and disorders","volume":"9","author":[{"family":"Co","given":"Marissa"},{"family":"Anderson","given":"Ashley G."},{"family":"Konopka","given":"Genevieve"}],"issued":{"date-parts":[["2020"]]}}},{"id":5800,"uris":["http://zotero.org/users/11313215/items/632PT6KR"],"itemData":{"id":5800,"type":"article-journal","abstract":"In human telencephalon at 8–12 postconceptional weeks, ribonucleic acid quantitative sequencing and immunohistochemistry revealed cortical chicken ovalbumin upstream promotor-transcription factor 1 (COUP-TFI) expression in a high ventro-posterior to low anterior gradient except for raised immunoreactivity in the anterior ventral pallium. Unlike in mouse, COUP-TFI and SP8 were extensively co-expressed in dorsal sensory neocortex and dorsal hippocampus whereas COUPTFI/COUPTFII co-expression defined ventral temporal cortex and ventral hippocampus. In the ganglionic eminences (GEs) COUP-TFI immunoreactivity demarcated the proliferative zones of caudal GE (CGE), dorsal medial GE (MGE), MGE/lateral GE (LGE) boundary, and ventral LGE whereas COUP-TFII was limited to ventral CGE and the MGE/LGE boundary. Co-labeling with gamma amino butyric acidergic interneuron markers revealed that COUP-TFI was expressed in subpopulations of either MGE-derived (SOX6+) or CGE-derived (calretinin+/SP8+) interneurons. COUP-TFII was mainly confined to CGE-derived interneurons. Twice as many GAD67+ cortical cells co-labeled for COUP-TFI than for COUP-TFII. A fifth of COUP-TFI cells also co-expressed COUP-TFII, and cells expressing either transcription factor followed posterior or anterio-lateral pathways into the cortex, therefore, a segregation of migration pathways according to COUP-TF expression as proposed in mouse was not observed. In cultures differentiated from isolated human cortical progenitors, many cells expressed either COUP-TF and 30% also co-expressed GABA, however no cells expressed NKX2.1. This suggests interneurons could be generated intracortically from progenitors expressing either COUP-TF.","container-title":"Cerebral Cortex","DOI":"10.1093/cercor/bhx185","ISSN":"1047-3211","issue":"10","journalAbbreviation":"Cereb Cortex","page":"4971-4987","source":"Silverchair","title":"The Transcription Factors COUP-TFI and COUP-TFII have Distinct Roles in Arealisation and GABAergic Interneuron Specification in the Early Human Fetal Telencephalon","volume":"27","author":[{"family":"Alzu'bi","given":"Ayman"},{"family":"Lindsay","given":"Susan J"},{"family":"Harkin","given":"Lauren F"},{"family":"McIntyre","given":"Jack"},{"family":"Lisgo","given":"Steven N"},{"family":"Clowry","given":"Gavin J"}],"issued":{"date-parts":[["2017",10,1]]}}},{"id":5388,"uris":["http://zotero.org/users/11313215/items/ZZD8N5VK"],"itemData":{"id":5388,"type":"article-journal","abstract":"Background\nThe conserved habenular nuclei function as a relay system connecting the forebrain with the brain stem. They play crucial roles in various cognitive behaviors by modulating cholinergic, dopaminergic and serotonergic activities. Despite the renewed interest in this conserved forebrain region because of its importance in regulating aversion and reward behaviors, the formation of the habenular nuclei during embryogenesis is poorly understood due to their small size and deep location in the brain, as well as the lack of known markers for habenular progenitors. In zebrafish, the bilateral habenular nuclei are subdivided into dorsal and ventral compartments, are particularly large and found on the dorsal surface of the brain, which facilitates the study of their development.\n\nResults\nHere we examine the expression of a homeodomain transcription factor, dbx1b, and its potential to serve as an early molecular marker of dorsal habenular progenitors. Detailed spatiotemporal expression profiles demonstrate that the expression domain of dbx1b correlates with the presumptive habenular region, and dbx1b-expressing cells are proliferative along the ventricle. A lineage-tracing experiment using the Cre-lox system confirms that all or almost all dorsal habenular neurons are derived from dbx1b-expressing cells. In addition, mutant analysis and pharmacological treatments demonstrate that both initiation and maintenance of dbx1b expression requires precise regulation by fibroblast growth factor (FGF) signaling.\n\nConclusions\nWe provide clear evidence in support of dbx1b marking the progenitor populations that give rise to the dorsal habenulae. In addition, the expression of dbx1b in the dorsal diencephalon is tightly controlled by FGF signaling.","container-title":"Neural Development","DOI":"10.1186/1749-8104-9-20","ISSN":"1749-8104","journalAbbreviation":"Neural Dev","page":"20","PMID":"25212830","PMCID":"PMC4164515","source":"PubMed Central","title":"Dbx1b defines the dorsal habenular progenitor domain in the zebrafish epithalamus","volume":"9","author":[{"family":"Dean","given":"Benjamin J"},{"family":"Erdogan","given":"Begum"},{"family":"Gamse","given":"Joshua T"},{"family":"Wu","given":"Shu-Yu"}],"issued":{"date-parts":[["2014",9,12]]}}},{"id":6624,"uris":["http://zotero.org/users/11313215/items/6AFH9TPM"],"itemData":{"id":6624,"type":"article-journal","abstract":"HOX transcription factors and their cofactors, MEINOX, are critical regulators of positional identity and cellular plasticity. While their functions are essential during embryonic development, they also play key roles in maintaining adult tissue homeostasis. Dysregulation of HOX and MEINOX has been implicated in the pathogenesis of various diseases, including fibrosis and cancer. This review explores the contributions of HOX and MEINOX to dedifferentiation and cellular reprogramming, processes that drive fibrotic disease onset and cancer progression. It also addresses their role in extracellular matrix remodeling in these conditions. Particular attention is given to their involvement in epithelial-mesenchymal transition, where altered HOX and MEINOX expression promotes phenotypic plasticity, cancer invasiveness, and fibrotic tissue remodeling. By integrating these perspectives, this review underscores the significance of HOX-MEINOX dysregulation and altered positional identity in disease progression. Targeting this dysregulation may offer innovative strategies to modulate epithelial-mesenchymal transition and extracellular matrix dynamics, presenting new therapeutic opportunities for combating fibrosis and cancer.","container-title":"World Journal of Stem Cells","DOI":"10.4252/wjsc.v17.i9.109102","ISSN":"1948-0210","issue":"9","journalAbbreviation":"World J Stem Cells","page":"109102","PMID":"41025109","PMCID":"PMC12476820","source":"PubMed Central","title":"HOX and MEINOX in cellular plasticity, fibrosis, and cancer","volume":"17","author":[{"family":"Keleş","given":"Mustafa"},{"family":"Gunel-Ozcan","given":"Aysen"}],"issued":{"date-parts":[["2025",9,26]]}}},{"id":6627,"uris":["http://zotero.org/users/11313215/items/2BS69WTB"],"itemData":{"id":6627,"type":"article-journal","abstract":"The Polycomb repressive complex 2 (PRC2) is an essential chromatin regulatory complex involved in repressing the transcription of diverse developmental genes. PRC2 consists of a core complex; possessing H3K27 methyltransferase activity and various associated factors that are important to modulate its function. During evolution, the composition of PRC2 and the functionality of PRC2 components have changed considerably. Here, we compare the PRC2 complex members of Drosophila and mammals and describe their adaptation to altered biological needs. We also highlight how the PRC2.1 subcomplex has gained multiple novel functions and discuss the implications of these changes for the function of PRC2 in chromatin regulation.","container-title":"Epigenetics &amp; Chromatin","DOI":"10.1186/s13072-022-00439-6","ISSN":"1756-8935","issue":"1","journalAbbreviation":"Epigenetics &amp; Chromatin","language":"en","page":"7","source":"Springer Link","title":"Evolutionary adaptation of the Polycomb repressive complex 2","volume":"15","author":[{"family":"Fischer","given":"Sabrina"},{"family":"Weber","given":"Lisa Marie"},{"family":"Liefke","given":"Robert"}],"issued":{"date-parts":[["2022",2,22]]}}},{"id":6631,"uris":["http://zotero.org/users/11313215/items/HIPV67BP"],"itemData":{"id":6631,"type":"article-journal","abstract":"Cytosine DNA methylation is widespread in animal genomes and occurs predominantly at CG dinucleotides (mCG). While the roles of mCG, such as in genomic imprinting and genome stability, are well established, non-CG DNA methylation (mCH) remains poorly understood. In most vertebrate tissues, roughly 80% of CGs are methylated, whereas mCH levels are generally low, typically ranging from 1% to 3%. In vertebrates, mCH is most prevalent in neural tissue, oocytes and embryonic stem cells and has been linked to neurodevelopmental disorders. Moreover, mCH appears to have a conserved role in regulating vertebrate neural genomes, and recent studies suggest that it has functions in the embryogenesis of teleost fish. Overall, mCH represents an intriguing emerging aspect of gene regulation with potential implications for cellular identity, repeat silencing and neural function. In this Review, we provide a critical overview of the patterning, mechanisms and functional implications of mCH in animals.","container-title":"Nature Genetics","DOI":"10.1038/s41588-025-02303-1","ISSN":"1546-1718","issue":"10","journalAbbreviation":"Nat Genet","language":"en","license":"2025 Springer Nature America, Inc.","page":"2395-2407","publisher":"Nature Publishing Group","source":"www.nature.com","title":"Non-CG DNA methylation in animal genomes","volume":"57","author":[{"family":"Brethouwer","given":"Thirsa"},{"family":"Mendoza","given":"Alex","non-dropping-particle":"de"},{"family":"Bogdanovic","given":"Ozren"}],"issued":{"date-parts":[["2025",10]]}}}],"schema":"https://github.com/citation-style-language/schema/raw/master/csl-citation.json"} </w:instrText>
      </w:r>
      <w:r w:rsidR="00170D0A" w:rsidRPr="007A682B">
        <w:rPr>
          <w:rFonts w:ascii="Arial" w:hAnsi="Arial" w:cs="Arial"/>
          <w:sz w:val="20"/>
          <w:szCs w:val="20"/>
        </w:rPr>
        <w:fldChar w:fldCharType="separate"/>
      </w:r>
      <w:r w:rsidR="00704475" w:rsidRPr="007A682B">
        <w:rPr>
          <w:rFonts w:ascii="Arial" w:hAnsi="Arial" w:cs="Arial"/>
          <w:kern w:val="0"/>
          <w:sz w:val="20"/>
          <w:szCs w:val="24"/>
        </w:rPr>
        <w:t>(23–30)</w:t>
      </w:r>
      <w:r w:rsidR="00170D0A" w:rsidRPr="007A682B">
        <w:rPr>
          <w:rFonts w:ascii="Arial" w:hAnsi="Arial" w:cs="Arial"/>
          <w:sz w:val="20"/>
          <w:szCs w:val="20"/>
        </w:rPr>
        <w:fldChar w:fldCharType="end"/>
      </w:r>
      <w:r w:rsidR="00120EF9" w:rsidRPr="007A682B">
        <w:rPr>
          <w:rFonts w:ascii="Arial" w:hAnsi="Arial" w:cs="Arial"/>
          <w:sz w:val="20"/>
          <w:szCs w:val="20"/>
        </w:rPr>
        <w:t xml:space="preserve"> </w:t>
      </w:r>
      <w:r w:rsidR="00F00CD3" w:rsidRPr="007A682B">
        <w:rPr>
          <w:rFonts w:ascii="Arial" w:hAnsi="Arial" w:cs="Arial"/>
          <w:sz w:val="20"/>
          <w:szCs w:val="20"/>
        </w:rPr>
        <w:t>(</w:t>
      </w:r>
      <w:r w:rsidR="00F00CD3" w:rsidRPr="007A682B">
        <w:rPr>
          <w:rFonts w:ascii="Arial" w:hAnsi="Arial" w:cs="Arial"/>
          <w:sz w:val="20"/>
          <w:szCs w:val="20"/>
          <w:highlight w:val="yellow"/>
        </w:rPr>
        <w:t>Fig. 4</w:t>
      </w:r>
      <w:r w:rsidR="00A802D8" w:rsidRPr="007A682B">
        <w:rPr>
          <w:rFonts w:ascii="Arial" w:hAnsi="Arial" w:cs="Arial"/>
          <w:sz w:val="20"/>
          <w:szCs w:val="20"/>
          <w:highlight w:val="yellow"/>
        </w:rPr>
        <w:t>B</w:t>
      </w:r>
      <w:r w:rsidR="00F00CD3" w:rsidRPr="007A682B">
        <w:rPr>
          <w:rFonts w:ascii="Arial" w:hAnsi="Arial" w:cs="Arial"/>
          <w:sz w:val="20"/>
          <w:szCs w:val="20"/>
        </w:rPr>
        <w:t xml:space="preserve">). </w:t>
      </w:r>
      <w:r w:rsidR="00704475" w:rsidRPr="007A682B">
        <w:rPr>
          <w:rFonts w:ascii="Arial" w:hAnsi="Arial" w:cs="Arial"/>
          <w:sz w:val="20"/>
          <w:szCs w:val="20"/>
        </w:rPr>
        <w:t>Consistent with epigenomic remodeling occurring in 1_RGC</w:t>
      </w:r>
      <w:r w:rsidR="00F00CD3" w:rsidRPr="007A682B">
        <w:rPr>
          <w:rFonts w:ascii="Arial" w:hAnsi="Arial" w:cs="Arial"/>
          <w:sz w:val="20"/>
          <w:szCs w:val="20"/>
        </w:rPr>
        <w:t>, our DAR analysis in 1_RGC detected differences in several transcription factors and cell adhesion proteins (</w:t>
      </w:r>
      <w:r w:rsidR="00F00CD3" w:rsidRPr="007A682B">
        <w:rPr>
          <w:rFonts w:ascii="Arial" w:hAnsi="Arial" w:cs="Arial"/>
          <w:sz w:val="20"/>
          <w:szCs w:val="20"/>
          <w:highlight w:val="yellow"/>
        </w:rPr>
        <w:t>Fig. S</w:t>
      </w:r>
      <w:r w:rsidR="00376C7F" w:rsidRPr="007A682B">
        <w:rPr>
          <w:rFonts w:ascii="Arial" w:hAnsi="Arial" w:cs="Arial"/>
          <w:sz w:val="20"/>
          <w:szCs w:val="20"/>
          <w:highlight w:val="yellow"/>
        </w:rPr>
        <w:t>7</w:t>
      </w:r>
      <w:r w:rsidR="00F00CD3" w:rsidRPr="007A682B">
        <w:rPr>
          <w:rFonts w:ascii="Arial" w:hAnsi="Arial" w:cs="Arial"/>
          <w:sz w:val="20"/>
          <w:szCs w:val="20"/>
        </w:rPr>
        <w:t xml:space="preserve">). </w:t>
      </w:r>
      <w:r w:rsidR="00704475" w:rsidRPr="007A682B">
        <w:rPr>
          <w:rFonts w:ascii="Arial" w:hAnsi="Arial" w:cs="Arial"/>
          <w:sz w:val="20"/>
          <w:szCs w:val="20"/>
        </w:rPr>
        <w:t>We</w:t>
      </w:r>
      <w:r w:rsidR="00F00CD3" w:rsidRPr="007A682B">
        <w:rPr>
          <w:rFonts w:ascii="Arial" w:hAnsi="Arial" w:cs="Arial"/>
          <w:sz w:val="20"/>
          <w:szCs w:val="20"/>
        </w:rPr>
        <w:t xml:space="preserve"> next examined how </w:t>
      </w:r>
      <w:r w:rsidR="00F84539" w:rsidRPr="007A682B">
        <w:rPr>
          <w:rFonts w:ascii="Arial" w:hAnsi="Arial" w:cs="Arial"/>
          <w:sz w:val="20"/>
          <w:szCs w:val="20"/>
        </w:rPr>
        <w:t xml:space="preserve">the neurogenic state of 1_RGC </w:t>
      </w:r>
      <w:r w:rsidR="00F00CD3" w:rsidRPr="007A682B">
        <w:rPr>
          <w:rFonts w:ascii="Arial" w:hAnsi="Arial" w:cs="Arial"/>
          <w:sz w:val="20"/>
          <w:szCs w:val="20"/>
        </w:rPr>
        <w:t>changed over the course of sex change. Because RGCs are a heterogenous cell type, we subclustered 1_RGC into 4 subclusters (</w:t>
      </w:r>
      <w:r w:rsidR="00F00CD3" w:rsidRPr="007A682B">
        <w:rPr>
          <w:rFonts w:ascii="Arial" w:hAnsi="Arial" w:cs="Arial"/>
          <w:sz w:val="20"/>
          <w:szCs w:val="20"/>
          <w:highlight w:val="yellow"/>
        </w:rPr>
        <w:t>Fig. 4</w:t>
      </w:r>
      <w:r w:rsidR="00A802D8" w:rsidRPr="007A682B">
        <w:rPr>
          <w:rFonts w:ascii="Arial" w:hAnsi="Arial" w:cs="Arial"/>
          <w:sz w:val="20"/>
          <w:szCs w:val="20"/>
          <w:highlight w:val="yellow"/>
        </w:rPr>
        <w:t>C</w:t>
      </w:r>
      <w:r w:rsidR="00F00CD3" w:rsidRPr="007A682B">
        <w:rPr>
          <w:rFonts w:ascii="Arial" w:hAnsi="Arial" w:cs="Arial"/>
          <w:sz w:val="20"/>
          <w:szCs w:val="20"/>
        </w:rPr>
        <w:t>). Analysis of marker genes paired with CytoTRACE, a tool that infers cellular immaturity</w:t>
      </w:r>
      <w:r w:rsidR="00D770B1" w:rsidRPr="007A682B">
        <w:rPr>
          <w:rFonts w:ascii="Arial" w:hAnsi="Arial" w:cs="Arial"/>
          <w:sz w:val="20"/>
          <w:szCs w:val="20"/>
        </w:rPr>
        <w:t xml:space="preserve"> </w:t>
      </w:r>
      <w:r w:rsidR="00F00CD3" w:rsidRPr="007A682B">
        <w:rPr>
          <w:rFonts w:ascii="Arial" w:hAnsi="Arial" w:cs="Arial"/>
          <w:sz w:val="20"/>
          <w:szCs w:val="20"/>
        </w:rPr>
        <w:fldChar w:fldCharType="begin"/>
      </w:r>
      <w:r w:rsidR="00704475" w:rsidRPr="007A682B">
        <w:rPr>
          <w:rFonts w:ascii="Arial" w:hAnsi="Arial" w:cs="Arial"/>
          <w:sz w:val="20"/>
          <w:szCs w:val="20"/>
        </w:rPr>
        <w:instrText xml:space="preserve"> ADDIN ZOTERO_ITEM CSL_CITATION {"citationID":"OTJvsLJ2","properties":{"unsorted":false,"formattedCitation":"(31)","plainCitation":"(31)","noteIndex":0},"citationItems":[{"id":5714,"uris":["http://zotero.org/users/11313215/items/MEV7TCRJ"],"itemData":{"id":5714,"type":"article-journal","abstract":"Single-cell RNA sequencing (scRNA-seq) is a powerful approach for reconstructing cellular differentiation trajectories. However, inferring both the state and direction of differentiation is challenging. Here, we demonstrate a simple, yet robust, determinant of developmental potential—the number of expressed genes per cell—and leverage this measure of transcriptional diversity to develop a computational framework (CytoTRACE) for predicting differentiation states from scRNA-seq data. When applied to diverse tissue types and organisms, CytoTRACE outperformed previous methods and nearly 19,000 annotated gene sets for resolving 52 experimentally determined developmental trajectories. Additionally, it facilitated the identification of quiescent stem cells and revealed genes that contribute to breast tumorigenesis. This study thus establishes a key RNA-based feature of developmental potential and a platform for delineation of cellular hierarchies.","container-title":"Science","DOI":"10.1126/science.aax0249","issue":"6476","page":"405-411","publisher":"American Association for the Advancement of Science","source":"science.org (Atypon)","title":"Single-cell transcriptional diversity is a hallmark of developmental potential","volume":"367","author":[{"family":"Gulati","given":"Gunsagar S."},{"family":"Sikandar","given":"Shaheen S."},{"family":"Wesche","given":"Daniel J."},{"family":"Manjunath","given":"Anoop"},{"family":"Bharadwaj","given":"Anjan"},{"family":"Berger","given":"Mark J."},{"family":"Ilagan","given":"Francisco"},{"family":"Kuo","given":"Angera H."},{"family":"Hsieh","given":"Robert W."},{"family":"Cai","given":"Shang"},{"family":"Zabala","given":"Maider"},{"family":"Scheeren","given":"Ferenc A."},{"family":"Lobo","given":"Neethan A."},{"family":"Qian","given":"Dalong"},{"family":"Yu","given":"Feiqiao B."},{"family":"Dirbas","given":"Frederick M."},{"family":"Clarke","given":"Michael F."},{"family":"Newman","given":"Aaron M."}],"issued":{"date-parts":[["2020",1,24]]}}}],"schema":"https://github.com/citation-style-language/schema/raw/master/csl-citation.json"} </w:instrText>
      </w:r>
      <w:r w:rsidR="00F00CD3" w:rsidRPr="007A682B">
        <w:rPr>
          <w:rFonts w:ascii="Arial" w:hAnsi="Arial" w:cs="Arial"/>
          <w:sz w:val="20"/>
          <w:szCs w:val="20"/>
        </w:rPr>
        <w:fldChar w:fldCharType="separate"/>
      </w:r>
      <w:r w:rsidR="00704475" w:rsidRPr="007A682B">
        <w:rPr>
          <w:rFonts w:ascii="Arial" w:hAnsi="Arial" w:cs="Arial"/>
          <w:sz w:val="20"/>
          <w:szCs w:val="20"/>
        </w:rPr>
        <w:t>(31)</w:t>
      </w:r>
      <w:r w:rsidR="00F00CD3" w:rsidRPr="007A682B">
        <w:rPr>
          <w:rFonts w:ascii="Arial" w:hAnsi="Arial" w:cs="Arial"/>
          <w:sz w:val="20"/>
          <w:szCs w:val="20"/>
        </w:rPr>
        <w:fldChar w:fldCharType="end"/>
      </w:r>
      <w:r w:rsidR="00F00CD3" w:rsidRPr="007A682B">
        <w:rPr>
          <w:rFonts w:ascii="Arial" w:hAnsi="Arial" w:cs="Arial"/>
          <w:sz w:val="20"/>
          <w:szCs w:val="20"/>
        </w:rPr>
        <w:t xml:space="preserve"> revealed a neural stem cell (NSC) population (1_NSC), a neural progenitor (NP) population (1_NP), as well as </w:t>
      </w:r>
      <w:r w:rsidR="00F00CD3" w:rsidRPr="007A682B">
        <w:rPr>
          <w:rFonts w:ascii="Arial" w:hAnsi="Arial" w:cs="Arial"/>
          <w:i/>
          <w:iCs/>
          <w:sz w:val="20"/>
          <w:szCs w:val="20"/>
        </w:rPr>
        <w:t>shha</w:t>
      </w:r>
      <w:r w:rsidR="00F00CD3" w:rsidRPr="007A682B">
        <w:rPr>
          <w:rFonts w:ascii="Arial" w:hAnsi="Arial" w:cs="Arial"/>
          <w:sz w:val="20"/>
          <w:szCs w:val="20"/>
        </w:rPr>
        <w:t xml:space="preserve"> and </w:t>
      </w:r>
      <w:r w:rsidR="00F00CD3" w:rsidRPr="007A682B">
        <w:rPr>
          <w:rFonts w:ascii="Arial" w:hAnsi="Arial" w:cs="Arial"/>
          <w:i/>
          <w:iCs/>
          <w:sz w:val="20"/>
          <w:szCs w:val="20"/>
        </w:rPr>
        <w:t>gfap</w:t>
      </w:r>
      <w:r w:rsidR="00F00CD3" w:rsidRPr="007A682B">
        <w:rPr>
          <w:rFonts w:ascii="Arial" w:hAnsi="Arial" w:cs="Arial"/>
          <w:sz w:val="20"/>
          <w:szCs w:val="20"/>
        </w:rPr>
        <w:t xml:space="preserve"> expressing populations (1_shha and 1_gfap respectively) (</w:t>
      </w:r>
      <w:r w:rsidR="00F00CD3" w:rsidRPr="007A682B">
        <w:rPr>
          <w:rFonts w:ascii="Arial" w:hAnsi="Arial" w:cs="Arial"/>
          <w:sz w:val="20"/>
          <w:szCs w:val="20"/>
          <w:highlight w:val="yellow"/>
        </w:rPr>
        <w:t>Figs</w:t>
      </w:r>
      <w:r w:rsidR="0028615F" w:rsidRPr="007A682B">
        <w:rPr>
          <w:rFonts w:ascii="Arial" w:hAnsi="Arial" w:cs="Arial"/>
          <w:sz w:val="20"/>
          <w:szCs w:val="20"/>
          <w:highlight w:val="yellow"/>
        </w:rPr>
        <w:t xml:space="preserve">. S7B, C, </w:t>
      </w:r>
      <w:r w:rsidR="00F00CD3" w:rsidRPr="007A682B">
        <w:rPr>
          <w:rFonts w:ascii="Arial" w:hAnsi="Arial" w:cs="Arial"/>
          <w:sz w:val="20"/>
          <w:szCs w:val="20"/>
          <w:highlight w:val="yellow"/>
        </w:rPr>
        <w:t>S</w:t>
      </w:r>
      <w:r w:rsidR="00376C7F" w:rsidRPr="007A682B">
        <w:rPr>
          <w:rFonts w:ascii="Arial" w:hAnsi="Arial" w:cs="Arial"/>
          <w:sz w:val="20"/>
          <w:szCs w:val="20"/>
          <w:highlight w:val="yellow"/>
        </w:rPr>
        <w:t>8</w:t>
      </w:r>
      <w:r w:rsidR="00F00CD3" w:rsidRPr="007A682B">
        <w:rPr>
          <w:rFonts w:ascii="Arial" w:hAnsi="Arial" w:cs="Arial"/>
          <w:sz w:val="20"/>
          <w:szCs w:val="20"/>
          <w:highlight w:val="yellow"/>
        </w:rPr>
        <w:t>A-D</w:t>
      </w:r>
      <w:r w:rsidR="003F230C" w:rsidRPr="007A682B">
        <w:rPr>
          <w:rFonts w:ascii="Arial" w:hAnsi="Arial" w:cs="Arial"/>
          <w:sz w:val="20"/>
          <w:szCs w:val="20"/>
        </w:rPr>
        <w:t>, Appendix S1</w:t>
      </w:r>
      <w:r w:rsidR="00F00CD3" w:rsidRPr="007A682B">
        <w:rPr>
          <w:rFonts w:ascii="Arial" w:hAnsi="Arial" w:cs="Arial"/>
          <w:sz w:val="20"/>
          <w:szCs w:val="20"/>
        </w:rPr>
        <w:t>).</w:t>
      </w:r>
    </w:p>
    <w:p w14:paraId="18360575" w14:textId="7563BB35" w:rsidR="00F84539" w:rsidRPr="007A682B" w:rsidRDefault="00F00CD3" w:rsidP="00F00CD3">
      <w:pPr>
        <w:rPr>
          <w:rFonts w:ascii="Arial" w:hAnsi="Arial" w:cs="Arial"/>
          <w:sz w:val="20"/>
          <w:szCs w:val="20"/>
        </w:rPr>
      </w:pPr>
      <w:r w:rsidRPr="007A682B">
        <w:rPr>
          <w:rFonts w:ascii="Arial" w:hAnsi="Arial" w:cs="Arial"/>
          <w:sz w:val="20"/>
          <w:szCs w:val="20"/>
        </w:rPr>
        <w:tab/>
      </w:r>
      <w:r w:rsidR="00D770B1" w:rsidRPr="007A682B">
        <w:rPr>
          <w:rFonts w:ascii="Arial" w:hAnsi="Arial" w:cs="Arial"/>
          <w:sz w:val="20"/>
          <w:szCs w:val="20"/>
        </w:rPr>
        <w:t>We found</w:t>
      </w:r>
      <w:r w:rsidRPr="007A682B">
        <w:rPr>
          <w:rFonts w:ascii="Arial" w:hAnsi="Arial" w:cs="Arial"/>
          <w:sz w:val="20"/>
          <w:szCs w:val="20"/>
        </w:rPr>
        <w:t xml:space="preserve"> significant </w:t>
      </w:r>
      <w:r w:rsidR="00D770B1" w:rsidRPr="007A682B">
        <w:rPr>
          <w:rFonts w:ascii="Arial" w:hAnsi="Arial" w:cs="Arial"/>
          <w:sz w:val="20"/>
          <w:szCs w:val="20"/>
        </w:rPr>
        <w:t>differences</w:t>
      </w:r>
      <w:r w:rsidRPr="007A682B">
        <w:rPr>
          <w:rFonts w:ascii="Arial" w:hAnsi="Arial" w:cs="Arial"/>
          <w:sz w:val="20"/>
          <w:szCs w:val="20"/>
        </w:rPr>
        <w:t xml:space="preserve"> in the populations of 1_NSC</w:t>
      </w:r>
      <w:r w:rsidR="006728FC">
        <w:rPr>
          <w:rFonts w:ascii="Arial" w:hAnsi="Arial" w:cs="Arial"/>
          <w:sz w:val="20"/>
          <w:szCs w:val="20"/>
        </w:rPr>
        <w:t xml:space="preserve"> (</w:t>
      </w:r>
      <w:r w:rsidR="006728FC" w:rsidRPr="00530E82">
        <w:rPr>
          <w:rFonts w:ascii="Arial" w:hAnsi="Arial" w:cs="Arial"/>
          <w:sz w:val="20"/>
          <w:szCs w:val="20"/>
        </w:rPr>
        <w:t>χ</w:t>
      </w:r>
      <w:r w:rsidR="006728FC">
        <w:rPr>
          <w:rFonts w:ascii="Arial" w:hAnsi="Arial" w:cs="Arial"/>
          <w:sz w:val="20"/>
          <w:szCs w:val="20"/>
          <w:vertAlign w:val="superscript"/>
        </w:rPr>
        <w:t>2</w:t>
      </w:r>
      <w:r w:rsidR="006728FC">
        <w:rPr>
          <w:rFonts w:ascii="Arial" w:hAnsi="Arial" w:cs="Arial"/>
          <w:sz w:val="20"/>
          <w:szCs w:val="20"/>
        </w:rPr>
        <w:t>(2</w:t>
      </w:r>
      <w:r w:rsidR="006728FC" w:rsidRPr="007A682B">
        <w:rPr>
          <w:rFonts w:ascii="Arial" w:hAnsi="Arial" w:cs="Arial"/>
          <w:sz w:val="20"/>
          <w:szCs w:val="20"/>
        </w:rPr>
        <w:t>)</w:t>
      </w:r>
      <w:r w:rsidR="006728FC">
        <w:rPr>
          <w:rFonts w:ascii="Arial" w:hAnsi="Arial" w:cs="Arial"/>
          <w:sz w:val="20"/>
          <w:szCs w:val="20"/>
        </w:rPr>
        <w:t xml:space="preserve"> = 10.621, </w:t>
      </w:r>
      <w:r w:rsidR="006728FC">
        <w:rPr>
          <w:rFonts w:ascii="Arial" w:hAnsi="Arial" w:cs="Arial"/>
          <w:i/>
          <w:iCs/>
          <w:sz w:val="20"/>
          <w:szCs w:val="20"/>
        </w:rPr>
        <w:t>p</w:t>
      </w:r>
      <w:r w:rsidR="006728FC">
        <w:rPr>
          <w:rFonts w:ascii="Arial" w:hAnsi="Arial" w:cs="Arial"/>
          <w:sz w:val="20"/>
          <w:szCs w:val="20"/>
        </w:rPr>
        <w:t xml:space="preserve"> = 0.005)</w:t>
      </w:r>
      <w:r w:rsidRPr="007A682B">
        <w:rPr>
          <w:rFonts w:ascii="Arial" w:hAnsi="Arial" w:cs="Arial"/>
          <w:sz w:val="20"/>
          <w:szCs w:val="20"/>
        </w:rPr>
        <w:t xml:space="preserve"> and 1_NP</w:t>
      </w:r>
      <w:r w:rsidR="006728FC">
        <w:rPr>
          <w:rFonts w:ascii="Arial" w:hAnsi="Arial" w:cs="Arial"/>
          <w:sz w:val="20"/>
          <w:szCs w:val="20"/>
        </w:rPr>
        <w:t xml:space="preserve"> (</w:t>
      </w:r>
      <w:r w:rsidR="006728FC" w:rsidRPr="00530E82">
        <w:rPr>
          <w:rFonts w:ascii="Arial" w:hAnsi="Arial" w:cs="Arial"/>
          <w:sz w:val="20"/>
          <w:szCs w:val="20"/>
        </w:rPr>
        <w:t>χ</w:t>
      </w:r>
      <w:r w:rsidR="006728FC">
        <w:rPr>
          <w:rFonts w:ascii="Arial" w:hAnsi="Arial" w:cs="Arial"/>
          <w:sz w:val="20"/>
          <w:szCs w:val="20"/>
          <w:vertAlign w:val="superscript"/>
        </w:rPr>
        <w:t>2</w:t>
      </w:r>
      <w:r w:rsidR="006728FC">
        <w:rPr>
          <w:rFonts w:ascii="Arial" w:hAnsi="Arial" w:cs="Arial"/>
          <w:sz w:val="20"/>
          <w:szCs w:val="20"/>
        </w:rPr>
        <w:t>(2</w:t>
      </w:r>
      <w:r w:rsidR="006728FC" w:rsidRPr="007A682B">
        <w:rPr>
          <w:rFonts w:ascii="Arial" w:hAnsi="Arial" w:cs="Arial"/>
          <w:sz w:val="20"/>
          <w:szCs w:val="20"/>
        </w:rPr>
        <w:t>)</w:t>
      </w:r>
      <w:r w:rsidR="006728FC">
        <w:rPr>
          <w:rFonts w:ascii="Arial" w:hAnsi="Arial" w:cs="Arial"/>
          <w:sz w:val="20"/>
          <w:szCs w:val="20"/>
        </w:rPr>
        <w:t xml:space="preserve"> = 30.564, </w:t>
      </w:r>
      <w:r w:rsidR="006728FC">
        <w:rPr>
          <w:rFonts w:ascii="Arial" w:hAnsi="Arial" w:cs="Arial"/>
          <w:i/>
          <w:iCs/>
          <w:sz w:val="20"/>
          <w:szCs w:val="20"/>
        </w:rPr>
        <w:t>p</w:t>
      </w:r>
      <w:r w:rsidR="006728FC">
        <w:rPr>
          <w:rFonts w:ascii="Arial" w:hAnsi="Arial" w:cs="Arial"/>
          <w:sz w:val="20"/>
          <w:szCs w:val="20"/>
        </w:rPr>
        <w:t xml:space="preserve"> &lt; 0.001)</w:t>
      </w:r>
      <w:r w:rsidRPr="007A682B">
        <w:rPr>
          <w:rFonts w:ascii="Arial" w:hAnsi="Arial" w:cs="Arial"/>
          <w:sz w:val="20"/>
          <w:szCs w:val="20"/>
        </w:rPr>
        <w:t xml:space="preserve"> by phase. In intermediates, the </w:t>
      </w:r>
      <w:r w:rsidR="00D770B1" w:rsidRPr="007A682B">
        <w:rPr>
          <w:rFonts w:ascii="Arial" w:hAnsi="Arial" w:cs="Arial"/>
          <w:sz w:val="20"/>
          <w:szCs w:val="20"/>
        </w:rPr>
        <w:t>abundance</w:t>
      </w:r>
      <w:r w:rsidRPr="007A682B">
        <w:rPr>
          <w:rFonts w:ascii="Arial" w:hAnsi="Arial" w:cs="Arial"/>
          <w:sz w:val="20"/>
          <w:szCs w:val="20"/>
        </w:rPr>
        <w:t xml:space="preserve"> of 1_NSC was </w:t>
      </w:r>
      <w:r w:rsidR="006728FC">
        <w:rPr>
          <w:rFonts w:ascii="Arial" w:hAnsi="Arial" w:cs="Arial"/>
          <w:sz w:val="20"/>
          <w:szCs w:val="20"/>
        </w:rPr>
        <w:t>1</w:t>
      </w:r>
      <w:r w:rsidR="009D76F1">
        <w:rPr>
          <w:rFonts w:ascii="Arial" w:hAnsi="Arial" w:cs="Arial"/>
          <w:sz w:val="20"/>
          <w:szCs w:val="20"/>
        </w:rPr>
        <w:t>7</w:t>
      </w:r>
      <w:r w:rsidR="006728FC">
        <w:rPr>
          <w:rFonts w:ascii="Arial" w:hAnsi="Arial" w:cs="Arial"/>
          <w:sz w:val="20"/>
          <w:szCs w:val="20"/>
        </w:rPr>
        <w:t>%</w:t>
      </w:r>
      <w:r w:rsidRPr="007A682B">
        <w:rPr>
          <w:rFonts w:ascii="Arial" w:hAnsi="Arial" w:cs="Arial"/>
          <w:sz w:val="20"/>
          <w:szCs w:val="20"/>
        </w:rPr>
        <w:t xml:space="preserve"> </w:t>
      </w:r>
      <w:r w:rsidR="00F84539" w:rsidRPr="007A682B">
        <w:rPr>
          <w:rFonts w:ascii="Arial" w:hAnsi="Arial" w:cs="Arial"/>
          <w:sz w:val="20"/>
          <w:szCs w:val="20"/>
        </w:rPr>
        <w:t>lower than in</w:t>
      </w:r>
      <w:r w:rsidRPr="007A682B">
        <w:rPr>
          <w:rFonts w:ascii="Arial" w:hAnsi="Arial" w:cs="Arial"/>
          <w:sz w:val="20"/>
          <w:szCs w:val="20"/>
        </w:rPr>
        <w:t xml:space="preserve"> males </w:t>
      </w:r>
      <w:r w:rsidR="00F84539" w:rsidRPr="007A682B">
        <w:rPr>
          <w:rFonts w:ascii="Arial" w:hAnsi="Arial" w:cs="Arial"/>
          <w:sz w:val="20"/>
          <w:szCs w:val="20"/>
        </w:rPr>
        <w:t xml:space="preserve">or </w:t>
      </w:r>
      <w:r w:rsidRPr="007A682B">
        <w:rPr>
          <w:rFonts w:ascii="Arial" w:hAnsi="Arial" w:cs="Arial"/>
          <w:sz w:val="20"/>
          <w:szCs w:val="20"/>
        </w:rPr>
        <w:t xml:space="preserve">females </w:t>
      </w:r>
      <w:r w:rsidR="00915B2F" w:rsidRPr="007A682B">
        <w:rPr>
          <w:rFonts w:ascii="Arial" w:hAnsi="Arial" w:cs="Arial"/>
          <w:sz w:val="20"/>
          <w:szCs w:val="20"/>
        </w:rPr>
        <w:t>(</w:t>
      </w:r>
      <w:r w:rsidRPr="007A682B">
        <w:rPr>
          <w:rFonts w:ascii="Arial" w:hAnsi="Arial" w:cs="Arial"/>
          <w:sz w:val="20"/>
          <w:szCs w:val="20"/>
          <w:highlight w:val="yellow"/>
        </w:rPr>
        <w:t>Fig. 4</w:t>
      </w:r>
      <w:r w:rsidR="00A802D8" w:rsidRPr="007A682B">
        <w:rPr>
          <w:rFonts w:ascii="Arial" w:hAnsi="Arial" w:cs="Arial"/>
          <w:sz w:val="20"/>
          <w:szCs w:val="20"/>
        </w:rPr>
        <w:t>D</w:t>
      </w:r>
      <w:r w:rsidR="00BC1A9E" w:rsidRPr="007A682B">
        <w:rPr>
          <w:rFonts w:ascii="Arial" w:hAnsi="Arial" w:cs="Arial"/>
          <w:sz w:val="20"/>
          <w:szCs w:val="20"/>
        </w:rPr>
        <w:t>, Appendix S1</w:t>
      </w:r>
      <w:r w:rsidRPr="007A682B">
        <w:rPr>
          <w:rFonts w:ascii="Arial" w:hAnsi="Arial" w:cs="Arial"/>
          <w:sz w:val="20"/>
          <w:szCs w:val="20"/>
        </w:rPr>
        <w:t>). Conversely, intermediates had the largest population of 1_NP</w:t>
      </w:r>
      <w:r w:rsidR="006728FC">
        <w:rPr>
          <w:rFonts w:ascii="Arial" w:hAnsi="Arial" w:cs="Arial"/>
          <w:sz w:val="20"/>
          <w:szCs w:val="20"/>
        </w:rPr>
        <w:t>, 1.1-fold larger than males and 1.3-fold larger than females</w:t>
      </w:r>
      <w:r w:rsidRPr="007A682B">
        <w:rPr>
          <w:rFonts w:ascii="Arial" w:hAnsi="Arial" w:cs="Arial"/>
          <w:sz w:val="20"/>
          <w:szCs w:val="20"/>
        </w:rPr>
        <w:t>, while females had the smallest</w:t>
      </w:r>
      <w:r w:rsidR="006728FC">
        <w:rPr>
          <w:rFonts w:ascii="Arial" w:hAnsi="Arial" w:cs="Arial"/>
          <w:sz w:val="20"/>
          <w:szCs w:val="20"/>
        </w:rPr>
        <w:t>, 17% smaller than males</w:t>
      </w:r>
      <w:r w:rsidRPr="007A682B">
        <w:rPr>
          <w:rFonts w:ascii="Arial" w:hAnsi="Arial" w:cs="Arial"/>
          <w:sz w:val="20"/>
          <w:szCs w:val="20"/>
        </w:rPr>
        <w:t xml:space="preserve"> </w:t>
      </w:r>
      <w:r w:rsidR="00915B2F" w:rsidRPr="007A682B">
        <w:rPr>
          <w:rFonts w:ascii="Arial" w:hAnsi="Arial" w:cs="Arial"/>
          <w:sz w:val="20"/>
          <w:szCs w:val="20"/>
        </w:rPr>
        <w:t>(</w:t>
      </w:r>
      <w:r w:rsidRPr="007A682B">
        <w:rPr>
          <w:rFonts w:ascii="Arial" w:hAnsi="Arial" w:cs="Arial"/>
          <w:sz w:val="20"/>
          <w:szCs w:val="20"/>
          <w:highlight w:val="yellow"/>
        </w:rPr>
        <w:t>Fig. 4</w:t>
      </w:r>
      <w:r w:rsidR="00A802D8" w:rsidRPr="007A682B">
        <w:rPr>
          <w:rFonts w:ascii="Arial" w:hAnsi="Arial" w:cs="Arial"/>
          <w:sz w:val="20"/>
          <w:szCs w:val="20"/>
        </w:rPr>
        <w:t>E</w:t>
      </w:r>
      <w:r w:rsidR="00BC1A9E" w:rsidRPr="007A682B">
        <w:rPr>
          <w:rFonts w:ascii="Arial" w:hAnsi="Arial" w:cs="Arial"/>
          <w:sz w:val="20"/>
          <w:szCs w:val="20"/>
        </w:rPr>
        <w:t>, Appendix S1</w:t>
      </w:r>
      <w:r w:rsidRPr="007A682B">
        <w:rPr>
          <w:rFonts w:ascii="Arial" w:hAnsi="Arial" w:cs="Arial"/>
          <w:sz w:val="20"/>
          <w:szCs w:val="20"/>
        </w:rPr>
        <w:t xml:space="preserve">). </w:t>
      </w:r>
      <w:r w:rsidR="00F84539" w:rsidRPr="007A682B">
        <w:rPr>
          <w:rFonts w:ascii="Arial" w:hAnsi="Arial" w:cs="Arial"/>
          <w:sz w:val="20"/>
          <w:szCs w:val="20"/>
        </w:rPr>
        <w:t xml:space="preserve">This reciprocal shift in the composition of the </w:t>
      </w:r>
      <w:r w:rsidR="00D770B1" w:rsidRPr="007A682B">
        <w:rPr>
          <w:rFonts w:ascii="Arial" w:hAnsi="Arial" w:cs="Arial"/>
          <w:sz w:val="20"/>
          <w:szCs w:val="20"/>
        </w:rPr>
        <w:t>RGC</w:t>
      </w:r>
      <w:r w:rsidR="00F84539" w:rsidRPr="007A682B">
        <w:rPr>
          <w:rFonts w:ascii="Arial" w:hAnsi="Arial" w:cs="Arial"/>
          <w:sz w:val="20"/>
          <w:szCs w:val="20"/>
        </w:rPr>
        <w:t xml:space="preserve"> population is consistent with increased progression from the </w:t>
      </w:r>
      <w:r w:rsidR="00120EF9" w:rsidRPr="007A682B">
        <w:rPr>
          <w:rFonts w:ascii="Arial" w:hAnsi="Arial" w:cs="Arial"/>
          <w:sz w:val="20"/>
          <w:szCs w:val="20"/>
        </w:rPr>
        <w:t>NSC state</w:t>
      </w:r>
      <w:r w:rsidR="00F84539" w:rsidRPr="007A682B">
        <w:rPr>
          <w:rFonts w:ascii="Arial" w:hAnsi="Arial" w:cs="Arial"/>
          <w:sz w:val="20"/>
          <w:szCs w:val="20"/>
        </w:rPr>
        <w:t xml:space="preserve"> to the </w:t>
      </w:r>
      <w:r w:rsidR="00120EF9" w:rsidRPr="007A682B">
        <w:rPr>
          <w:rFonts w:ascii="Arial" w:hAnsi="Arial" w:cs="Arial"/>
          <w:sz w:val="20"/>
          <w:szCs w:val="20"/>
        </w:rPr>
        <w:t>NP</w:t>
      </w:r>
      <w:r w:rsidR="00F84539" w:rsidRPr="007A682B">
        <w:rPr>
          <w:rFonts w:ascii="Arial" w:hAnsi="Arial" w:cs="Arial"/>
          <w:sz w:val="20"/>
          <w:szCs w:val="20"/>
        </w:rPr>
        <w:t xml:space="preserve"> state during the intermediate phase.</w:t>
      </w:r>
    </w:p>
    <w:p w14:paraId="673F2C2D" w14:textId="1906A331" w:rsidR="00F00CD3" w:rsidRPr="007A682B" w:rsidRDefault="00F00CD3" w:rsidP="00D770B1">
      <w:pPr>
        <w:ind w:firstLine="720"/>
        <w:rPr>
          <w:rFonts w:ascii="Arial" w:hAnsi="Arial" w:cs="Arial"/>
          <w:sz w:val="20"/>
          <w:szCs w:val="20"/>
        </w:rPr>
      </w:pPr>
      <w:r w:rsidRPr="007A682B">
        <w:rPr>
          <w:rFonts w:ascii="Arial" w:hAnsi="Arial" w:cs="Arial"/>
          <w:sz w:val="20"/>
          <w:szCs w:val="20"/>
        </w:rPr>
        <w:t>To assess the neurogenic state of 1_NP in each phase, we</w:t>
      </w:r>
      <w:r w:rsidR="00120EF9" w:rsidRPr="007A682B">
        <w:rPr>
          <w:rFonts w:ascii="Arial" w:hAnsi="Arial" w:cs="Arial"/>
          <w:sz w:val="20"/>
          <w:szCs w:val="20"/>
        </w:rPr>
        <w:t xml:space="preserve"> next</w:t>
      </w:r>
      <w:r w:rsidRPr="007A682B">
        <w:rPr>
          <w:rFonts w:ascii="Arial" w:hAnsi="Arial" w:cs="Arial"/>
          <w:sz w:val="20"/>
          <w:szCs w:val="20"/>
        </w:rPr>
        <w:t xml:space="preserve"> created a “neuron differentiation” gene expression module </w:t>
      </w:r>
      <w:r w:rsidR="00F84539" w:rsidRPr="007A682B">
        <w:rPr>
          <w:rFonts w:ascii="Arial" w:hAnsi="Arial" w:cs="Arial"/>
          <w:sz w:val="20"/>
          <w:szCs w:val="20"/>
        </w:rPr>
        <w:t xml:space="preserve">composed </w:t>
      </w:r>
      <w:r w:rsidRPr="007A682B">
        <w:rPr>
          <w:rFonts w:ascii="Arial" w:hAnsi="Arial" w:cs="Arial"/>
          <w:sz w:val="20"/>
          <w:szCs w:val="20"/>
        </w:rPr>
        <w:t xml:space="preserve">of genes annotated with that GO term (GO: 0030182,). Males and intermediates expressed this module at similar levels, while females expressed this module </w:t>
      </w:r>
      <w:r w:rsidR="00837E4E">
        <w:rPr>
          <w:rFonts w:ascii="Arial" w:hAnsi="Arial" w:cs="Arial"/>
          <w:sz w:val="20"/>
          <w:szCs w:val="20"/>
        </w:rPr>
        <w:t>10%</w:t>
      </w:r>
      <w:r w:rsidRPr="007A682B">
        <w:rPr>
          <w:rFonts w:ascii="Arial" w:hAnsi="Arial" w:cs="Arial"/>
          <w:sz w:val="20"/>
          <w:szCs w:val="20"/>
        </w:rPr>
        <w:t xml:space="preserve"> less </w:t>
      </w:r>
      <w:r w:rsidR="008D37D7" w:rsidRPr="007A682B">
        <w:rPr>
          <w:rFonts w:ascii="Arial" w:hAnsi="Arial" w:cs="Arial"/>
          <w:sz w:val="20"/>
          <w:szCs w:val="20"/>
        </w:rPr>
        <w:t>(</w:t>
      </w:r>
      <w:r w:rsidR="00837E4E">
        <w:rPr>
          <w:rFonts w:ascii="Arial" w:hAnsi="Arial" w:cs="Arial"/>
          <w:sz w:val="20"/>
          <w:szCs w:val="20"/>
        </w:rPr>
        <w:t xml:space="preserve">F(2,16)=8.502, </w:t>
      </w:r>
      <w:r w:rsidR="00837E4E" w:rsidRPr="00837E4E">
        <w:rPr>
          <w:rFonts w:ascii="Arial" w:hAnsi="Arial" w:cs="Arial"/>
          <w:i/>
          <w:iCs/>
          <w:sz w:val="20"/>
          <w:szCs w:val="20"/>
        </w:rPr>
        <w:t>p</w:t>
      </w:r>
      <w:r w:rsidR="00837E4E">
        <w:rPr>
          <w:rFonts w:ascii="Arial" w:hAnsi="Arial" w:cs="Arial"/>
          <w:sz w:val="20"/>
          <w:szCs w:val="20"/>
        </w:rPr>
        <w:t xml:space="preserve"> =0.003,</w:t>
      </w:r>
      <w:r w:rsidRPr="007A682B">
        <w:rPr>
          <w:rFonts w:ascii="Arial" w:hAnsi="Arial" w:cs="Arial"/>
          <w:sz w:val="20"/>
          <w:szCs w:val="20"/>
          <w:highlight w:val="yellow"/>
        </w:rPr>
        <w:t>Fig. 4</w:t>
      </w:r>
      <w:r w:rsidR="00A802D8" w:rsidRPr="007A682B">
        <w:rPr>
          <w:rFonts w:ascii="Arial" w:hAnsi="Arial" w:cs="Arial"/>
          <w:sz w:val="20"/>
          <w:szCs w:val="20"/>
        </w:rPr>
        <w:t>F</w:t>
      </w:r>
      <w:r w:rsidR="00BC1A9E" w:rsidRPr="007A682B">
        <w:rPr>
          <w:rFonts w:ascii="Arial" w:hAnsi="Arial" w:cs="Arial"/>
          <w:sz w:val="20"/>
          <w:szCs w:val="20"/>
        </w:rPr>
        <w:t>, Appendix S1</w:t>
      </w:r>
      <w:r w:rsidRPr="007A682B">
        <w:rPr>
          <w:rFonts w:ascii="Arial" w:hAnsi="Arial" w:cs="Arial"/>
          <w:sz w:val="20"/>
          <w:szCs w:val="20"/>
        </w:rPr>
        <w:t>). This arrangement supports a model where the NSC population is depleted in intermediates at a higher rate than it is replenished and these NSCs become NPs. In intermediates, this expanded NP population undergoes neurogenesis at a similar rate as it did in males leading to an overall increase in neurogenesis. During the intermediate-to-female transition, the rate of neurogenesis decreases as does the population of 1_NP</w:t>
      </w:r>
      <w:r w:rsidR="00120EF9" w:rsidRPr="007A682B">
        <w:rPr>
          <w:rFonts w:ascii="Arial" w:hAnsi="Arial" w:cs="Arial"/>
          <w:sz w:val="20"/>
          <w:szCs w:val="20"/>
        </w:rPr>
        <w:t xml:space="preserve"> leading to reduced neurogenesis</w:t>
      </w:r>
      <w:r w:rsidRPr="007A682B">
        <w:rPr>
          <w:rFonts w:ascii="Arial" w:hAnsi="Arial" w:cs="Arial"/>
          <w:sz w:val="20"/>
          <w:szCs w:val="20"/>
        </w:rPr>
        <w:t xml:space="preserve">.  </w:t>
      </w:r>
      <w:r w:rsidR="008C3E81" w:rsidRPr="007A682B">
        <w:rPr>
          <w:rFonts w:ascii="Arial" w:hAnsi="Arial" w:cs="Arial"/>
          <w:sz w:val="20"/>
          <w:szCs w:val="20"/>
        </w:rPr>
        <w:t>T</w:t>
      </w:r>
      <w:r w:rsidR="00F84539" w:rsidRPr="007A682B">
        <w:rPr>
          <w:rFonts w:ascii="Arial" w:hAnsi="Arial" w:cs="Arial"/>
          <w:sz w:val="20"/>
          <w:szCs w:val="20"/>
        </w:rPr>
        <w:t>hese findings are consistent with increased recruitment of neural stem cells into the neurogenic lineage during the intermediate phase, followed by reduced neurogenic activity in females.</w:t>
      </w:r>
    </w:p>
    <w:p w14:paraId="242640B8" w14:textId="7D8EA3C5" w:rsidR="00267A9B" w:rsidRPr="007A682B" w:rsidRDefault="00267A9B" w:rsidP="00F00CD3">
      <w:pPr>
        <w:rPr>
          <w:rFonts w:ascii="Arial" w:hAnsi="Arial" w:cs="Arial"/>
          <w:sz w:val="20"/>
          <w:szCs w:val="20"/>
        </w:rPr>
      </w:pPr>
    </w:p>
    <w:p w14:paraId="55AB43D3" w14:textId="3DA45963" w:rsidR="00267A9B" w:rsidRPr="007A682B" w:rsidRDefault="00267A9B" w:rsidP="00267A9B">
      <w:pPr>
        <w:rPr>
          <w:rFonts w:ascii="Arial" w:hAnsi="Arial" w:cs="Arial"/>
          <w:b/>
          <w:bCs/>
          <w:sz w:val="20"/>
          <w:szCs w:val="20"/>
        </w:rPr>
      </w:pPr>
      <w:r w:rsidRPr="007A682B">
        <w:rPr>
          <w:rFonts w:ascii="Arial" w:hAnsi="Arial" w:cs="Arial"/>
          <w:b/>
          <w:bCs/>
          <w:sz w:val="20"/>
          <w:szCs w:val="20"/>
        </w:rPr>
        <w:t xml:space="preserve">Evidence for </w:t>
      </w:r>
      <w:r w:rsidR="002C7C6B" w:rsidRPr="007A682B">
        <w:rPr>
          <w:rFonts w:ascii="Arial" w:hAnsi="Arial" w:cs="Arial"/>
          <w:b/>
          <w:bCs/>
          <w:sz w:val="20"/>
          <w:szCs w:val="20"/>
        </w:rPr>
        <w:t xml:space="preserve">Neurogenesis and </w:t>
      </w:r>
      <w:r w:rsidR="00C7398C" w:rsidRPr="007A682B">
        <w:rPr>
          <w:rFonts w:ascii="Arial" w:hAnsi="Arial" w:cs="Arial"/>
          <w:b/>
          <w:bCs/>
          <w:sz w:val="20"/>
          <w:szCs w:val="20"/>
        </w:rPr>
        <w:t>Synaptic Plasticity</w:t>
      </w:r>
      <w:r w:rsidR="002C7C6B" w:rsidRPr="007A682B">
        <w:rPr>
          <w:rFonts w:ascii="Arial" w:hAnsi="Arial" w:cs="Arial"/>
          <w:b/>
          <w:bCs/>
          <w:sz w:val="20"/>
          <w:szCs w:val="20"/>
        </w:rPr>
        <w:t xml:space="preserve"> </w:t>
      </w:r>
      <w:r w:rsidRPr="007A682B">
        <w:rPr>
          <w:rFonts w:ascii="Arial" w:hAnsi="Arial" w:cs="Arial"/>
          <w:b/>
          <w:bCs/>
          <w:sz w:val="20"/>
          <w:szCs w:val="20"/>
        </w:rPr>
        <w:t>in 6_POA_Mixed</w:t>
      </w:r>
    </w:p>
    <w:p w14:paraId="5DF68DFB" w14:textId="3047034A" w:rsidR="008C3E81" w:rsidRPr="007A682B" w:rsidRDefault="00F00CD3" w:rsidP="003E4206">
      <w:pPr>
        <w:ind w:firstLine="720"/>
        <w:rPr>
          <w:rFonts w:ascii="Arial" w:hAnsi="Arial" w:cs="Arial"/>
          <w:sz w:val="20"/>
          <w:szCs w:val="20"/>
        </w:rPr>
      </w:pPr>
      <w:r w:rsidRPr="007A682B">
        <w:rPr>
          <w:rFonts w:ascii="Arial" w:hAnsi="Arial" w:cs="Arial"/>
          <w:sz w:val="20"/>
          <w:szCs w:val="20"/>
        </w:rPr>
        <w:t>Given the changes in cell population (</w:t>
      </w:r>
      <w:r w:rsidRPr="007A682B">
        <w:rPr>
          <w:rFonts w:ascii="Arial" w:hAnsi="Arial" w:cs="Arial"/>
          <w:sz w:val="20"/>
          <w:szCs w:val="20"/>
          <w:highlight w:val="yellow"/>
        </w:rPr>
        <w:t>Fig.3B</w:t>
      </w:r>
      <w:r w:rsidRPr="007A682B">
        <w:rPr>
          <w:rFonts w:ascii="Arial" w:hAnsi="Arial" w:cs="Arial"/>
          <w:sz w:val="20"/>
          <w:szCs w:val="20"/>
        </w:rPr>
        <w:t>), late sex change prediction (</w:t>
      </w:r>
      <w:r w:rsidRPr="007A682B">
        <w:rPr>
          <w:rFonts w:ascii="Arial" w:hAnsi="Arial" w:cs="Arial"/>
          <w:sz w:val="20"/>
          <w:szCs w:val="20"/>
          <w:highlight w:val="yellow"/>
        </w:rPr>
        <w:t>Fig.3E</w:t>
      </w:r>
      <w:r w:rsidRPr="007A682B">
        <w:rPr>
          <w:rFonts w:ascii="Arial" w:hAnsi="Arial" w:cs="Arial"/>
          <w:sz w:val="20"/>
          <w:szCs w:val="20"/>
        </w:rPr>
        <w:t>), and large number of DEGs (</w:t>
      </w:r>
      <w:r w:rsidRPr="007A682B">
        <w:rPr>
          <w:rFonts w:ascii="Arial" w:hAnsi="Arial" w:cs="Arial"/>
          <w:sz w:val="20"/>
          <w:szCs w:val="20"/>
          <w:highlight w:val="yellow"/>
        </w:rPr>
        <w:t>Fig. 3C</w:t>
      </w:r>
      <w:r w:rsidRPr="007A682B">
        <w:rPr>
          <w:rFonts w:ascii="Arial" w:hAnsi="Arial" w:cs="Arial"/>
          <w:sz w:val="20"/>
          <w:szCs w:val="20"/>
        </w:rPr>
        <w:t>), we next focused our analysis on 6_POA_Mixed (</w:t>
      </w:r>
      <w:r w:rsidRPr="007A682B">
        <w:rPr>
          <w:rFonts w:ascii="Arial" w:hAnsi="Arial" w:cs="Arial"/>
          <w:sz w:val="20"/>
          <w:szCs w:val="20"/>
          <w:highlight w:val="yellow"/>
        </w:rPr>
        <w:t>Fig. 5A</w:t>
      </w:r>
      <w:r w:rsidRPr="007A682B">
        <w:rPr>
          <w:rFonts w:ascii="Arial" w:hAnsi="Arial" w:cs="Arial"/>
          <w:sz w:val="20"/>
          <w:szCs w:val="20"/>
        </w:rPr>
        <w:t>).</w:t>
      </w:r>
      <w:r w:rsidR="008C3E81" w:rsidRPr="007A682B">
        <w:rPr>
          <w:rFonts w:ascii="Arial" w:hAnsi="Arial" w:cs="Arial"/>
          <w:sz w:val="20"/>
          <w:szCs w:val="20"/>
        </w:rPr>
        <w:t xml:space="preserve"> Previous studies have demonstrated that neurogenesis occurs in the anterior </w:t>
      </w:r>
      <w:r w:rsidR="00D770B1" w:rsidRPr="007A682B">
        <w:rPr>
          <w:rFonts w:ascii="Arial" w:hAnsi="Arial" w:cs="Arial"/>
          <w:sz w:val="20"/>
          <w:szCs w:val="20"/>
        </w:rPr>
        <w:t>POA</w:t>
      </w:r>
      <w:r w:rsidR="008C3E81" w:rsidRPr="007A682B">
        <w:rPr>
          <w:rFonts w:ascii="Arial" w:hAnsi="Arial" w:cs="Arial"/>
          <w:sz w:val="20"/>
          <w:szCs w:val="20"/>
        </w:rPr>
        <w:t xml:space="preserve"> during sex change </w:t>
      </w:r>
      <w:r w:rsidR="008C3E81"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{"citationID":"JSAeGNA5","properties":{"unsorted":false,"formattedCitation":"(6)","plainCitation":"(6)","noteIndex":0},"citationItems":[{"id":16,"uris":["http://zotero.org/users/11313215/items/VGA9PBJ3"],"itemData":{"id":16,"type":"article-journal","abstract":"Sex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8C3E81" w:rsidRPr="007A682B">
        <w:rPr>
          <w:rFonts w:ascii="Arial" w:hAnsi="Arial" w:cs="Arial"/>
          <w:sz w:val="20"/>
          <w:szCs w:val="20"/>
        </w:rPr>
        <w:fldChar w:fldCharType="separate"/>
      </w:r>
      <w:r w:rsidR="0072390C" w:rsidRPr="007A682B">
        <w:rPr>
          <w:rFonts w:ascii="Arial" w:hAnsi="Arial" w:cs="Arial"/>
          <w:sz w:val="20"/>
          <w:szCs w:val="20"/>
        </w:rPr>
        <w:t>(6)</w:t>
      </w:r>
      <w:r w:rsidR="008C3E81" w:rsidRPr="007A682B">
        <w:rPr>
          <w:rFonts w:ascii="Arial" w:hAnsi="Arial" w:cs="Arial"/>
          <w:sz w:val="20"/>
          <w:szCs w:val="20"/>
        </w:rPr>
        <w:fldChar w:fldCharType="end"/>
      </w:r>
      <w:r w:rsidR="008C3E81" w:rsidRPr="007A682B">
        <w:rPr>
          <w:rFonts w:ascii="Arial" w:hAnsi="Arial" w:cs="Arial"/>
          <w:sz w:val="20"/>
          <w:szCs w:val="20"/>
        </w:rPr>
        <w:t xml:space="preserve">, but the identity of the newly generated cells have remained unknown. We therefore asked whether </w:t>
      </w:r>
      <w:r w:rsidR="00C7398C" w:rsidRPr="007A682B">
        <w:rPr>
          <w:rFonts w:ascii="Arial" w:hAnsi="Arial" w:cs="Arial"/>
          <w:sz w:val="20"/>
          <w:szCs w:val="20"/>
        </w:rPr>
        <w:t>there was a transcriptional signature of neurogenesis in 6_POA_Mixed.</w:t>
      </w:r>
    </w:p>
    <w:p w14:paraId="664BAC59" w14:textId="4450D4ED" w:rsidR="00C7398C" w:rsidRPr="007A682B" w:rsidRDefault="00C7398C" w:rsidP="00C7398C">
      <w:pPr>
        <w:ind w:firstLine="720"/>
        <w:rPr>
          <w:rFonts w:ascii="Arial" w:hAnsi="Arial" w:cs="Arial"/>
          <w:sz w:val="20"/>
          <w:szCs w:val="20"/>
        </w:rPr>
      </w:pPr>
      <w:r w:rsidRPr="007A682B">
        <w:rPr>
          <w:rFonts w:ascii="Arial" w:hAnsi="Arial" w:cs="Arial"/>
          <w:sz w:val="20"/>
          <w:szCs w:val="20"/>
        </w:rPr>
        <w:t>Indeed, in 6_POA_Mixed</w:t>
      </w:r>
      <w:r w:rsidR="00B56E4A" w:rsidRPr="007A682B">
        <w:rPr>
          <w:rFonts w:ascii="Arial" w:hAnsi="Arial" w:cs="Arial"/>
          <w:sz w:val="20"/>
          <w:szCs w:val="20"/>
        </w:rPr>
        <w:t xml:space="preserve">, </w:t>
      </w:r>
      <w:r w:rsidRPr="007A682B">
        <w:rPr>
          <w:rFonts w:ascii="Arial" w:hAnsi="Arial" w:cs="Arial"/>
          <w:sz w:val="20"/>
          <w:szCs w:val="20"/>
        </w:rPr>
        <w:t>intermediates</w:t>
      </w:r>
      <w:r w:rsidR="00040572" w:rsidRPr="007A682B">
        <w:rPr>
          <w:rFonts w:ascii="Arial" w:hAnsi="Arial" w:cs="Arial"/>
          <w:sz w:val="20"/>
          <w:szCs w:val="20"/>
        </w:rPr>
        <w:t>’</w:t>
      </w:r>
      <w:r w:rsidRPr="007A682B">
        <w:rPr>
          <w:rFonts w:ascii="Arial" w:hAnsi="Arial" w:cs="Arial"/>
          <w:sz w:val="20"/>
          <w:szCs w:val="20"/>
        </w:rPr>
        <w:t xml:space="preserve"> cells were </w:t>
      </w:r>
      <w:r w:rsidR="00A974E0">
        <w:rPr>
          <w:rFonts w:ascii="Arial" w:hAnsi="Arial" w:cs="Arial"/>
          <w:sz w:val="20"/>
          <w:szCs w:val="20"/>
        </w:rPr>
        <w:t>1.2-fold</w:t>
      </w:r>
      <w:r w:rsidRPr="007A682B">
        <w:rPr>
          <w:rFonts w:ascii="Arial" w:hAnsi="Arial" w:cs="Arial"/>
          <w:sz w:val="20"/>
          <w:szCs w:val="20"/>
        </w:rPr>
        <w:t xml:space="preserve"> less mature than in females suggesting that intermediates in general are characterized by lower cellular maturity than males or females (</w:t>
      </w:r>
      <w:r w:rsidR="00A974E0">
        <w:rPr>
          <w:rFonts w:ascii="Arial" w:hAnsi="Arial" w:cs="Arial"/>
          <w:sz w:val="20"/>
          <w:szCs w:val="20"/>
        </w:rPr>
        <w:t xml:space="preserve">F(2,16)=4.256, </w:t>
      </w:r>
      <w:r w:rsidR="00A974E0">
        <w:rPr>
          <w:rFonts w:ascii="Arial" w:hAnsi="Arial" w:cs="Arial"/>
          <w:i/>
          <w:iCs/>
          <w:sz w:val="20"/>
          <w:szCs w:val="20"/>
        </w:rPr>
        <w:t>p=</w:t>
      </w:r>
      <w:r w:rsidR="00A974E0">
        <w:rPr>
          <w:rFonts w:ascii="Arial" w:hAnsi="Arial" w:cs="Arial"/>
          <w:sz w:val="20"/>
          <w:szCs w:val="20"/>
        </w:rPr>
        <w:t xml:space="preserve">0.033, </w:t>
      </w:r>
      <w:r w:rsidRPr="007A682B">
        <w:rPr>
          <w:rFonts w:ascii="Arial" w:hAnsi="Arial" w:cs="Arial"/>
          <w:sz w:val="20"/>
          <w:szCs w:val="20"/>
          <w:highlight w:val="yellow"/>
        </w:rPr>
        <w:t>Fig. 5</w:t>
      </w:r>
      <w:r w:rsidR="008C397B" w:rsidRPr="007A682B">
        <w:rPr>
          <w:rFonts w:ascii="Arial" w:hAnsi="Arial" w:cs="Arial"/>
          <w:sz w:val="20"/>
          <w:szCs w:val="20"/>
        </w:rPr>
        <w:t>B</w:t>
      </w:r>
      <w:r w:rsidRPr="007A682B">
        <w:rPr>
          <w:rFonts w:ascii="Arial" w:hAnsi="Arial" w:cs="Arial"/>
          <w:sz w:val="20"/>
          <w:szCs w:val="20"/>
        </w:rPr>
        <w:t>, Appendix S1). As further evidence for the hypothesis that new cells are added during the intermediate</w:t>
      </w:r>
      <w:r w:rsidR="00680E5C">
        <w:rPr>
          <w:rFonts w:ascii="Arial" w:hAnsi="Arial" w:cs="Arial"/>
          <w:sz w:val="20"/>
          <w:szCs w:val="20"/>
        </w:rPr>
        <w:t>-female transition</w:t>
      </w:r>
      <w:r w:rsidRPr="007A682B">
        <w:rPr>
          <w:rFonts w:ascii="Arial" w:hAnsi="Arial" w:cs="Arial"/>
          <w:sz w:val="20"/>
          <w:szCs w:val="20"/>
        </w:rPr>
        <w:t xml:space="preserve">, intermediates showed </w:t>
      </w:r>
      <w:r w:rsidR="00A974E0">
        <w:rPr>
          <w:rFonts w:ascii="Arial" w:hAnsi="Arial" w:cs="Arial"/>
          <w:sz w:val="20"/>
          <w:szCs w:val="20"/>
        </w:rPr>
        <w:t>1.1-fold</w:t>
      </w:r>
      <w:r w:rsidRPr="007A682B">
        <w:rPr>
          <w:rFonts w:ascii="Arial" w:hAnsi="Arial" w:cs="Arial"/>
          <w:sz w:val="20"/>
          <w:szCs w:val="20"/>
        </w:rPr>
        <w:t xml:space="preserve"> higher expression for</w:t>
      </w:r>
      <w:r w:rsidR="00A974E0">
        <w:rPr>
          <w:rFonts w:ascii="Arial" w:hAnsi="Arial" w:cs="Arial"/>
          <w:sz w:val="20"/>
          <w:szCs w:val="20"/>
        </w:rPr>
        <w:t xml:space="preserve"> both</w:t>
      </w:r>
      <w:r w:rsidRPr="007A682B">
        <w:rPr>
          <w:rFonts w:ascii="Arial" w:hAnsi="Arial" w:cs="Arial"/>
          <w:sz w:val="20"/>
          <w:szCs w:val="20"/>
        </w:rPr>
        <w:t xml:space="preserve"> a module consisting of genes annotated with the GO terms “brain development”</w:t>
      </w:r>
      <w:r w:rsidR="00A974E0">
        <w:rPr>
          <w:rFonts w:ascii="Arial" w:hAnsi="Arial" w:cs="Arial"/>
          <w:sz w:val="20"/>
          <w:szCs w:val="20"/>
        </w:rPr>
        <w:t xml:space="preserve"> </w:t>
      </w:r>
      <w:r w:rsidRPr="007A682B">
        <w:rPr>
          <w:rFonts w:ascii="Arial" w:hAnsi="Arial" w:cs="Arial"/>
          <w:sz w:val="20"/>
          <w:szCs w:val="20"/>
        </w:rPr>
        <w:t>(</w:t>
      </w:r>
      <w:r w:rsidR="00A974E0">
        <w:rPr>
          <w:rFonts w:ascii="Arial" w:hAnsi="Arial" w:cs="Arial"/>
          <w:sz w:val="20"/>
          <w:szCs w:val="20"/>
        </w:rPr>
        <w:t xml:space="preserve">F(2,16) = 10.800, </w:t>
      </w:r>
      <w:r w:rsidR="00A974E0" w:rsidRPr="00A974E0">
        <w:rPr>
          <w:rFonts w:ascii="Arial" w:hAnsi="Arial" w:cs="Arial"/>
          <w:i/>
          <w:iCs/>
          <w:sz w:val="20"/>
          <w:szCs w:val="20"/>
        </w:rPr>
        <w:t>p</w:t>
      </w:r>
      <w:r w:rsidR="00A974E0">
        <w:rPr>
          <w:rFonts w:ascii="Arial" w:hAnsi="Arial" w:cs="Arial"/>
          <w:i/>
          <w:iCs/>
          <w:sz w:val="20"/>
          <w:szCs w:val="20"/>
        </w:rPr>
        <w:t xml:space="preserve">= </w:t>
      </w:r>
      <w:r w:rsidR="00A974E0">
        <w:rPr>
          <w:rFonts w:ascii="Arial" w:hAnsi="Arial" w:cs="Arial"/>
          <w:sz w:val="20"/>
          <w:szCs w:val="20"/>
        </w:rPr>
        <w:t>0.001 ,</w:t>
      </w:r>
      <w:r w:rsidRPr="00A974E0">
        <w:rPr>
          <w:rFonts w:ascii="Arial" w:hAnsi="Arial" w:cs="Arial"/>
          <w:sz w:val="20"/>
          <w:szCs w:val="20"/>
        </w:rPr>
        <w:t>GO</w:t>
      </w:r>
      <w:r w:rsidRPr="007A682B">
        <w:rPr>
          <w:rFonts w:ascii="Arial" w:hAnsi="Arial" w:cs="Arial"/>
          <w:sz w:val="20"/>
          <w:szCs w:val="20"/>
        </w:rPr>
        <w:t>:0007420</w:t>
      </w:r>
      <w:r w:rsidR="006E4B96">
        <w:rPr>
          <w:rFonts w:ascii="Arial" w:hAnsi="Arial" w:cs="Arial"/>
          <w:sz w:val="20"/>
          <w:szCs w:val="20"/>
        </w:rPr>
        <w:t>,</w:t>
      </w:r>
      <w:r w:rsidR="005C41EC" w:rsidRPr="007A682B">
        <w:rPr>
          <w:rFonts w:ascii="Arial" w:hAnsi="Arial" w:cs="Arial"/>
          <w:sz w:val="20"/>
          <w:szCs w:val="20"/>
          <w:highlight w:val="yellow"/>
        </w:rPr>
        <w:t xml:space="preserve"> </w:t>
      </w:r>
      <w:r w:rsidRPr="007A682B">
        <w:rPr>
          <w:rFonts w:ascii="Arial" w:hAnsi="Arial" w:cs="Arial"/>
          <w:sz w:val="20"/>
          <w:szCs w:val="20"/>
          <w:highlight w:val="yellow"/>
        </w:rPr>
        <w:t>Fig. 5</w:t>
      </w:r>
      <w:r w:rsidR="008C397B" w:rsidRPr="007A682B">
        <w:rPr>
          <w:rFonts w:ascii="Arial" w:hAnsi="Arial" w:cs="Arial"/>
          <w:sz w:val="20"/>
          <w:szCs w:val="20"/>
        </w:rPr>
        <w:t>C</w:t>
      </w:r>
      <w:r w:rsidRPr="007A682B">
        <w:rPr>
          <w:rFonts w:ascii="Arial" w:hAnsi="Arial" w:cs="Arial"/>
          <w:sz w:val="20"/>
          <w:szCs w:val="20"/>
        </w:rPr>
        <w:t xml:space="preserve">, Appendix S1) and </w:t>
      </w:r>
      <w:r w:rsidR="00A974E0">
        <w:rPr>
          <w:rFonts w:ascii="Arial" w:hAnsi="Arial" w:cs="Arial"/>
          <w:sz w:val="20"/>
          <w:szCs w:val="20"/>
        </w:rPr>
        <w:t>a module of genes annotated with the term</w:t>
      </w:r>
      <w:r w:rsidR="001E447B">
        <w:rPr>
          <w:rFonts w:ascii="Arial" w:hAnsi="Arial" w:cs="Arial"/>
          <w:sz w:val="20"/>
          <w:szCs w:val="20"/>
        </w:rPr>
        <w:t xml:space="preserve"> </w:t>
      </w:r>
      <w:r w:rsidRPr="007A682B">
        <w:rPr>
          <w:rFonts w:ascii="Arial" w:hAnsi="Arial" w:cs="Arial"/>
          <w:sz w:val="20"/>
          <w:szCs w:val="20"/>
        </w:rPr>
        <w:t>“axon guidance receptor activity” (</w:t>
      </w:r>
      <w:r w:rsidR="00A974E0">
        <w:rPr>
          <w:rFonts w:ascii="Arial" w:hAnsi="Arial" w:cs="Arial"/>
          <w:sz w:val="20"/>
          <w:szCs w:val="20"/>
        </w:rPr>
        <w:t xml:space="preserve">F(2,16) = 5.68, </w:t>
      </w:r>
      <w:r w:rsidR="00A974E0" w:rsidRPr="00A974E0">
        <w:rPr>
          <w:rFonts w:ascii="Arial" w:hAnsi="Arial" w:cs="Arial"/>
          <w:i/>
          <w:iCs/>
          <w:sz w:val="20"/>
          <w:szCs w:val="20"/>
        </w:rPr>
        <w:t>p</w:t>
      </w:r>
      <w:r w:rsidR="00A974E0">
        <w:rPr>
          <w:rFonts w:ascii="Arial" w:hAnsi="Arial" w:cs="Arial"/>
          <w:i/>
          <w:iCs/>
          <w:sz w:val="20"/>
          <w:szCs w:val="20"/>
        </w:rPr>
        <w:t xml:space="preserve">= </w:t>
      </w:r>
      <w:r w:rsidR="00A974E0">
        <w:rPr>
          <w:rFonts w:ascii="Arial" w:hAnsi="Arial" w:cs="Arial"/>
          <w:sz w:val="20"/>
          <w:szCs w:val="20"/>
        </w:rPr>
        <w:t xml:space="preserve">0.014, </w:t>
      </w:r>
      <w:r w:rsidRPr="007A682B">
        <w:rPr>
          <w:rFonts w:ascii="Arial" w:hAnsi="Arial" w:cs="Arial"/>
          <w:sz w:val="20"/>
          <w:szCs w:val="20"/>
        </w:rPr>
        <w:t>GO:</w:t>
      </w:r>
      <w:r w:rsidR="00A974E0" w:rsidRPr="00A974E0">
        <w:rPr>
          <w:rFonts w:ascii="Arial" w:hAnsi="Arial" w:cs="Arial"/>
          <w:sz w:val="20"/>
          <w:szCs w:val="20"/>
        </w:rPr>
        <w:t>0008046</w:t>
      </w:r>
      <w:r w:rsidR="003628DE" w:rsidRPr="007A682B">
        <w:rPr>
          <w:rFonts w:ascii="Arial" w:hAnsi="Arial" w:cs="Arial"/>
          <w:sz w:val="20"/>
          <w:szCs w:val="20"/>
        </w:rPr>
        <w:t xml:space="preserve">, </w:t>
      </w:r>
      <w:r w:rsidRPr="007A682B">
        <w:rPr>
          <w:rFonts w:ascii="Arial" w:hAnsi="Arial" w:cs="Arial"/>
          <w:sz w:val="20"/>
          <w:szCs w:val="20"/>
          <w:highlight w:val="yellow"/>
        </w:rPr>
        <w:t>Fig. 5</w:t>
      </w:r>
      <w:r w:rsidR="008C397B" w:rsidRPr="007A682B">
        <w:rPr>
          <w:rFonts w:ascii="Arial" w:hAnsi="Arial" w:cs="Arial"/>
          <w:sz w:val="20"/>
          <w:szCs w:val="20"/>
        </w:rPr>
        <w:t>D</w:t>
      </w:r>
      <w:r w:rsidRPr="007A682B">
        <w:rPr>
          <w:rFonts w:ascii="Arial" w:hAnsi="Arial" w:cs="Arial"/>
          <w:sz w:val="20"/>
          <w:szCs w:val="20"/>
        </w:rPr>
        <w:t xml:space="preserve">, Appendix S1). Together with the increase in the relative abundance of 6_POA_Mixed and previous data showing neurogenesis in the POA </w:t>
      </w:r>
      <w:r w:rsidRPr="007A682B">
        <w:rPr>
          <w:rFonts w:ascii="Arial" w:hAnsi="Arial" w:cs="Arial"/>
          <w:sz w:val="20"/>
          <w:szCs w:val="20"/>
        </w:rPr>
        <w:fldChar w:fldCharType="begin"/>
      </w:r>
      <w:r w:rsidRPr="007A682B">
        <w:rPr>
          <w:rFonts w:ascii="Arial" w:hAnsi="Arial" w:cs="Arial"/>
          <w:sz w:val="20"/>
          <w:szCs w:val="20"/>
        </w:rPr>
        <w:instrText xml:space="preserve"> ADDIN ZOTERO_ITEM CSL_CITATION {"citationID":"36WGZwQb","properties":{"unsorted":false,"formattedCitation":"(6)","plainCitation":"(6)","noteIndex":0},"citationItems":[{"id":16,"uris":["http://zotero.org/users/11313215/items/VGA9PBJ3"],"itemData":{"id":16,"type":"article-journal","abstract":"Sex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Pr="007A682B">
        <w:rPr>
          <w:rFonts w:ascii="Arial" w:hAnsi="Arial" w:cs="Arial"/>
          <w:sz w:val="20"/>
          <w:szCs w:val="20"/>
        </w:rPr>
        <w:fldChar w:fldCharType="separate"/>
      </w:r>
      <w:r w:rsidRPr="007A682B">
        <w:rPr>
          <w:rFonts w:ascii="Arial" w:hAnsi="Arial" w:cs="Arial"/>
          <w:noProof/>
          <w:sz w:val="20"/>
          <w:szCs w:val="20"/>
        </w:rPr>
        <w:t>(6)</w:t>
      </w:r>
      <w:r w:rsidRPr="007A682B">
        <w:rPr>
          <w:rFonts w:ascii="Arial" w:hAnsi="Arial" w:cs="Arial"/>
          <w:sz w:val="20"/>
          <w:szCs w:val="20"/>
        </w:rPr>
        <w:fldChar w:fldCharType="end"/>
      </w:r>
      <w:r w:rsidRPr="007A682B">
        <w:rPr>
          <w:rFonts w:ascii="Arial" w:hAnsi="Arial" w:cs="Arial"/>
          <w:sz w:val="20"/>
          <w:szCs w:val="20"/>
        </w:rPr>
        <w:t>, these findings are consistent with newly generated neurons being incorporated into this population during the male-to-intermediate transition and subsequently maturing during the intermediate-to-female transition.</w:t>
      </w:r>
    </w:p>
    <w:p w14:paraId="007873E6" w14:textId="40A979F1" w:rsidR="008C3E81" w:rsidRPr="007A682B" w:rsidRDefault="00C7398C" w:rsidP="00817393">
      <w:pPr>
        <w:rPr>
          <w:rFonts w:ascii="Arial" w:hAnsi="Arial" w:cs="Arial"/>
          <w:sz w:val="20"/>
          <w:szCs w:val="20"/>
        </w:rPr>
      </w:pPr>
      <w:r w:rsidRPr="007A682B">
        <w:rPr>
          <w:rFonts w:ascii="Arial" w:hAnsi="Arial" w:cs="Arial"/>
          <w:sz w:val="20"/>
          <w:szCs w:val="20"/>
        </w:rPr>
        <w:tab/>
        <w:t>Beyond neurogenesis, we next assessed the state of synaptic plasticity in 6_POA_Mixed.</w:t>
      </w:r>
      <w:r w:rsidR="00F00CD3" w:rsidRPr="007A682B">
        <w:rPr>
          <w:rFonts w:ascii="Arial" w:hAnsi="Arial" w:cs="Arial"/>
          <w:sz w:val="20"/>
          <w:szCs w:val="20"/>
        </w:rPr>
        <w:t xml:space="preserve"> GO analysis of the DEGs in 6_POA_Mixed </w:t>
      </w:r>
      <w:r w:rsidR="008C3E81" w:rsidRPr="007A682B">
        <w:rPr>
          <w:rFonts w:ascii="Arial" w:hAnsi="Arial" w:cs="Arial"/>
          <w:sz w:val="20"/>
          <w:szCs w:val="20"/>
        </w:rPr>
        <w:t>identified</w:t>
      </w:r>
      <w:r w:rsidRPr="007A682B">
        <w:rPr>
          <w:rFonts w:ascii="Arial" w:hAnsi="Arial" w:cs="Arial"/>
          <w:sz w:val="20"/>
          <w:szCs w:val="20"/>
        </w:rPr>
        <w:t xml:space="preserve"> enrichment for</w:t>
      </w:r>
      <w:r w:rsidR="008C3E81" w:rsidRPr="007A682B">
        <w:rPr>
          <w:rFonts w:ascii="Arial" w:hAnsi="Arial" w:cs="Arial"/>
          <w:sz w:val="20"/>
          <w:szCs w:val="20"/>
        </w:rPr>
        <w:t xml:space="preserve"> genes</w:t>
      </w:r>
      <w:r w:rsidR="00F00CD3" w:rsidRPr="007A682B">
        <w:rPr>
          <w:rFonts w:ascii="Arial" w:hAnsi="Arial" w:cs="Arial"/>
          <w:sz w:val="20"/>
          <w:szCs w:val="20"/>
        </w:rPr>
        <w:t xml:space="preserve"> related to the perineuronal net change during sex change (</w:t>
      </w:r>
      <w:r w:rsidR="00F00CD3" w:rsidRPr="007A682B">
        <w:rPr>
          <w:rFonts w:ascii="Arial" w:hAnsi="Arial" w:cs="Arial"/>
          <w:sz w:val="20"/>
          <w:szCs w:val="20"/>
          <w:highlight w:val="yellow"/>
        </w:rPr>
        <w:t>Fig. S</w:t>
      </w:r>
      <w:r w:rsidR="00376C7F" w:rsidRPr="007A682B">
        <w:rPr>
          <w:rFonts w:ascii="Arial" w:hAnsi="Arial" w:cs="Arial"/>
          <w:sz w:val="20"/>
          <w:szCs w:val="20"/>
        </w:rPr>
        <w:t>9</w:t>
      </w:r>
      <w:r w:rsidR="00F00CD3" w:rsidRPr="007A682B">
        <w:rPr>
          <w:rFonts w:ascii="Arial" w:hAnsi="Arial" w:cs="Arial"/>
          <w:sz w:val="20"/>
          <w:szCs w:val="20"/>
        </w:rPr>
        <w:t>). Further</w:t>
      </w:r>
      <w:r w:rsidR="00D770B1" w:rsidRPr="007A682B">
        <w:rPr>
          <w:rFonts w:ascii="Arial" w:hAnsi="Arial" w:cs="Arial"/>
          <w:sz w:val="20"/>
          <w:szCs w:val="20"/>
        </w:rPr>
        <w:t>,</w:t>
      </w:r>
      <w:r w:rsidR="00F00CD3" w:rsidRPr="007A682B">
        <w:rPr>
          <w:rFonts w:ascii="Arial" w:hAnsi="Arial" w:cs="Arial"/>
          <w:sz w:val="20"/>
          <w:szCs w:val="20"/>
        </w:rPr>
        <w:t xml:space="preserve"> several genes associated with the extracellular matrix </w:t>
      </w:r>
      <w:r w:rsidR="00F00CD3" w:rsidRPr="007A682B">
        <w:rPr>
          <w:rFonts w:ascii="Arial" w:hAnsi="Arial" w:cs="Arial"/>
          <w:sz w:val="20"/>
          <w:szCs w:val="20"/>
        </w:rPr>
        <w:lastRenderedPageBreak/>
        <w:t>(ECM) and cell adhesion were found to be DARs or DEGs (</w:t>
      </w:r>
      <w:r w:rsidR="00F00CD3" w:rsidRPr="007A682B">
        <w:rPr>
          <w:rFonts w:ascii="Arial" w:hAnsi="Arial" w:cs="Arial"/>
          <w:sz w:val="20"/>
          <w:szCs w:val="20"/>
          <w:highlight w:val="yellow"/>
        </w:rPr>
        <w:t>Fig.5</w:t>
      </w:r>
      <w:r w:rsidR="008C397B" w:rsidRPr="007A682B">
        <w:rPr>
          <w:rFonts w:ascii="Arial" w:hAnsi="Arial" w:cs="Arial"/>
          <w:sz w:val="20"/>
          <w:szCs w:val="20"/>
          <w:highlight w:val="yellow"/>
        </w:rPr>
        <w:t>E</w:t>
      </w:r>
      <w:r w:rsidR="00F00CD3" w:rsidRPr="007A682B">
        <w:rPr>
          <w:rFonts w:ascii="Arial" w:hAnsi="Arial" w:cs="Arial"/>
          <w:sz w:val="20"/>
          <w:szCs w:val="20"/>
          <w:highlight w:val="yellow"/>
        </w:rPr>
        <w:t xml:space="preserve">, </w:t>
      </w:r>
      <w:r w:rsidR="008C397B" w:rsidRPr="007A682B">
        <w:rPr>
          <w:rFonts w:ascii="Arial" w:hAnsi="Arial" w:cs="Arial"/>
          <w:sz w:val="20"/>
          <w:szCs w:val="20"/>
          <w:highlight w:val="yellow"/>
        </w:rPr>
        <w:t>F</w:t>
      </w:r>
      <w:r w:rsidR="00F00CD3" w:rsidRPr="007A682B">
        <w:rPr>
          <w:rFonts w:ascii="Arial" w:hAnsi="Arial" w:cs="Arial"/>
          <w:sz w:val="20"/>
          <w:szCs w:val="20"/>
        </w:rPr>
        <w:t>)</w:t>
      </w:r>
      <w:r w:rsidR="00D770B1" w:rsidRPr="007A682B">
        <w:rPr>
          <w:rFonts w:ascii="Arial" w:hAnsi="Arial" w:cs="Arial"/>
          <w:sz w:val="20"/>
          <w:szCs w:val="20"/>
        </w:rPr>
        <w:t>. Because modification of the extracellular matrix and perineuronal net are required for</w:t>
      </w:r>
      <w:r w:rsidRPr="007A682B">
        <w:rPr>
          <w:rFonts w:ascii="Arial" w:hAnsi="Arial" w:cs="Arial"/>
          <w:sz w:val="20"/>
          <w:szCs w:val="20"/>
        </w:rPr>
        <w:t xml:space="preserve"> </w:t>
      </w:r>
      <w:r w:rsidR="002C7C6B" w:rsidRPr="007A682B">
        <w:rPr>
          <w:rFonts w:ascii="Arial" w:hAnsi="Arial" w:cs="Arial"/>
          <w:sz w:val="20"/>
          <w:szCs w:val="20"/>
        </w:rPr>
        <w:t xml:space="preserve">synaptic remodeling, we interpreted this as evidence of synaptic plasticity </w:t>
      </w:r>
      <w:r w:rsidR="00691563" w:rsidRPr="007A682B">
        <w:rPr>
          <w:rFonts w:ascii="Arial" w:hAnsi="Arial" w:cs="Arial"/>
          <w:sz w:val="20"/>
          <w:szCs w:val="20"/>
        </w:rPr>
        <w:t>occurring</w:t>
      </w:r>
      <w:r w:rsidR="002C7C6B" w:rsidRPr="007A682B">
        <w:rPr>
          <w:rFonts w:ascii="Arial" w:hAnsi="Arial" w:cs="Arial"/>
          <w:sz w:val="20"/>
          <w:szCs w:val="20"/>
        </w:rPr>
        <w:t xml:space="preserve">. To examine </w:t>
      </w:r>
      <w:r w:rsidR="00D4017F">
        <w:rPr>
          <w:rFonts w:ascii="Arial" w:hAnsi="Arial" w:cs="Arial"/>
          <w:sz w:val="20"/>
          <w:szCs w:val="20"/>
        </w:rPr>
        <w:t>how synaptic plasticity changed over the course of sex change, we assessed differential expression of a module consisting genes annotated with the GO term “regulation of synaptic plasticity” (GO:</w:t>
      </w:r>
      <w:r w:rsidR="00D4017F" w:rsidRPr="00D4017F">
        <w:t xml:space="preserve"> </w:t>
      </w:r>
      <w:r w:rsidR="00D4017F" w:rsidRPr="00D4017F">
        <w:rPr>
          <w:rFonts w:ascii="Arial" w:hAnsi="Arial" w:cs="Arial"/>
          <w:sz w:val="20"/>
          <w:szCs w:val="20"/>
        </w:rPr>
        <w:t>0048167</w:t>
      </w:r>
      <w:r w:rsidR="00D4017F">
        <w:rPr>
          <w:rFonts w:ascii="Arial" w:hAnsi="Arial" w:cs="Arial"/>
          <w:sz w:val="20"/>
          <w:szCs w:val="20"/>
        </w:rPr>
        <w:t>). We found a significant (F</w:t>
      </w:r>
      <w:r w:rsidR="001E447B">
        <w:rPr>
          <w:rFonts w:ascii="Arial" w:hAnsi="Arial" w:cs="Arial"/>
          <w:sz w:val="20"/>
          <w:szCs w:val="20"/>
        </w:rPr>
        <w:t>(2,16)=5.754</w:t>
      </w:r>
      <w:r w:rsidR="00D4017F">
        <w:rPr>
          <w:rFonts w:ascii="Arial" w:hAnsi="Arial" w:cs="Arial"/>
          <w:sz w:val="20"/>
          <w:szCs w:val="20"/>
        </w:rPr>
        <w:t xml:space="preserve"> </w:t>
      </w:r>
      <w:r w:rsidR="001E447B">
        <w:rPr>
          <w:rFonts w:ascii="Arial" w:hAnsi="Arial" w:cs="Arial"/>
          <w:i/>
          <w:iCs/>
          <w:sz w:val="20"/>
          <w:szCs w:val="20"/>
        </w:rPr>
        <w:t>p</w:t>
      </w:r>
      <w:r w:rsidR="001E447B">
        <w:rPr>
          <w:rFonts w:ascii="Arial" w:hAnsi="Arial" w:cs="Arial"/>
          <w:sz w:val="20"/>
          <w:szCs w:val="20"/>
        </w:rPr>
        <w:t>=0.013</w:t>
      </w:r>
      <w:r w:rsidR="00D4017F">
        <w:rPr>
          <w:rFonts w:ascii="Arial" w:hAnsi="Arial" w:cs="Arial"/>
          <w:sz w:val="20"/>
          <w:szCs w:val="20"/>
        </w:rPr>
        <w:t xml:space="preserve">) difference in the expression of this module by phase. Males and intermediates had </w:t>
      </w:r>
      <w:r w:rsidR="001E447B">
        <w:rPr>
          <w:rFonts w:ascii="Arial" w:hAnsi="Arial" w:cs="Arial"/>
          <w:sz w:val="20"/>
          <w:szCs w:val="20"/>
        </w:rPr>
        <w:t>1.1-fold</w:t>
      </w:r>
      <w:r w:rsidR="00D4017F">
        <w:rPr>
          <w:rFonts w:ascii="Arial" w:hAnsi="Arial" w:cs="Arial"/>
          <w:sz w:val="20"/>
          <w:szCs w:val="20"/>
        </w:rPr>
        <w:t xml:space="preserve"> higher expression of this module than females and did not differ between each other</w:t>
      </w:r>
      <w:r w:rsidR="002C7C6B" w:rsidRPr="007A682B">
        <w:rPr>
          <w:rFonts w:ascii="Arial" w:hAnsi="Arial" w:cs="Arial"/>
          <w:sz w:val="20"/>
          <w:szCs w:val="20"/>
        </w:rPr>
        <w:t xml:space="preserve"> </w:t>
      </w:r>
      <w:r w:rsidR="00940979" w:rsidRPr="007A682B">
        <w:rPr>
          <w:rFonts w:ascii="Arial" w:hAnsi="Arial" w:cs="Arial"/>
          <w:sz w:val="20"/>
          <w:szCs w:val="20"/>
        </w:rPr>
        <w:t>(</w:t>
      </w:r>
      <w:r w:rsidR="00691563" w:rsidRPr="007A682B">
        <w:rPr>
          <w:rFonts w:ascii="Arial" w:hAnsi="Arial" w:cs="Arial"/>
          <w:sz w:val="20"/>
          <w:szCs w:val="20"/>
        </w:rPr>
        <w:t xml:space="preserve">Fig. </w:t>
      </w:r>
      <w:r w:rsidR="008C397B" w:rsidRPr="007A682B">
        <w:rPr>
          <w:rFonts w:ascii="Arial" w:hAnsi="Arial" w:cs="Arial"/>
          <w:sz w:val="20"/>
          <w:szCs w:val="20"/>
        </w:rPr>
        <w:t>5G)</w:t>
      </w:r>
      <w:r w:rsidR="00D4017F">
        <w:rPr>
          <w:rFonts w:ascii="Arial" w:hAnsi="Arial" w:cs="Arial"/>
          <w:sz w:val="20"/>
          <w:szCs w:val="20"/>
        </w:rPr>
        <w:t>. These data suggest that both neurogenesis and structural plasticity occur during the intermediate phase prior to final feminization</w:t>
      </w:r>
      <w:r w:rsidR="00360E1D" w:rsidRPr="007A682B">
        <w:rPr>
          <w:rFonts w:ascii="Arial" w:hAnsi="Arial" w:cs="Arial"/>
          <w:sz w:val="20"/>
          <w:szCs w:val="20"/>
        </w:rPr>
        <w:t xml:space="preserve"> </w:t>
      </w:r>
    </w:p>
    <w:p w14:paraId="64F9288B" w14:textId="77777777" w:rsidR="00D770B1" w:rsidRPr="007A682B" w:rsidRDefault="00D770B1" w:rsidP="00D770B1">
      <w:pPr>
        <w:ind w:firstLine="720"/>
        <w:rPr>
          <w:rFonts w:ascii="Arial" w:hAnsi="Arial" w:cs="Arial"/>
          <w:sz w:val="20"/>
          <w:szCs w:val="20"/>
        </w:rPr>
      </w:pPr>
    </w:p>
    <w:p w14:paraId="02707CA2" w14:textId="77777777" w:rsidR="00267A9B" w:rsidRPr="007A682B" w:rsidRDefault="00267A9B" w:rsidP="004816FA">
      <w:pPr>
        <w:rPr>
          <w:rFonts w:ascii="Arial" w:hAnsi="Arial" w:cs="Arial"/>
          <w:b/>
          <w:bCs/>
          <w:sz w:val="20"/>
          <w:szCs w:val="20"/>
        </w:rPr>
      </w:pPr>
      <w:r w:rsidRPr="007A682B">
        <w:rPr>
          <w:rFonts w:ascii="Arial" w:hAnsi="Arial" w:cs="Arial"/>
          <w:b/>
          <w:bCs/>
          <w:sz w:val="20"/>
          <w:szCs w:val="20"/>
        </w:rPr>
        <w:t>Candidate Gonadotroph-Regulating Neurons Undergo Distinct Modes of Remodeling During Sex Change</w:t>
      </w:r>
    </w:p>
    <w:p w14:paraId="66C759F5" w14:textId="38E38294" w:rsidR="00CE51AB" w:rsidRPr="007A682B" w:rsidRDefault="00CE51AB" w:rsidP="004816FA">
      <w:pPr>
        <w:rPr>
          <w:rFonts w:ascii="Arial" w:hAnsi="Arial" w:cs="Arial"/>
          <w:sz w:val="20"/>
          <w:szCs w:val="20"/>
        </w:rPr>
      </w:pPr>
      <w:r w:rsidRPr="007A682B">
        <w:rPr>
          <w:rFonts w:ascii="Arial" w:hAnsi="Arial" w:cs="Arial"/>
          <w:sz w:val="20"/>
          <w:szCs w:val="20"/>
        </w:rPr>
        <w:tab/>
        <w:t>Having identified evidence that newly generated neurons are incorporated into 6_POA_Mixed, we next asked which molecularly defined neuroendocrine populations account for this remodeling. Specifically, we sought to distinguish neuronal populations that expand through incorporation of newly generated neurons from those that remodel primarily through changes in gene expression within preexisting neurons.</w:t>
      </w:r>
    </w:p>
    <w:p w14:paraId="63EE7853" w14:textId="0BA10FEC" w:rsidR="00D231FF" w:rsidRPr="007A682B" w:rsidRDefault="00CE51AB" w:rsidP="004816FA">
      <w:pPr>
        <w:rPr>
          <w:rFonts w:ascii="Arial" w:hAnsi="Arial" w:cs="Arial"/>
          <w:sz w:val="20"/>
          <w:szCs w:val="20"/>
        </w:rPr>
      </w:pPr>
      <w:r w:rsidRPr="007A682B">
        <w:rPr>
          <w:rFonts w:ascii="Arial" w:hAnsi="Arial" w:cs="Arial"/>
          <w:sz w:val="20"/>
          <w:szCs w:val="20"/>
        </w:rPr>
        <w:tab/>
      </w:r>
      <w:r w:rsidR="000E3F08" w:rsidRPr="007A682B">
        <w:rPr>
          <w:rFonts w:ascii="Arial" w:hAnsi="Arial" w:cs="Arial"/>
          <w:sz w:val="20"/>
          <w:szCs w:val="20"/>
        </w:rPr>
        <w:t>We detected significant changes in several molecularly defined neuronal populations implicated in gonadotroph regulation</w:t>
      </w:r>
      <w:r w:rsidR="00D770B1" w:rsidRPr="007A682B">
        <w:rPr>
          <w:rFonts w:ascii="Arial" w:hAnsi="Arial" w:cs="Arial"/>
          <w:sz w:val="20"/>
          <w:szCs w:val="20"/>
        </w:rPr>
        <w:t>: neurons expressing</w:t>
      </w:r>
      <w:r w:rsidR="000E3F08" w:rsidRPr="007A682B">
        <w:rPr>
          <w:rFonts w:ascii="Arial" w:hAnsi="Arial" w:cs="Arial"/>
          <w:sz w:val="20"/>
          <w:szCs w:val="20"/>
        </w:rPr>
        <w:t xml:space="preserve"> </w:t>
      </w:r>
      <w:r w:rsidR="000E3F08" w:rsidRPr="007A682B">
        <w:rPr>
          <w:rFonts w:ascii="Arial" w:hAnsi="Arial" w:cs="Arial"/>
          <w:i/>
          <w:iCs/>
          <w:sz w:val="20"/>
          <w:szCs w:val="20"/>
        </w:rPr>
        <w:t>drd3</w:t>
      </w:r>
      <w:r w:rsidR="000E3F08" w:rsidRPr="007A682B">
        <w:rPr>
          <w:rFonts w:ascii="Arial" w:hAnsi="Arial" w:cs="Arial"/>
          <w:sz w:val="20"/>
          <w:szCs w:val="20"/>
        </w:rPr>
        <w:t xml:space="preserve">, </w:t>
      </w:r>
      <w:r w:rsidR="000E3F08" w:rsidRPr="007A682B">
        <w:rPr>
          <w:rFonts w:ascii="Arial" w:hAnsi="Arial" w:cs="Arial"/>
          <w:i/>
          <w:iCs/>
          <w:sz w:val="20"/>
          <w:szCs w:val="20"/>
        </w:rPr>
        <w:t>tacr3a</w:t>
      </w:r>
      <w:r w:rsidR="000E3F08" w:rsidRPr="007A682B">
        <w:rPr>
          <w:rFonts w:ascii="Arial" w:hAnsi="Arial" w:cs="Arial"/>
          <w:sz w:val="20"/>
          <w:szCs w:val="20"/>
        </w:rPr>
        <w:t xml:space="preserve">, </w:t>
      </w:r>
      <w:r w:rsidR="000E3F08" w:rsidRPr="007A682B">
        <w:rPr>
          <w:rFonts w:ascii="Arial" w:hAnsi="Arial" w:cs="Arial"/>
          <w:i/>
          <w:iCs/>
          <w:sz w:val="20"/>
          <w:szCs w:val="20"/>
        </w:rPr>
        <w:t>npy7r</w:t>
      </w:r>
      <w:r w:rsidR="000E3F08" w:rsidRPr="007A682B">
        <w:rPr>
          <w:rFonts w:ascii="Arial" w:hAnsi="Arial" w:cs="Arial"/>
          <w:sz w:val="20"/>
          <w:szCs w:val="20"/>
        </w:rPr>
        <w:t xml:space="preserve">, </w:t>
      </w:r>
      <w:r w:rsidR="000E3F08" w:rsidRPr="007A682B">
        <w:rPr>
          <w:rFonts w:ascii="Arial" w:hAnsi="Arial" w:cs="Arial"/>
          <w:i/>
          <w:iCs/>
          <w:sz w:val="20"/>
          <w:szCs w:val="20"/>
        </w:rPr>
        <w:t>nmbr</w:t>
      </w:r>
      <w:r w:rsidR="000E3F08" w:rsidRPr="007A682B">
        <w:rPr>
          <w:rFonts w:ascii="Arial" w:hAnsi="Arial" w:cs="Arial"/>
          <w:sz w:val="20"/>
          <w:szCs w:val="20"/>
        </w:rPr>
        <w:t xml:space="preserve">, </w:t>
      </w:r>
      <w:r w:rsidR="00120EF9" w:rsidRPr="007A682B">
        <w:rPr>
          <w:rFonts w:ascii="Arial" w:hAnsi="Arial" w:cs="Arial"/>
          <w:sz w:val="20"/>
          <w:szCs w:val="20"/>
        </w:rPr>
        <w:t xml:space="preserve">or </w:t>
      </w:r>
      <w:r w:rsidR="000E3F08" w:rsidRPr="007A682B">
        <w:rPr>
          <w:rFonts w:ascii="Arial" w:hAnsi="Arial" w:cs="Arial"/>
          <w:i/>
          <w:iCs/>
          <w:sz w:val="20"/>
          <w:szCs w:val="20"/>
        </w:rPr>
        <w:t>cckb</w:t>
      </w:r>
      <w:r w:rsidR="000E3F08" w:rsidRPr="007A682B">
        <w:rPr>
          <w:rFonts w:ascii="Arial" w:hAnsi="Arial" w:cs="Arial"/>
          <w:sz w:val="20"/>
          <w:szCs w:val="20"/>
        </w:rPr>
        <w:t xml:space="preserve"> (</w:t>
      </w:r>
      <w:r w:rsidR="000E3F08" w:rsidRPr="007A682B">
        <w:rPr>
          <w:rFonts w:ascii="Arial" w:hAnsi="Arial" w:cs="Arial"/>
          <w:sz w:val="20"/>
          <w:szCs w:val="20"/>
          <w:highlight w:val="yellow"/>
        </w:rPr>
        <w:t>Fig. 5C; Fig. S</w:t>
      </w:r>
      <w:r w:rsidR="00376C7F" w:rsidRPr="007A682B">
        <w:rPr>
          <w:rFonts w:ascii="Arial" w:hAnsi="Arial" w:cs="Arial"/>
          <w:sz w:val="20"/>
          <w:szCs w:val="20"/>
          <w:highlight w:val="yellow"/>
        </w:rPr>
        <w:t>10</w:t>
      </w:r>
      <w:r w:rsidR="0028615F" w:rsidRPr="007A682B">
        <w:rPr>
          <w:rFonts w:ascii="Arial" w:hAnsi="Arial" w:cs="Arial"/>
          <w:sz w:val="20"/>
          <w:szCs w:val="20"/>
          <w:highlight w:val="yellow"/>
        </w:rPr>
        <w:t>A-E</w:t>
      </w:r>
      <w:r w:rsidR="00BC1A9E" w:rsidRPr="007A682B">
        <w:rPr>
          <w:rFonts w:ascii="Arial" w:hAnsi="Arial" w:cs="Arial"/>
          <w:sz w:val="20"/>
          <w:szCs w:val="20"/>
        </w:rPr>
        <w:t>, Appendix S1</w:t>
      </w:r>
      <w:r w:rsidR="000E3F08" w:rsidRPr="007A682B">
        <w:rPr>
          <w:rFonts w:ascii="Arial" w:hAnsi="Arial" w:cs="Arial"/>
          <w:sz w:val="20"/>
          <w:szCs w:val="20"/>
        </w:rPr>
        <w:t xml:space="preserve">) </w:t>
      </w:r>
      <w:r w:rsidR="000E3F08" w:rsidRPr="007A682B">
        <w:rPr>
          <w:rFonts w:ascii="Arial" w:hAnsi="Arial" w:cs="Arial"/>
          <w:sz w:val="20"/>
          <w:szCs w:val="20"/>
        </w:rPr>
        <w:fldChar w:fldCharType="begin"/>
      </w:r>
      <w:r w:rsidR="00704475" w:rsidRPr="007A682B">
        <w:rPr>
          <w:rFonts w:ascii="Arial" w:hAnsi="Arial" w:cs="Arial"/>
          <w:sz w:val="20"/>
          <w:szCs w:val="20"/>
        </w:rPr>
        <w:instrText xml:space="preserve"> ADDIN ZOTERO_ITEM CSL_CITATION {"citationID":"rxgckag1","properties":{"unsorted":false,"formattedCitation":"(32\\uc0\\u8211{}36)","plainCitation":"(32–36)","noteIndex":0},"citationItems":[{"id":6357,"uris":["http://zotero.org/users/11313215/items/PS74WG8G"],"itemData":{"id":6357,"type":"article-journal","abstract":"From mammals to fish, reproduction is driven by luteinizing hormone (LH) and follicle-stimulating hormone (FSH) temporally secreted from the pituitary gland. Teleost fish are an excellent model for addressing the unique regulation and function of each gonadotropin cell since, unlike mammals, they synthesize and secrete LH and FSH from distinct cells. Only very distant vertebrate classes (such as fish and birds) demonstrate the mono-hormonal strategy, suggesting a potential convergent evolution. Cell-specific transcriptome analysis of double-labeled transgenic tilapia expressing GFP and RFP in LH or FSH cells, respectively, yielded genes specifically enriched in each cell type, revealing differences in hormone regulation, receptor expression, cell signaling, and electrical properties. Each cell type expresses a unique GPCR signature that reveals the direct regulation of metabolic and homeostatic hormones. Comparing these novel transcriptomes to that of rat gonadotrophs revealed conserved genes that might specifically contribute to each gonadotropin activity in mammals, suggesting conserved mechanisms controlling the differential regulation of gonadotropins in vertebrates.","container-title":"International Journal of Molecular Sciences","DOI":"10.3390/ijms22126478","ISSN":"1422-0067","issue":"12","journalAbbreviation":"Int J Mol Sci","page":"6478","PMID":"34204216","PMCID":"PMC8234412","source":"PubMed Central","title":"Differential Regulation of Gonadotropins as Revealed by Transcriptomes of Distinct LH and FSH Cells of Fish Pituitary","volume":"22","author":[{"family":"Hollander-Cohen","given":"Lian"},{"family":"Golan","given":"Matan"},{"family":"Levavi-Sivan","given":"Berta"}],"issued":{"date-parts":[["2021",6,17]]}}},{"id":6350,"uris":["http://zotero.org/users/11313215/items/KGG4YTRQ"],"itemData":{"id":6350,"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704475" w:rsidRPr="007A682B">
        <w:rPr>
          <w:rFonts w:ascii="Cambria Math" w:hAnsi="Cambria Math" w:cs="Cambria Math"/>
          <w:sz w:val="20"/>
          <w:szCs w:val="20"/>
        </w:rPr>
        <w:instrText>∼</w:instrText>
      </w:r>
      <w:r w:rsidR="00704475" w:rsidRPr="007A682B">
        <w:rPr>
          <w:rFonts w:ascii="Arial" w:hAnsi="Arial" w:cs="Arial"/>
          <w:sz w:val="20"/>
          <w:szCs w:val="20"/>
        </w:rPr>
        <w:instrText xml:space="preserve">20 stimulatory and </w:instrText>
      </w:r>
      <w:r w:rsidR="00704475" w:rsidRPr="007A682B">
        <w:rPr>
          <w:rFonts w:ascii="Cambria Math" w:hAnsi="Cambria Math" w:cs="Cambria Math"/>
          <w:sz w:val="20"/>
          <w:szCs w:val="20"/>
        </w:rPr>
        <w:instrText>∼</w:instrText>
      </w:r>
      <w:r w:rsidR="00704475" w:rsidRPr="007A682B">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L."}],"issued":{"date-parts":[["2022",2,15]]}}},{"id":2344,"uris":["http://zotero.org/users/11313215/items/AJL2IH3T"],"itemData":{"id":2344,"type":"article-journal","abstract":"Life histories of oviparous species dictate high metabolic investment in the process of gonadal development leading to ovulation. In vertebrates, these two distinct processes are controlled by the gonadotropins follicle-stimulating hormone (FSH) and luteinizing hormone (LH), respectively. While it was suggested that a common secretagogue, gonadotropin-releasing hormone (GnRH), oversees both functions, the generation of loss-of-function fish challenged this view. Here we reveal that the satiety hormone cholecystokinin (CCK) is the primary regulator of this axis in zebrafish. We found that FSH cells express a CCK receptor, and our findings demonstrate that mutating this receptor results in a severe hindrance to ovarian development. Additionally, it causes a complete shutdown of both gonadotropins secretion. Using in-vivo and ex-vivo calcium imaging of gonadotrophs, we show that GnRH predominantly activates LH cells, whereas FSH cells respond to CCK stimulation, designating CCK as the bona fide FSH secretagogue. These findings indicate that the control of gametogenesis in fish was placed under different neural circuits, that are gated by CCK.","container-title":"eLife","DOI":"10.7554/eLife.96344.1","language":"en","publisher":"eLife Sciences Publications Limited","source":"elifesciences.org","title":"The satiety hormone cholecystokinin gates reproduction in fish by controlling gonadotropin secretion","URL":"https://elifesciences.org/reviewed-preprints/96344","volume":"13","author":[{"family":"Cohen","given":"Lian Hollander"},{"family":"Cohen","given":"Omer"},{"family":"Shulman","given":"Miriam"},{"family":"Aiznkot","given":"Tomer"},{"family":"Fontanaud","given":"Pierre"},{"family":"Revah","given":"Omer"},{"family":"Mollard","given":"Patrice"},{"family":"Golan","given":"Matan"},{"family":"Sivan","given":"Berta Levavi"}],"accessed":{"date-parts":[["2024",8,15]]},"issued":{"date-parts":[["2024",5,7]]}}},{"id":5627,"uris":["http://zotero.org/users/11313215/items/8PARS2VU"],"itemData":{"id":5627,"type":"article-journal","abstract":"In vertebrates, folliculogenesis and ovulation are regulated by two distinct pituitary gonadotropins: follicle-stimulating hormone (FSH) and luteinizing hormone (LH). Currently, there is an intriguing consensus that a single hypothalamic neurohormone, gonadotropin-releasing hormone (GnRH), regulates the secretion of both FSH and LH, although the required timing and functions of FSH and LH are different. However, recent studies in many non-mammalian vertebrates indicated that GnRH is dispensable for FSH function. Here, by using medaka as a model teleost, we successfully identify cholecystokinin as the other gonadotropin regulator, FSH-releasing hormone (FSH-RH). Our histological and in vitro analyses demonstrate that hypothalamic cholecystokinin-expressing neurons directly affect FSH cells through the cholecystokinin receptor, Cck2rb, thereby increasing the expression and release of FSH. Remarkably, the knockout of this pathway minimizes FSH expression and results in a failure of folliculogenesis. Here, we propose the existence of the “dual GnRH model” in vertebrates that utilize both FSH-RH and LH-RH.","container-title":"Nature Communications","DOI":"10.1038/s41467-024-49564-8","ISSN":"2041-1723","issue":"1","journalAbbreviation":"Nat Commun","language":"en","license":"2024 The Author(s)","page":"5342","publisher":"Nature Publishing Group","source":"www.nature.com","title":"Identification of the FSH-RH as the other gonadotropin-releasing hormone","volume":"15","author":[{"family":"Uehara","given":"Shun Kenny"},{"family":"Nishiike","given":"Yuji"},{"family":"Maeda","given":"Kazuki"},{"family":"Karigo","given":"Tomomi"},{"family":"Kuraku","given":"Shigehiro"},{"family":"Okubo","given":"Kataaki"},{"family":"Kanda","given":"Shinji"}],"issued":{"date-parts":[["2024",6,27]]}}}],"schema":"https://github.com/citation-style-language/schema/raw/master/csl-citation.json"} </w:instrText>
      </w:r>
      <w:r w:rsidR="000E3F08" w:rsidRPr="007A682B">
        <w:rPr>
          <w:rFonts w:ascii="Arial" w:hAnsi="Arial" w:cs="Arial"/>
          <w:sz w:val="20"/>
          <w:szCs w:val="20"/>
        </w:rPr>
        <w:fldChar w:fldCharType="separate"/>
      </w:r>
      <w:r w:rsidR="00704475" w:rsidRPr="007A682B">
        <w:rPr>
          <w:rFonts w:ascii="Arial" w:hAnsi="Arial" w:cs="Arial"/>
          <w:kern w:val="0"/>
          <w:sz w:val="20"/>
          <w:szCs w:val="24"/>
        </w:rPr>
        <w:t>(32–36)</w:t>
      </w:r>
      <w:r w:rsidR="000E3F08" w:rsidRPr="007A682B">
        <w:rPr>
          <w:rFonts w:ascii="Arial" w:hAnsi="Arial" w:cs="Arial"/>
          <w:sz w:val="20"/>
          <w:szCs w:val="20"/>
        </w:rPr>
        <w:fldChar w:fldCharType="end"/>
      </w:r>
      <w:r w:rsidR="000E3F08" w:rsidRPr="007A682B">
        <w:rPr>
          <w:rFonts w:ascii="Arial" w:hAnsi="Arial" w:cs="Arial"/>
          <w:sz w:val="20"/>
          <w:szCs w:val="20"/>
        </w:rPr>
        <w:t xml:space="preserve">. During the intermediate-to-female transition, the proportion of </w:t>
      </w:r>
      <w:r w:rsidR="000E3F08" w:rsidRPr="007A682B">
        <w:rPr>
          <w:rFonts w:ascii="Arial" w:hAnsi="Arial" w:cs="Arial"/>
          <w:i/>
          <w:iCs/>
          <w:sz w:val="20"/>
          <w:szCs w:val="20"/>
        </w:rPr>
        <w:t>drd3</w:t>
      </w:r>
      <w:r w:rsidR="000E3F08" w:rsidRPr="007A682B">
        <w:rPr>
          <w:rFonts w:ascii="Arial" w:hAnsi="Arial" w:cs="Arial"/>
          <w:sz w:val="20"/>
          <w:szCs w:val="20"/>
        </w:rPr>
        <w:t>-expressing neurons</w:t>
      </w:r>
      <w:r w:rsidR="00EF2E87" w:rsidRPr="007A682B">
        <w:rPr>
          <w:rFonts w:ascii="Arial" w:hAnsi="Arial" w:cs="Arial"/>
          <w:sz w:val="20"/>
          <w:szCs w:val="20"/>
        </w:rPr>
        <w:t xml:space="preserve"> </w:t>
      </w:r>
      <w:r w:rsidR="009D66E3" w:rsidRPr="007A682B">
        <w:rPr>
          <w:rFonts w:ascii="Arial" w:hAnsi="Arial" w:cs="Arial"/>
          <w:sz w:val="20"/>
          <w:szCs w:val="20"/>
        </w:rPr>
        <w:t>(</w:t>
      </w:r>
      <w:r w:rsidR="004A27C9" w:rsidRPr="00530E82">
        <w:rPr>
          <w:rFonts w:ascii="Arial" w:hAnsi="Arial" w:cs="Arial"/>
          <w:sz w:val="20"/>
          <w:szCs w:val="20"/>
        </w:rPr>
        <w:t>χ</w:t>
      </w:r>
      <w:r w:rsidR="004A27C9">
        <w:rPr>
          <w:rFonts w:ascii="Arial" w:hAnsi="Arial" w:cs="Arial"/>
          <w:sz w:val="20"/>
          <w:szCs w:val="20"/>
          <w:vertAlign w:val="superscript"/>
        </w:rPr>
        <w:t>2</w:t>
      </w:r>
      <w:r w:rsidR="004A27C9">
        <w:rPr>
          <w:rFonts w:ascii="Arial" w:hAnsi="Arial" w:cs="Arial"/>
          <w:sz w:val="20"/>
          <w:szCs w:val="20"/>
        </w:rPr>
        <w:t>(2</w:t>
      </w:r>
      <w:r w:rsidR="004A27C9" w:rsidRPr="007A682B">
        <w:rPr>
          <w:rFonts w:ascii="Arial" w:hAnsi="Arial" w:cs="Arial"/>
          <w:sz w:val="20"/>
          <w:szCs w:val="20"/>
        </w:rPr>
        <w:t>)</w:t>
      </w:r>
      <w:r w:rsidR="004A27C9">
        <w:rPr>
          <w:rFonts w:ascii="Arial" w:hAnsi="Arial" w:cs="Arial"/>
          <w:sz w:val="20"/>
          <w:szCs w:val="20"/>
        </w:rPr>
        <w:t xml:space="preserve"> = 10.742, </w:t>
      </w:r>
      <w:r w:rsidR="004A27C9">
        <w:rPr>
          <w:rFonts w:ascii="Arial" w:hAnsi="Arial" w:cs="Arial"/>
          <w:i/>
          <w:iCs/>
          <w:sz w:val="20"/>
          <w:szCs w:val="20"/>
        </w:rPr>
        <w:t xml:space="preserve">p = </w:t>
      </w:r>
      <w:r w:rsidR="004A27C9">
        <w:rPr>
          <w:rFonts w:ascii="Arial" w:hAnsi="Arial" w:cs="Arial"/>
          <w:sz w:val="20"/>
          <w:szCs w:val="20"/>
        </w:rPr>
        <w:t>0.005</w:t>
      </w:r>
      <w:r w:rsidR="006E4B96">
        <w:rPr>
          <w:rFonts w:ascii="Arial" w:hAnsi="Arial" w:cs="Arial"/>
          <w:sz w:val="20"/>
          <w:szCs w:val="20"/>
        </w:rPr>
        <w:t>)</w:t>
      </w:r>
      <w:r w:rsidR="009D66E3" w:rsidRPr="007A682B">
        <w:rPr>
          <w:rFonts w:ascii="Arial" w:hAnsi="Arial" w:cs="Arial"/>
          <w:sz w:val="20"/>
          <w:szCs w:val="20"/>
        </w:rPr>
        <w:t xml:space="preserve"> </w:t>
      </w:r>
      <w:r w:rsidR="000E3F08" w:rsidRPr="007A682B">
        <w:rPr>
          <w:rFonts w:ascii="Arial" w:hAnsi="Arial" w:cs="Arial"/>
          <w:sz w:val="20"/>
          <w:szCs w:val="20"/>
        </w:rPr>
        <w:t xml:space="preserve">and </w:t>
      </w:r>
      <w:r w:rsidR="000E3F08" w:rsidRPr="007A682B">
        <w:rPr>
          <w:rFonts w:ascii="Arial" w:hAnsi="Arial" w:cs="Arial"/>
          <w:i/>
          <w:iCs/>
          <w:sz w:val="20"/>
          <w:szCs w:val="20"/>
        </w:rPr>
        <w:t xml:space="preserve">drd3 </w:t>
      </w:r>
      <w:r w:rsidR="000E3F08" w:rsidRPr="007A682B">
        <w:rPr>
          <w:rFonts w:ascii="Arial" w:hAnsi="Arial" w:cs="Arial"/>
          <w:sz w:val="20"/>
          <w:szCs w:val="20"/>
        </w:rPr>
        <w:t>expression</w:t>
      </w:r>
      <w:r w:rsidR="004A27C9">
        <w:rPr>
          <w:rFonts w:ascii="Arial" w:hAnsi="Arial" w:cs="Arial"/>
          <w:sz w:val="20"/>
          <w:szCs w:val="20"/>
        </w:rPr>
        <w:t xml:space="preserve"> </w:t>
      </w:r>
      <w:r w:rsidR="00EA7B09" w:rsidRPr="007A682B">
        <w:rPr>
          <w:rFonts w:ascii="Arial" w:hAnsi="Arial" w:cs="Arial"/>
          <w:sz w:val="20"/>
          <w:szCs w:val="20"/>
        </w:rPr>
        <w:t>(</w:t>
      </w:r>
      <w:r w:rsidR="00A367F6" w:rsidRPr="00530E82">
        <w:rPr>
          <w:rFonts w:ascii="Arial" w:hAnsi="Arial" w:cs="Arial"/>
          <w:sz w:val="20"/>
          <w:szCs w:val="20"/>
        </w:rPr>
        <w:t>χ</w:t>
      </w:r>
      <w:r w:rsidR="00A367F6">
        <w:rPr>
          <w:rFonts w:ascii="Arial" w:hAnsi="Arial" w:cs="Arial"/>
          <w:sz w:val="20"/>
          <w:szCs w:val="20"/>
          <w:vertAlign w:val="superscript"/>
        </w:rPr>
        <w:t>2</w:t>
      </w:r>
      <w:r w:rsidR="00A367F6">
        <w:rPr>
          <w:rFonts w:ascii="Arial" w:hAnsi="Arial" w:cs="Arial"/>
          <w:sz w:val="20"/>
          <w:szCs w:val="20"/>
        </w:rPr>
        <w:t>(2) = 17.110,</w:t>
      </w:r>
      <w:r w:rsidR="00346140">
        <w:rPr>
          <w:rFonts w:ascii="Arial" w:hAnsi="Arial" w:cs="Arial"/>
          <w:sz w:val="20"/>
          <w:szCs w:val="20"/>
        </w:rPr>
        <w:t xml:space="preserve"> </w:t>
      </w:r>
      <w:r w:rsidR="00346140">
        <w:rPr>
          <w:rFonts w:ascii="Arial" w:hAnsi="Arial" w:cs="Arial"/>
          <w:i/>
          <w:iCs/>
          <w:sz w:val="20"/>
          <w:szCs w:val="20"/>
        </w:rPr>
        <w:t>q</w:t>
      </w:r>
      <w:r w:rsidR="00346140">
        <w:rPr>
          <w:rFonts w:ascii="Arial" w:hAnsi="Arial" w:cs="Arial"/>
          <w:sz w:val="20"/>
          <w:szCs w:val="20"/>
        </w:rPr>
        <w:t xml:space="preserve"> = </w:t>
      </w:r>
      <w:r w:rsidR="00A367F6">
        <w:rPr>
          <w:rFonts w:ascii="Arial" w:hAnsi="Arial" w:cs="Arial"/>
          <w:sz w:val="20"/>
          <w:szCs w:val="20"/>
        </w:rPr>
        <w:t>0.016</w:t>
      </w:r>
      <w:r w:rsidR="00EA7B09" w:rsidRPr="007A682B">
        <w:rPr>
          <w:rFonts w:ascii="Arial" w:hAnsi="Arial" w:cs="Arial"/>
          <w:sz w:val="20"/>
          <w:szCs w:val="20"/>
        </w:rPr>
        <w:t xml:space="preserve">) </w:t>
      </w:r>
      <w:r w:rsidR="000E3F08" w:rsidRPr="007A682B">
        <w:rPr>
          <w:rFonts w:ascii="Arial" w:hAnsi="Arial" w:cs="Arial"/>
          <w:sz w:val="20"/>
          <w:szCs w:val="20"/>
        </w:rPr>
        <w:t>increased</w:t>
      </w:r>
      <w:r w:rsidR="004A27C9">
        <w:rPr>
          <w:rFonts w:ascii="Arial" w:hAnsi="Arial" w:cs="Arial"/>
          <w:sz w:val="20"/>
          <w:szCs w:val="20"/>
        </w:rPr>
        <w:t xml:space="preserve"> </w:t>
      </w:r>
      <w:r w:rsidR="005311A9">
        <w:rPr>
          <w:rFonts w:ascii="Arial" w:hAnsi="Arial" w:cs="Arial"/>
          <w:sz w:val="20"/>
          <w:szCs w:val="20"/>
        </w:rPr>
        <w:t>xx</w:t>
      </w:r>
      <w:r w:rsidR="00385EE8" w:rsidRPr="00385EE8">
        <w:rPr>
          <w:rFonts w:ascii="Arial" w:hAnsi="Arial" w:cs="Arial"/>
          <w:sz w:val="20"/>
          <w:szCs w:val="20"/>
          <w:highlight w:val="yellow"/>
        </w:rPr>
        <w:t>-</w:t>
      </w:r>
      <w:r w:rsidR="004A27C9">
        <w:rPr>
          <w:rFonts w:ascii="Arial" w:hAnsi="Arial" w:cs="Arial"/>
          <w:sz w:val="20"/>
          <w:szCs w:val="20"/>
        </w:rPr>
        <w:t xml:space="preserve">fold and </w:t>
      </w:r>
      <w:r w:rsidR="005311A9">
        <w:rPr>
          <w:rFonts w:ascii="Arial" w:hAnsi="Arial" w:cs="Arial"/>
          <w:sz w:val="20"/>
          <w:szCs w:val="20"/>
        </w:rPr>
        <w:t>2.5</w:t>
      </w:r>
      <w:r w:rsidR="00385EE8" w:rsidRPr="00385EE8">
        <w:rPr>
          <w:rFonts w:ascii="Arial" w:hAnsi="Arial" w:cs="Arial"/>
          <w:sz w:val="20"/>
          <w:szCs w:val="20"/>
          <w:highlight w:val="yellow"/>
        </w:rPr>
        <w:t>-</w:t>
      </w:r>
      <w:r w:rsidR="004A27C9">
        <w:rPr>
          <w:rFonts w:ascii="Arial" w:hAnsi="Arial" w:cs="Arial"/>
          <w:sz w:val="20"/>
          <w:szCs w:val="20"/>
        </w:rPr>
        <w:t xml:space="preserve">fold respectively. </w:t>
      </w:r>
      <w:r w:rsidR="000E3F08" w:rsidRPr="007A682B">
        <w:rPr>
          <w:rFonts w:ascii="Arial" w:hAnsi="Arial" w:cs="Arial"/>
          <w:sz w:val="20"/>
          <w:szCs w:val="20"/>
        </w:rPr>
        <w:t xml:space="preserve"> </w:t>
      </w:r>
      <w:r w:rsidR="000E3F08" w:rsidRPr="007A682B">
        <w:rPr>
          <w:rFonts w:ascii="Arial" w:hAnsi="Arial" w:cs="Arial"/>
          <w:i/>
          <w:iCs/>
          <w:sz w:val="20"/>
          <w:szCs w:val="20"/>
        </w:rPr>
        <w:t>tacr3a</w:t>
      </w:r>
      <w:r w:rsidR="000E3F08" w:rsidRPr="007A682B">
        <w:rPr>
          <w:rFonts w:ascii="Arial" w:hAnsi="Arial" w:cs="Arial"/>
          <w:sz w:val="20"/>
          <w:szCs w:val="20"/>
        </w:rPr>
        <w:t xml:space="preserve"> expression </w:t>
      </w:r>
      <w:r w:rsidR="00EA7B09" w:rsidRPr="007A682B">
        <w:rPr>
          <w:rFonts w:ascii="Arial" w:hAnsi="Arial" w:cs="Arial"/>
          <w:sz w:val="20"/>
          <w:szCs w:val="20"/>
        </w:rPr>
        <w:t>(</w:t>
      </w:r>
      <w:r w:rsidR="00A367F6" w:rsidRPr="00530E82">
        <w:rPr>
          <w:rFonts w:ascii="Arial" w:hAnsi="Arial" w:cs="Arial"/>
          <w:sz w:val="20"/>
          <w:szCs w:val="20"/>
        </w:rPr>
        <w:t>χ</w:t>
      </w:r>
      <w:r w:rsidR="00A367F6">
        <w:rPr>
          <w:rFonts w:ascii="Arial" w:hAnsi="Arial" w:cs="Arial"/>
          <w:sz w:val="20"/>
          <w:szCs w:val="20"/>
          <w:vertAlign w:val="superscript"/>
        </w:rPr>
        <w:t>2</w:t>
      </w:r>
      <w:r w:rsidR="00A367F6">
        <w:rPr>
          <w:rFonts w:ascii="Arial" w:hAnsi="Arial" w:cs="Arial"/>
          <w:sz w:val="20"/>
          <w:szCs w:val="20"/>
        </w:rPr>
        <w:t xml:space="preserve">(2) = 21.890, </w:t>
      </w:r>
      <w:r w:rsidR="00A367F6">
        <w:rPr>
          <w:rFonts w:ascii="Arial" w:hAnsi="Arial" w:cs="Arial"/>
          <w:i/>
          <w:iCs/>
          <w:sz w:val="20"/>
          <w:szCs w:val="20"/>
        </w:rPr>
        <w:t>q</w:t>
      </w:r>
      <w:r w:rsidR="00A367F6">
        <w:rPr>
          <w:rFonts w:ascii="Arial" w:hAnsi="Arial" w:cs="Arial"/>
          <w:sz w:val="20"/>
          <w:szCs w:val="20"/>
        </w:rPr>
        <w:t xml:space="preserve"> </w:t>
      </w:r>
      <w:r w:rsidR="0025138F">
        <w:rPr>
          <w:rFonts w:ascii="Arial" w:hAnsi="Arial" w:cs="Arial"/>
          <w:sz w:val="20"/>
          <w:szCs w:val="20"/>
        </w:rPr>
        <w:t>= 0.002</w:t>
      </w:r>
      <w:r w:rsidR="00EA7B09" w:rsidRPr="007A682B">
        <w:rPr>
          <w:rFonts w:ascii="Arial" w:hAnsi="Arial" w:cs="Arial"/>
          <w:sz w:val="20"/>
          <w:szCs w:val="20"/>
        </w:rPr>
        <w:t xml:space="preserve">) </w:t>
      </w:r>
      <w:r w:rsidR="000E3F08" w:rsidRPr="007A682B">
        <w:rPr>
          <w:rFonts w:ascii="Arial" w:hAnsi="Arial" w:cs="Arial"/>
          <w:sz w:val="20"/>
          <w:szCs w:val="20"/>
        </w:rPr>
        <w:t xml:space="preserve">and the proportion of </w:t>
      </w:r>
      <w:r w:rsidR="000E3F08" w:rsidRPr="007A682B">
        <w:rPr>
          <w:rFonts w:ascii="Arial" w:hAnsi="Arial" w:cs="Arial"/>
          <w:i/>
          <w:iCs/>
          <w:sz w:val="20"/>
          <w:szCs w:val="20"/>
        </w:rPr>
        <w:t>tacr3a</w:t>
      </w:r>
      <w:r w:rsidR="000E3F08" w:rsidRPr="007A682B">
        <w:rPr>
          <w:rFonts w:ascii="Arial" w:hAnsi="Arial" w:cs="Arial"/>
          <w:sz w:val="20"/>
          <w:szCs w:val="20"/>
        </w:rPr>
        <w:t>-expressing neurons</w:t>
      </w:r>
      <w:r w:rsidR="009D66E3" w:rsidRPr="007A682B">
        <w:rPr>
          <w:rFonts w:ascii="Arial" w:hAnsi="Arial" w:cs="Arial"/>
          <w:sz w:val="20"/>
          <w:szCs w:val="20"/>
        </w:rPr>
        <w:t xml:space="preserve"> (</w:t>
      </w:r>
      <w:r w:rsidR="004A27C9" w:rsidRPr="00530E82">
        <w:rPr>
          <w:rFonts w:ascii="Arial" w:hAnsi="Arial" w:cs="Arial"/>
          <w:sz w:val="20"/>
          <w:szCs w:val="20"/>
        </w:rPr>
        <w:t>χ</w:t>
      </w:r>
      <w:r w:rsidR="004A27C9">
        <w:rPr>
          <w:rFonts w:ascii="Arial" w:hAnsi="Arial" w:cs="Arial"/>
          <w:sz w:val="20"/>
          <w:szCs w:val="20"/>
          <w:vertAlign w:val="superscript"/>
        </w:rPr>
        <w:t>2</w:t>
      </w:r>
      <w:r w:rsidR="004A27C9">
        <w:rPr>
          <w:rFonts w:ascii="Arial" w:hAnsi="Arial" w:cs="Arial"/>
          <w:sz w:val="20"/>
          <w:szCs w:val="20"/>
        </w:rPr>
        <w:t>(2</w:t>
      </w:r>
      <w:r w:rsidR="004A27C9" w:rsidRPr="007A682B">
        <w:rPr>
          <w:rFonts w:ascii="Arial" w:hAnsi="Arial" w:cs="Arial"/>
          <w:sz w:val="20"/>
          <w:szCs w:val="20"/>
        </w:rPr>
        <w:t>)</w:t>
      </w:r>
      <w:r w:rsidR="004A27C9">
        <w:rPr>
          <w:rFonts w:ascii="Arial" w:hAnsi="Arial" w:cs="Arial"/>
          <w:sz w:val="20"/>
          <w:szCs w:val="20"/>
        </w:rPr>
        <w:t xml:space="preserve"> </w:t>
      </w:r>
      <w:r w:rsidR="00385EE8">
        <w:rPr>
          <w:rFonts w:ascii="Arial" w:hAnsi="Arial" w:cs="Arial"/>
          <w:sz w:val="20"/>
          <w:szCs w:val="20"/>
        </w:rPr>
        <w:t xml:space="preserve">=26.329, </w:t>
      </w:r>
      <w:r w:rsidR="00385EE8">
        <w:rPr>
          <w:rFonts w:ascii="Arial" w:hAnsi="Arial" w:cs="Arial"/>
          <w:i/>
          <w:iCs/>
          <w:sz w:val="20"/>
          <w:szCs w:val="20"/>
        </w:rPr>
        <w:t>p</w:t>
      </w:r>
      <w:r w:rsidR="00385EE8">
        <w:rPr>
          <w:rFonts w:ascii="Arial" w:hAnsi="Arial" w:cs="Arial"/>
          <w:sz w:val="20"/>
          <w:szCs w:val="20"/>
        </w:rPr>
        <w:t xml:space="preserve"> &lt;</w:t>
      </w:r>
      <w:r w:rsidR="0025138F">
        <w:rPr>
          <w:rFonts w:ascii="Arial" w:hAnsi="Arial" w:cs="Arial"/>
          <w:sz w:val="20"/>
          <w:szCs w:val="20"/>
        </w:rPr>
        <w:t xml:space="preserve"> </w:t>
      </w:r>
      <w:r w:rsidR="00385EE8">
        <w:rPr>
          <w:rFonts w:ascii="Arial" w:hAnsi="Arial" w:cs="Arial"/>
          <w:sz w:val="20"/>
          <w:szCs w:val="20"/>
        </w:rPr>
        <w:t>0.001</w:t>
      </w:r>
      <w:r w:rsidR="009D66E3" w:rsidRPr="007A682B">
        <w:rPr>
          <w:rFonts w:ascii="Arial" w:hAnsi="Arial" w:cs="Arial"/>
          <w:sz w:val="20"/>
          <w:szCs w:val="20"/>
        </w:rPr>
        <w:t>)</w:t>
      </w:r>
      <w:r w:rsidR="000E3F08" w:rsidRPr="007A682B">
        <w:rPr>
          <w:rFonts w:ascii="Arial" w:hAnsi="Arial" w:cs="Arial"/>
          <w:sz w:val="20"/>
          <w:szCs w:val="20"/>
        </w:rPr>
        <w:t xml:space="preserve"> increased</w:t>
      </w:r>
      <w:r w:rsidR="004A27C9">
        <w:rPr>
          <w:rFonts w:ascii="Arial" w:hAnsi="Arial" w:cs="Arial"/>
          <w:sz w:val="20"/>
          <w:szCs w:val="20"/>
        </w:rPr>
        <w:t xml:space="preserve"> </w:t>
      </w:r>
      <w:r w:rsidR="005311A9">
        <w:rPr>
          <w:rFonts w:ascii="Arial" w:hAnsi="Arial" w:cs="Arial"/>
          <w:sz w:val="20"/>
          <w:szCs w:val="20"/>
          <w:highlight w:val="yellow"/>
        </w:rPr>
        <w:t>1.5</w:t>
      </w:r>
      <w:r w:rsidR="00385EE8" w:rsidRPr="00385EE8">
        <w:rPr>
          <w:rFonts w:ascii="Arial" w:hAnsi="Arial" w:cs="Arial"/>
          <w:sz w:val="20"/>
          <w:szCs w:val="20"/>
          <w:highlight w:val="yellow"/>
        </w:rPr>
        <w:t>-</w:t>
      </w:r>
      <w:r w:rsidR="004A27C9">
        <w:rPr>
          <w:rFonts w:ascii="Arial" w:hAnsi="Arial" w:cs="Arial"/>
          <w:sz w:val="20"/>
          <w:szCs w:val="20"/>
        </w:rPr>
        <w:t>fold</w:t>
      </w:r>
      <w:r w:rsidR="000E3F08" w:rsidRPr="007A682B">
        <w:rPr>
          <w:rFonts w:ascii="Arial" w:hAnsi="Arial" w:cs="Arial"/>
          <w:sz w:val="20"/>
          <w:szCs w:val="20"/>
        </w:rPr>
        <w:t xml:space="preserve"> during the </w:t>
      </w:r>
      <w:r w:rsidR="006044D0">
        <w:rPr>
          <w:rFonts w:ascii="Arial" w:hAnsi="Arial" w:cs="Arial"/>
          <w:sz w:val="20"/>
          <w:szCs w:val="20"/>
        </w:rPr>
        <w:t>male-</w:t>
      </w:r>
      <w:r w:rsidR="000E3F08" w:rsidRPr="007A682B">
        <w:rPr>
          <w:rFonts w:ascii="Arial" w:hAnsi="Arial" w:cs="Arial"/>
          <w:sz w:val="20"/>
          <w:szCs w:val="20"/>
        </w:rPr>
        <w:t xml:space="preserve">intermediate </w:t>
      </w:r>
      <w:r w:rsidR="006044D0">
        <w:rPr>
          <w:rFonts w:ascii="Arial" w:hAnsi="Arial" w:cs="Arial"/>
          <w:sz w:val="20"/>
          <w:szCs w:val="20"/>
        </w:rPr>
        <w:t>transition</w:t>
      </w:r>
      <w:r w:rsidR="000E3F08" w:rsidRPr="007A682B">
        <w:rPr>
          <w:rFonts w:ascii="Arial" w:hAnsi="Arial" w:cs="Arial"/>
          <w:sz w:val="20"/>
          <w:szCs w:val="20"/>
        </w:rPr>
        <w:t xml:space="preserve"> before declining</w:t>
      </w:r>
      <w:r w:rsidR="005311A9">
        <w:rPr>
          <w:rFonts w:ascii="Arial" w:hAnsi="Arial" w:cs="Arial"/>
          <w:sz w:val="20"/>
          <w:szCs w:val="20"/>
        </w:rPr>
        <w:t xml:space="preserve"> </w:t>
      </w:r>
      <w:r w:rsidR="000E3F08" w:rsidRPr="007A682B">
        <w:rPr>
          <w:rFonts w:ascii="Arial" w:hAnsi="Arial" w:cs="Arial"/>
          <w:sz w:val="20"/>
          <w:szCs w:val="20"/>
        </w:rPr>
        <w:t>below male levels in females (</w:t>
      </w:r>
      <w:r w:rsidR="000E3F08" w:rsidRPr="007A682B">
        <w:rPr>
          <w:rFonts w:ascii="Arial" w:hAnsi="Arial" w:cs="Arial"/>
          <w:sz w:val="20"/>
          <w:szCs w:val="20"/>
          <w:highlight w:val="yellow"/>
        </w:rPr>
        <w:t>Fig. 6A,B</w:t>
      </w:r>
      <w:r w:rsidR="00BC1A9E" w:rsidRPr="007A682B">
        <w:rPr>
          <w:rFonts w:ascii="Arial" w:hAnsi="Arial" w:cs="Arial"/>
          <w:sz w:val="20"/>
          <w:szCs w:val="20"/>
        </w:rPr>
        <w:t>, Appendix S1</w:t>
      </w:r>
      <w:r w:rsidR="000E3F08" w:rsidRPr="007A682B">
        <w:rPr>
          <w:rFonts w:ascii="Arial" w:hAnsi="Arial" w:cs="Arial"/>
          <w:sz w:val="20"/>
          <w:szCs w:val="20"/>
        </w:rPr>
        <w:t xml:space="preserve">). </w:t>
      </w:r>
      <w:r w:rsidR="00D770B1" w:rsidRPr="007A682B">
        <w:rPr>
          <w:rFonts w:ascii="Arial" w:hAnsi="Arial" w:cs="Arial"/>
          <w:sz w:val="20"/>
          <w:szCs w:val="20"/>
        </w:rPr>
        <w:t>By</w:t>
      </w:r>
      <w:r w:rsidR="000E3F08" w:rsidRPr="007A682B">
        <w:rPr>
          <w:rFonts w:ascii="Arial" w:hAnsi="Arial" w:cs="Arial"/>
          <w:sz w:val="20"/>
          <w:szCs w:val="20"/>
        </w:rPr>
        <w:t xml:space="preserve"> contrast, </w:t>
      </w:r>
      <w:r w:rsidR="000E3F08" w:rsidRPr="007A682B">
        <w:rPr>
          <w:rFonts w:ascii="Arial" w:hAnsi="Arial" w:cs="Arial"/>
          <w:i/>
          <w:iCs/>
          <w:sz w:val="20"/>
          <w:szCs w:val="20"/>
        </w:rPr>
        <w:t>npy7r</w:t>
      </w:r>
      <w:r w:rsidR="00EF2E87" w:rsidRPr="007A682B">
        <w:rPr>
          <w:rFonts w:ascii="Arial" w:hAnsi="Arial" w:cs="Arial"/>
          <w:i/>
          <w:iCs/>
          <w:sz w:val="20"/>
          <w:szCs w:val="20"/>
        </w:rPr>
        <w:t xml:space="preserve"> </w:t>
      </w:r>
      <w:r w:rsidR="00EA7B09" w:rsidRPr="007A682B">
        <w:rPr>
          <w:rFonts w:ascii="Arial" w:hAnsi="Arial" w:cs="Arial"/>
          <w:sz w:val="20"/>
          <w:szCs w:val="20"/>
        </w:rPr>
        <w:t>(</w:t>
      </w:r>
      <w:r w:rsidR="00A367F6" w:rsidRPr="00530E82">
        <w:rPr>
          <w:rFonts w:ascii="Arial" w:hAnsi="Arial" w:cs="Arial"/>
          <w:sz w:val="20"/>
          <w:szCs w:val="20"/>
        </w:rPr>
        <w:t>χ</w:t>
      </w:r>
      <w:r w:rsidR="00A367F6">
        <w:rPr>
          <w:rFonts w:ascii="Arial" w:hAnsi="Arial" w:cs="Arial"/>
          <w:sz w:val="20"/>
          <w:szCs w:val="20"/>
          <w:vertAlign w:val="superscript"/>
        </w:rPr>
        <w:t>2</w:t>
      </w:r>
      <w:r w:rsidR="00A367F6">
        <w:rPr>
          <w:rFonts w:ascii="Arial" w:hAnsi="Arial" w:cs="Arial"/>
          <w:sz w:val="20"/>
          <w:szCs w:val="20"/>
        </w:rPr>
        <w:t>(2) = 17.58</w:t>
      </w:r>
      <w:r w:rsidR="009D76F1">
        <w:rPr>
          <w:rFonts w:ascii="Arial" w:hAnsi="Arial" w:cs="Arial"/>
          <w:sz w:val="20"/>
          <w:szCs w:val="20"/>
        </w:rPr>
        <w:t>2,</w:t>
      </w:r>
      <w:r w:rsidR="00A367F6">
        <w:rPr>
          <w:rFonts w:ascii="Arial" w:hAnsi="Arial" w:cs="Arial"/>
          <w:sz w:val="20"/>
          <w:szCs w:val="20"/>
        </w:rPr>
        <w:t xml:space="preserve"> </w:t>
      </w:r>
      <w:r w:rsidR="00A367F6">
        <w:rPr>
          <w:rFonts w:ascii="Arial" w:hAnsi="Arial" w:cs="Arial"/>
          <w:i/>
          <w:iCs/>
          <w:sz w:val="20"/>
          <w:szCs w:val="20"/>
        </w:rPr>
        <w:t>q</w:t>
      </w:r>
      <w:r w:rsidR="00A367F6">
        <w:rPr>
          <w:rFonts w:ascii="Arial" w:hAnsi="Arial" w:cs="Arial"/>
          <w:sz w:val="20"/>
          <w:szCs w:val="20"/>
        </w:rPr>
        <w:t xml:space="preserve"> </w:t>
      </w:r>
      <w:r w:rsidR="0025138F">
        <w:rPr>
          <w:rFonts w:ascii="Arial" w:hAnsi="Arial" w:cs="Arial"/>
          <w:sz w:val="20"/>
          <w:szCs w:val="20"/>
        </w:rPr>
        <w:t>=</w:t>
      </w:r>
      <w:r w:rsidR="0025138F" w:rsidRPr="0025138F">
        <w:t xml:space="preserve"> </w:t>
      </w:r>
      <w:r w:rsidR="0025138F" w:rsidRPr="0025138F">
        <w:rPr>
          <w:rFonts w:ascii="Arial" w:hAnsi="Arial" w:cs="Arial"/>
          <w:sz w:val="20"/>
          <w:szCs w:val="20"/>
        </w:rPr>
        <w:t>0.013</w:t>
      </w:r>
      <w:r w:rsidR="00EA7B09" w:rsidRPr="007A682B">
        <w:rPr>
          <w:rFonts w:ascii="Arial" w:hAnsi="Arial" w:cs="Arial"/>
          <w:sz w:val="20"/>
          <w:szCs w:val="20"/>
        </w:rPr>
        <w:t xml:space="preserve">) </w:t>
      </w:r>
      <w:r w:rsidR="000E3F08" w:rsidRPr="007A682B">
        <w:rPr>
          <w:rFonts w:ascii="Arial" w:hAnsi="Arial" w:cs="Arial"/>
          <w:sz w:val="20"/>
          <w:szCs w:val="20"/>
        </w:rPr>
        <w:t xml:space="preserve">and </w:t>
      </w:r>
      <w:r w:rsidR="000E3F08" w:rsidRPr="007A682B">
        <w:rPr>
          <w:rFonts w:ascii="Arial" w:hAnsi="Arial" w:cs="Arial"/>
          <w:i/>
          <w:iCs/>
          <w:sz w:val="20"/>
          <w:szCs w:val="20"/>
        </w:rPr>
        <w:t>nmbr</w:t>
      </w:r>
      <w:r w:rsidR="000E3F08" w:rsidRPr="007A682B">
        <w:rPr>
          <w:rFonts w:ascii="Arial" w:hAnsi="Arial" w:cs="Arial"/>
          <w:sz w:val="20"/>
          <w:szCs w:val="20"/>
        </w:rPr>
        <w:t xml:space="preserve"> </w:t>
      </w:r>
      <w:r w:rsidR="00EA7B09" w:rsidRPr="007A682B">
        <w:rPr>
          <w:rFonts w:ascii="Arial" w:hAnsi="Arial" w:cs="Arial"/>
          <w:sz w:val="20"/>
          <w:szCs w:val="20"/>
        </w:rPr>
        <w:t>(</w:t>
      </w:r>
      <w:r w:rsidR="00A367F6" w:rsidRPr="00530E82">
        <w:rPr>
          <w:rFonts w:ascii="Arial" w:hAnsi="Arial" w:cs="Arial"/>
          <w:sz w:val="20"/>
          <w:szCs w:val="20"/>
        </w:rPr>
        <w:t>χ</w:t>
      </w:r>
      <w:r w:rsidR="00A367F6">
        <w:rPr>
          <w:rFonts w:ascii="Arial" w:hAnsi="Arial" w:cs="Arial"/>
          <w:sz w:val="20"/>
          <w:szCs w:val="20"/>
          <w:vertAlign w:val="superscript"/>
        </w:rPr>
        <w:t>2</w:t>
      </w:r>
      <w:r w:rsidR="00A367F6">
        <w:rPr>
          <w:rFonts w:ascii="Arial" w:hAnsi="Arial" w:cs="Arial"/>
          <w:sz w:val="20"/>
          <w:szCs w:val="20"/>
        </w:rPr>
        <w:t xml:space="preserve">(2) = 15.357, </w:t>
      </w:r>
      <w:r w:rsidR="00A367F6">
        <w:rPr>
          <w:rFonts w:ascii="Arial" w:hAnsi="Arial" w:cs="Arial"/>
          <w:i/>
          <w:iCs/>
          <w:sz w:val="20"/>
          <w:szCs w:val="20"/>
        </w:rPr>
        <w:t>q</w:t>
      </w:r>
      <w:r w:rsidR="00A367F6">
        <w:rPr>
          <w:rFonts w:ascii="Arial" w:hAnsi="Arial" w:cs="Arial"/>
          <w:sz w:val="20"/>
          <w:szCs w:val="20"/>
        </w:rPr>
        <w:t xml:space="preserve"> </w:t>
      </w:r>
      <w:r w:rsidR="0025138F">
        <w:rPr>
          <w:rFonts w:ascii="Arial" w:hAnsi="Arial" w:cs="Arial"/>
          <w:sz w:val="20"/>
          <w:szCs w:val="20"/>
        </w:rPr>
        <w:t>= 0.034</w:t>
      </w:r>
      <w:r w:rsidR="000160E8" w:rsidRPr="007A682B">
        <w:rPr>
          <w:rFonts w:ascii="Arial" w:hAnsi="Arial" w:cs="Arial"/>
          <w:sz w:val="20"/>
          <w:szCs w:val="20"/>
        </w:rPr>
        <w:t>) expression</w:t>
      </w:r>
      <w:r w:rsidR="000E3F08" w:rsidRPr="007A682B">
        <w:rPr>
          <w:rFonts w:ascii="Arial" w:hAnsi="Arial" w:cs="Arial"/>
          <w:sz w:val="20"/>
          <w:szCs w:val="20"/>
        </w:rPr>
        <w:t xml:space="preserve"> decreased </w:t>
      </w:r>
      <w:r w:rsidR="0025138F">
        <w:rPr>
          <w:rFonts w:ascii="Arial" w:hAnsi="Arial" w:cs="Arial"/>
          <w:sz w:val="20"/>
          <w:szCs w:val="20"/>
        </w:rPr>
        <w:t>6</w:t>
      </w:r>
      <w:r w:rsidR="006044D0">
        <w:rPr>
          <w:rFonts w:ascii="Arial" w:hAnsi="Arial" w:cs="Arial"/>
          <w:sz w:val="20"/>
          <w:szCs w:val="20"/>
        </w:rPr>
        <w:t>2</w:t>
      </w:r>
      <w:r w:rsidR="004A27C9">
        <w:rPr>
          <w:rFonts w:ascii="Arial" w:hAnsi="Arial" w:cs="Arial"/>
          <w:sz w:val="20"/>
          <w:szCs w:val="20"/>
        </w:rPr>
        <w:t xml:space="preserve">% and </w:t>
      </w:r>
      <w:r w:rsidR="0025138F">
        <w:rPr>
          <w:rFonts w:ascii="Arial" w:hAnsi="Arial" w:cs="Arial"/>
          <w:sz w:val="20"/>
          <w:szCs w:val="20"/>
        </w:rPr>
        <w:t>22</w:t>
      </w:r>
      <w:r w:rsidR="004A27C9">
        <w:rPr>
          <w:rFonts w:ascii="Arial" w:hAnsi="Arial" w:cs="Arial"/>
          <w:sz w:val="20"/>
          <w:szCs w:val="20"/>
        </w:rPr>
        <w:t xml:space="preserve">% respectively </w:t>
      </w:r>
      <w:r w:rsidR="000E3F08" w:rsidRPr="007A682B">
        <w:rPr>
          <w:rFonts w:ascii="Arial" w:hAnsi="Arial" w:cs="Arial"/>
          <w:sz w:val="20"/>
          <w:szCs w:val="20"/>
        </w:rPr>
        <w:t xml:space="preserve">during the male-to-intermediate transition </w:t>
      </w:r>
      <w:r w:rsidR="00120EF9" w:rsidRPr="007A682B">
        <w:rPr>
          <w:rFonts w:ascii="Arial" w:hAnsi="Arial" w:cs="Arial"/>
          <w:sz w:val="20"/>
          <w:szCs w:val="20"/>
        </w:rPr>
        <w:t>with</w:t>
      </w:r>
      <w:r w:rsidR="000E3F08" w:rsidRPr="007A682B">
        <w:rPr>
          <w:rFonts w:ascii="Arial" w:hAnsi="Arial" w:cs="Arial"/>
          <w:sz w:val="20"/>
          <w:szCs w:val="20"/>
        </w:rPr>
        <w:t xml:space="preserve"> corresponding changes in the </w:t>
      </w:r>
      <w:r w:rsidR="004A27C9" w:rsidRPr="007A682B">
        <w:rPr>
          <w:rFonts w:ascii="Arial" w:hAnsi="Arial" w:cs="Arial"/>
          <w:sz w:val="20"/>
          <w:szCs w:val="20"/>
        </w:rPr>
        <w:t>abundance (</w:t>
      </w:r>
      <w:r w:rsidR="00940979" w:rsidRPr="007A682B">
        <w:rPr>
          <w:rFonts w:ascii="Arial" w:hAnsi="Arial" w:cs="Arial"/>
          <w:i/>
          <w:iCs/>
          <w:sz w:val="20"/>
          <w:szCs w:val="20"/>
        </w:rPr>
        <w:t>npy</w:t>
      </w:r>
      <w:r w:rsidR="009D66E3" w:rsidRPr="007A682B">
        <w:rPr>
          <w:rFonts w:ascii="Arial" w:hAnsi="Arial" w:cs="Arial"/>
          <w:i/>
          <w:iCs/>
          <w:sz w:val="20"/>
          <w:szCs w:val="20"/>
        </w:rPr>
        <w:t>7r</w:t>
      </w:r>
      <w:r w:rsidR="004A27C9">
        <w:rPr>
          <w:rFonts w:ascii="Arial" w:hAnsi="Arial" w:cs="Arial"/>
          <w:i/>
          <w:iCs/>
          <w:sz w:val="20"/>
          <w:szCs w:val="20"/>
        </w:rPr>
        <w:t xml:space="preserve">: </w:t>
      </w:r>
      <w:r w:rsidR="005311A9">
        <w:rPr>
          <w:rFonts w:ascii="Arial" w:hAnsi="Arial" w:cs="Arial"/>
          <w:sz w:val="20"/>
          <w:szCs w:val="20"/>
        </w:rPr>
        <w:t>47</w:t>
      </w:r>
      <w:r w:rsidR="004A27C9">
        <w:rPr>
          <w:rFonts w:ascii="Arial" w:hAnsi="Arial" w:cs="Arial"/>
          <w:i/>
          <w:iCs/>
          <w:sz w:val="20"/>
          <w:szCs w:val="20"/>
        </w:rPr>
        <w:t>%</w:t>
      </w:r>
      <w:r w:rsidR="00385EE8">
        <w:rPr>
          <w:rFonts w:ascii="Arial" w:hAnsi="Arial" w:cs="Arial"/>
          <w:i/>
          <w:iCs/>
          <w:sz w:val="20"/>
          <w:szCs w:val="20"/>
        </w:rPr>
        <w:t xml:space="preserve">, </w:t>
      </w:r>
      <w:r w:rsidR="004A27C9" w:rsidRPr="00385EE8">
        <w:rPr>
          <w:rFonts w:ascii="Arial" w:hAnsi="Arial" w:cs="Arial"/>
          <w:sz w:val="20"/>
          <w:szCs w:val="20"/>
        </w:rPr>
        <w:t>(</w:t>
      </w:r>
      <w:r w:rsidR="004A27C9" w:rsidRPr="00530E82">
        <w:rPr>
          <w:rFonts w:ascii="Arial" w:hAnsi="Arial" w:cs="Arial"/>
          <w:sz w:val="20"/>
          <w:szCs w:val="20"/>
        </w:rPr>
        <w:t>χ</w:t>
      </w:r>
      <w:r w:rsidR="004A27C9">
        <w:rPr>
          <w:rFonts w:ascii="Arial" w:hAnsi="Arial" w:cs="Arial"/>
          <w:sz w:val="20"/>
          <w:szCs w:val="20"/>
          <w:vertAlign w:val="superscript"/>
        </w:rPr>
        <w:t>2</w:t>
      </w:r>
      <w:r w:rsidR="004A27C9">
        <w:rPr>
          <w:rFonts w:ascii="Arial" w:hAnsi="Arial" w:cs="Arial"/>
          <w:sz w:val="20"/>
          <w:szCs w:val="20"/>
        </w:rPr>
        <w:t>(2</w:t>
      </w:r>
      <w:r w:rsidR="004A27C9" w:rsidRPr="007A682B">
        <w:rPr>
          <w:rFonts w:ascii="Arial" w:hAnsi="Arial" w:cs="Arial"/>
          <w:sz w:val="20"/>
          <w:szCs w:val="20"/>
        </w:rPr>
        <w:t>)</w:t>
      </w:r>
      <w:r w:rsidR="00385EE8">
        <w:rPr>
          <w:rFonts w:ascii="Arial" w:hAnsi="Arial" w:cs="Arial"/>
          <w:sz w:val="20"/>
          <w:szCs w:val="20"/>
        </w:rPr>
        <w:t xml:space="preserve"> = 9.</w:t>
      </w:r>
      <w:r w:rsidR="006044D0">
        <w:rPr>
          <w:rFonts w:ascii="Arial" w:hAnsi="Arial" w:cs="Arial"/>
          <w:sz w:val="20"/>
          <w:szCs w:val="20"/>
        </w:rPr>
        <w:t>8</w:t>
      </w:r>
      <w:r w:rsidR="00385EE8">
        <w:rPr>
          <w:rFonts w:ascii="Arial" w:hAnsi="Arial" w:cs="Arial"/>
          <w:sz w:val="20"/>
          <w:szCs w:val="20"/>
        </w:rPr>
        <w:t xml:space="preserve">20, </w:t>
      </w:r>
      <w:r w:rsidR="00385EE8" w:rsidRPr="00385EE8">
        <w:rPr>
          <w:rFonts w:ascii="Arial" w:hAnsi="Arial" w:cs="Arial"/>
          <w:i/>
          <w:iCs/>
          <w:sz w:val="20"/>
          <w:szCs w:val="20"/>
        </w:rPr>
        <w:t>p</w:t>
      </w:r>
      <w:r w:rsidR="00385EE8">
        <w:rPr>
          <w:rFonts w:ascii="Arial" w:hAnsi="Arial" w:cs="Arial"/>
          <w:sz w:val="20"/>
          <w:szCs w:val="20"/>
        </w:rPr>
        <w:t>= 0.007</w:t>
      </w:r>
      <w:r w:rsidR="004A27C9">
        <w:rPr>
          <w:rFonts w:ascii="Arial" w:hAnsi="Arial" w:cs="Arial"/>
          <w:sz w:val="20"/>
          <w:szCs w:val="20"/>
        </w:rPr>
        <w:t xml:space="preserve">), </w:t>
      </w:r>
      <w:r w:rsidR="009D66E3" w:rsidRPr="007A682B">
        <w:rPr>
          <w:rFonts w:ascii="Arial" w:hAnsi="Arial" w:cs="Arial"/>
          <w:sz w:val="20"/>
          <w:szCs w:val="20"/>
        </w:rPr>
        <w:t xml:space="preserve"> </w:t>
      </w:r>
      <w:r w:rsidR="009D66E3" w:rsidRPr="007A682B">
        <w:rPr>
          <w:rFonts w:ascii="Arial" w:hAnsi="Arial" w:cs="Arial"/>
          <w:i/>
          <w:iCs/>
          <w:sz w:val="20"/>
          <w:szCs w:val="20"/>
        </w:rPr>
        <w:t>nmbr</w:t>
      </w:r>
      <w:r w:rsidR="009D66E3" w:rsidRPr="007A682B">
        <w:rPr>
          <w:rFonts w:ascii="Arial" w:hAnsi="Arial" w:cs="Arial"/>
          <w:sz w:val="20"/>
          <w:szCs w:val="20"/>
        </w:rPr>
        <w:t>:</w:t>
      </w:r>
      <w:r w:rsidR="004A27C9">
        <w:rPr>
          <w:rFonts w:ascii="Arial" w:hAnsi="Arial" w:cs="Arial"/>
          <w:sz w:val="20"/>
          <w:szCs w:val="20"/>
        </w:rPr>
        <w:t xml:space="preserve"> </w:t>
      </w:r>
      <w:r w:rsidR="005311A9">
        <w:rPr>
          <w:rFonts w:ascii="Arial" w:hAnsi="Arial" w:cs="Arial"/>
          <w:sz w:val="20"/>
          <w:szCs w:val="20"/>
        </w:rPr>
        <w:t>7</w:t>
      </w:r>
      <w:r w:rsidR="004A27C9">
        <w:rPr>
          <w:rFonts w:ascii="Arial" w:hAnsi="Arial" w:cs="Arial"/>
          <w:sz w:val="20"/>
          <w:szCs w:val="20"/>
        </w:rPr>
        <w:t>%</w:t>
      </w:r>
      <w:r w:rsidR="005311A9">
        <w:rPr>
          <w:rFonts w:ascii="Arial" w:hAnsi="Arial" w:cs="Arial"/>
          <w:sz w:val="20"/>
          <w:szCs w:val="20"/>
        </w:rPr>
        <w:t>,</w:t>
      </w:r>
      <w:r w:rsidR="004A27C9" w:rsidRPr="004A27C9">
        <w:rPr>
          <w:rFonts w:ascii="Arial" w:hAnsi="Arial" w:cs="Arial"/>
          <w:sz w:val="20"/>
          <w:szCs w:val="20"/>
        </w:rPr>
        <w:t xml:space="preserve"> </w:t>
      </w:r>
      <w:r w:rsidR="004A27C9" w:rsidRPr="00530E82">
        <w:rPr>
          <w:rFonts w:ascii="Arial" w:hAnsi="Arial" w:cs="Arial"/>
          <w:sz w:val="20"/>
          <w:szCs w:val="20"/>
        </w:rPr>
        <w:t>χ</w:t>
      </w:r>
      <w:r w:rsidR="004A27C9">
        <w:rPr>
          <w:rFonts w:ascii="Arial" w:hAnsi="Arial" w:cs="Arial"/>
          <w:sz w:val="20"/>
          <w:szCs w:val="20"/>
          <w:vertAlign w:val="superscript"/>
        </w:rPr>
        <w:t>2</w:t>
      </w:r>
      <w:r w:rsidR="004A27C9">
        <w:rPr>
          <w:rFonts w:ascii="Arial" w:hAnsi="Arial" w:cs="Arial"/>
          <w:sz w:val="20"/>
          <w:szCs w:val="20"/>
        </w:rPr>
        <w:t>(2</w:t>
      </w:r>
      <w:r w:rsidR="004A27C9" w:rsidRPr="007A682B">
        <w:rPr>
          <w:rFonts w:ascii="Arial" w:hAnsi="Arial" w:cs="Arial"/>
          <w:sz w:val="20"/>
          <w:szCs w:val="20"/>
        </w:rPr>
        <w:t>)</w:t>
      </w:r>
      <w:r w:rsidR="00385EE8">
        <w:rPr>
          <w:rFonts w:ascii="Arial" w:hAnsi="Arial" w:cs="Arial"/>
          <w:sz w:val="20"/>
          <w:szCs w:val="20"/>
        </w:rPr>
        <w:t xml:space="preserve"> =8.017, </w:t>
      </w:r>
      <w:r w:rsidR="00385EE8">
        <w:rPr>
          <w:rFonts w:ascii="Arial" w:hAnsi="Arial" w:cs="Arial"/>
          <w:i/>
          <w:iCs/>
          <w:sz w:val="20"/>
          <w:szCs w:val="20"/>
        </w:rPr>
        <w:t>p</w:t>
      </w:r>
      <w:r w:rsidR="00385EE8">
        <w:rPr>
          <w:rFonts w:ascii="Arial" w:hAnsi="Arial" w:cs="Arial"/>
          <w:sz w:val="20"/>
          <w:szCs w:val="20"/>
        </w:rPr>
        <w:t xml:space="preserve"> = 0.018</w:t>
      </w:r>
      <w:r w:rsidR="004A27C9">
        <w:rPr>
          <w:rFonts w:ascii="Arial" w:hAnsi="Arial" w:cs="Arial"/>
          <w:sz w:val="20"/>
          <w:szCs w:val="20"/>
        </w:rPr>
        <w:t>)</w:t>
      </w:r>
      <w:r w:rsidR="00940979" w:rsidRPr="007A682B">
        <w:rPr>
          <w:rFonts w:ascii="Arial" w:hAnsi="Arial" w:cs="Arial"/>
          <w:sz w:val="20"/>
          <w:szCs w:val="20"/>
        </w:rPr>
        <w:t>)</w:t>
      </w:r>
      <w:r w:rsidR="00D770B1" w:rsidRPr="007A682B">
        <w:rPr>
          <w:rFonts w:ascii="Arial" w:hAnsi="Arial" w:cs="Arial"/>
          <w:sz w:val="20"/>
          <w:szCs w:val="20"/>
        </w:rPr>
        <w:t xml:space="preserve">. </w:t>
      </w:r>
      <w:r w:rsidR="00120EF9" w:rsidRPr="007A682B">
        <w:rPr>
          <w:rFonts w:ascii="Arial" w:hAnsi="Arial" w:cs="Arial"/>
          <w:sz w:val="20"/>
          <w:szCs w:val="20"/>
        </w:rPr>
        <w:t>Interestingly, n</w:t>
      </w:r>
      <w:r w:rsidR="000E3F08" w:rsidRPr="007A682B">
        <w:rPr>
          <w:rFonts w:ascii="Arial" w:hAnsi="Arial" w:cs="Arial"/>
          <w:sz w:val="20"/>
          <w:szCs w:val="20"/>
        </w:rPr>
        <w:t xml:space="preserve">either </w:t>
      </w:r>
      <w:r w:rsidR="000E3F08" w:rsidRPr="007A682B">
        <w:rPr>
          <w:rFonts w:ascii="Arial" w:hAnsi="Arial" w:cs="Arial"/>
          <w:i/>
          <w:iCs/>
          <w:sz w:val="20"/>
          <w:szCs w:val="20"/>
        </w:rPr>
        <w:t>gnrh1</w:t>
      </w:r>
      <w:r w:rsidR="000E3F08" w:rsidRPr="007A682B">
        <w:rPr>
          <w:rFonts w:ascii="Arial" w:hAnsi="Arial" w:cs="Arial"/>
          <w:sz w:val="20"/>
          <w:szCs w:val="20"/>
        </w:rPr>
        <w:t xml:space="preserve"> </w:t>
      </w:r>
      <w:r w:rsidR="004A27C9" w:rsidRPr="007A682B">
        <w:rPr>
          <w:rFonts w:ascii="Arial" w:hAnsi="Arial" w:cs="Arial"/>
          <w:sz w:val="20"/>
          <w:szCs w:val="20"/>
        </w:rPr>
        <w:t>expression</w:t>
      </w:r>
      <w:r w:rsidR="00385EE8">
        <w:rPr>
          <w:rFonts w:ascii="Arial" w:hAnsi="Arial" w:cs="Arial"/>
          <w:sz w:val="20"/>
          <w:szCs w:val="20"/>
        </w:rPr>
        <w:t xml:space="preserve"> </w:t>
      </w:r>
      <w:r w:rsidR="00385EE8" w:rsidRPr="00385EE8">
        <w:rPr>
          <w:rFonts w:ascii="Arial" w:hAnsi="Arial" w:cs="Arial"/>
          <w:sz w:val="20"/>
          <w:szCs w:val="20"/>
          <w:highlight w:val="yellow"/>
        </w:rPr>
        <w:t>(</w:t>
      </w:r>
      <w:r w:rsidR="00FC7527">
        <w:rPr>
          <w:rFonts w:ascii="Arial" w:hAnsi="Arial" w:cs="Arial"/>
          <w:sz w:val="20"/>
          <w:szCs w:val="20"/>
        </w:rPr>
        <w:t xml:space="preserve">F(2,16)= 2.686, </w:t>
      </w:r>
      <w:r w:rsidR="00FC7527">
        <w:rPr>
          <w:rFonts w:ascii="Arial" w:hAnsi="Arial" w:cs="Arial"/>
          <w:i/>
          <w:iCs/>
          <w:sz w:val="20"/>
          <w:szCs w:val="20"/>
        </w:rPr>
        <w:t xml:space="preserve">p </w:t>
      </w:r>
      <w:r w:rsidR="00FC7527">
        <w:rPr>
          <w:rFonts w:ascii="Arial" w:hAnsi="Arial" w:cs="Arial"/>
          <w:sz w:val="20"/>
          <w:szCs w:val="20"/>
        </w:rPr>
        <w:t>= 0.099, Methods)</w:t>
      </w:r>
      <w:r w:rsidR="004A27C9" w:rsidRPr="007A682B">
        <w:rPr>
          <w:rFonts w:ascii="Arial" w:hAnsi="Arial" w:cs="Arial"/>
          <w:sz w:val="20"/>
          <w:szCs w:val="20"/>
        </w:rPr>
        <w:t xml:space="preserve"> nor</w:t>
      </w:r>
      <w:r w:rsidR="000E3F08" w:rsidRPr="007A682B">
        <w:rPr>
          <w:rFonts w:ascii="Arial" w:hAnsi="Arial" w:cs="Arial"/>
          <w:sz w:val="20"/>
          <w:szCs w:val="20"/>
        </w:rPr>
        <w:t xml:space="preserve"> the proportion of </w:t>
      </w:r>
      <w:r w:rsidR="000E3F08" w:rsidRPr="007A682B">
        <w:rPr>
          <w:rFonts w:ascii="Arial" w:hAnsi="Arial" w:cs="Arial"/>
          <w:i/>
          <w:iCs/>
          <w:sz w:val="20"/>
          <w:szCs w:val="20"/>
        </w:rPr>
        <w:t>gnrh1</w:t>
      </w:r>
      <w:r w:rsidR="000E3F08" w:rsidRPr="007A682B">
        <w:rPr>
          <w:rFonts w:ascii="Arial" w:hAnsi="Arial" w:cs="Arial"/>
          <w:sz w:val="20"/>
          <w:szCs w:val="20"/>
        </w:rPr>
        <w:t>-expressing neurons</w:t>
      </w:r>
      <w:r w:rsidR="006E4B96">
        <w:rPr>
          <w:rFonts w:ascii="Arial" w:hAnsi="Arial" w:cs="Arial"/>
          <w:sz w:val="20"/>
          <w:szCs w:val="20"/>
        </w:rPr>
        <w:t xml:space="preserve"> </w:t>
      </w:r>
      <w:r w:rsidR="00385EE8">
        <w:rPr>
          <w:rFonts w:ascii="Arial" w:hAnsi="Arial" w:cs="Arial"/>
          <w:sz w:val="20"/>
          <w:szCs w:val="20"/>
        </w:rPr>
        <w:t>(</w:t>
      </w:r>
      <w:r w:rsidR="00385EE8" w:rsidRPr="00530E82">
        <w:rPr>
          <w:rFonts w:ascii="Arial" w:hAnsi="Arial" w:cs="Arial"/>
          <w:sz w:val="20"/>
          <w:szCs w:val="20"/>
        </w:rPr>
        <w:t>χ</w:t>
      </w:r>
      <w:r w:rsidR="00385EE8">
        <w:rPr>
          <w:rFonts w:ascii="Arial" w:hAnsi="Arial" w:cs="Arial"/>
          <w:sz w:val="20"/>
          <w:szCs w:val="20"/>
          <w:vertAlign w:val="superscript"/>
        </w:rPr>
        <w:t>2</w:t>
      </w:r>
      <w:r w:rsidR="00385EE8">
        <w:rPr>
          <w:rFonts w:ascii="Arial" w:hAnsi="Arial" w:cs="Arial"/>
          <w:sz w:val="20"/>
          <w:szCs w:val="20"/>
        </w:rPr>
        <w:t>(2</w:t>
      </w:r>
      <w:r w:rsidR="00385EE8" w:rsidRPr="007A682B">
        <w:rPr>
          <w:rFonts w:ascii="Arial" w:hAnsi="Arial" w:cs="Arial"/>
          <w:sz w:val="20"/>
          <w:szCs w:val="20"/>
        </w:rPr>
        <w:t>)</w:t>
      </w:r>
      <w:r w:rsidR="00385EE8">
        <w:rPr>
          <w:rFonts w:ascii="Arial" w:hAnsi="Arial" w:cs="Arial"/>
          <w:sz w:val="20"/>
          <w:szCs w:val="20"/>
        </w:rPr>
        <w:t xml:space="preserve"> = 2.570, </w:t>
      </w:r>
      <w:r w:rsidR="00385EE8">
        <w:rPr>
          <w:rFonts w:ascii="Arial" w:hAnsi="Arial" w:cs="Arial"/>
          <w:i/>
          <w:iCs/>
          <w:sz w:val="20"/>
          <w:szCs w:val="20"/>
        </w:rPr>
        <w:t>p</w:t>
      </w:r>
      <w:r w:rsidR="00385EE8">
        <w:rPr>
          <w:rFonts w:ascii="Arial" w:hAnsi="Arial" w:cs="Arial"/>
          <w:sz w:val="20"/>
          <w:szCs w:val="20"/>
        </w:rPr>
        <w:t xml:space="preserve"> = 0.277) </w:t>
      </w:r>
      <w:r w:rsidR="000E3F08" w:rsidRPr="007A682B">
        <w:rPr>
          <w:rFonts w:ascii="Arial" w:hAnsi="Arial" w:cs="Arial"/>
          <w:sz w:val="20"/>
          <w:szCs w:val="20"/>
        </w:rPr>
        <w:t>changed across sex change (</w:t>
      </w:r>
      <w:r w:rsidR="000E3F08" w:rsidRPr="007A682B">
        <w:rPr>
          <w:rFonts w:ascii="Arial" w:hAnsi="Arial" w:cs="Arial"/>
          <w:sz w:val="20"/>
          <w:szCs w:val="20"/>
          <w:highlight w:val="yellow"/>
        </w:rPr>
        <w:t>Fig. S</w:t>
      </w:r>
      <w:r w:rsidR="00376C7F" w:rsidRPr="007A682B">
        <w:rPr>
          <w:rFonts w:ascii="Arial" w:hAnsi="Arial" w:cs="Arial"/>
          <w:sz w:val="20"/>
          <w:szCs w:val="20"/>
          <w:highlight w:val="yellow"/>
        </w:rPr>
        <w:t>10</w:t>
      </w:r>
      <w:r w:rsidR="0028615F" w:rsidRPr="007A682B">
        <w:rPr>
          <w:rFonts w:ascii="Arial" w:hAnsi="Arial" w:cs="Arial"/>
          <w:sz w:val="20"/>
          <w:szCs w:val="20"/>
          <w:highlight w:val="yellow"/>
        </w:rPr>
        <w:t>C</w:t>
      </w:r>
      <w:r w:rsidR="00BC1A9E" w:rsidRPr="007A682B">
        <w:rPr>
          <w:rFonts w:ascii="Arial" w:hAnsi="Arial" w:cs="Arial"/>
          <w:sz w:val="20"/>
          <w:szCs w:val="20"/>
        </w:rPr>
        <w:t>, Appendix S1</w:t>
      </w:r>
      <w:r w:rsidR="000E3F08" w:rsidRPr="007A682B">
        <w:rPr>
          <w:rFonts w:ascii="Arial" w:hAnsi="Arial" w:cs="Arial"/>
          <w:sz w:val="20"/>
          <w:szCs w:val="20"/>
        </w:rPr>
        <w:t xml:space="preserve">). Unlike these patterns, the proportion of </w:t>
      </w:r>
      <w:r w:rsidR="000E3F08" w:rsidRPr="007A682B">
        <w:rPr>
          <w:rFonts w:ascii="Arial" w:hAnsi="Arial" w:cs="Arial"/>
          <w:i/>
          <w:iCs/>
          <w:sz w:val="20"/>
          <w:szCs w:val="20"/>
        </w:rPr>
        <w:t>cckb</w:t>
      </w:r>
      <w:r w:rsidR="000E3F08" w:rsidRPr="007A682B">
        <w:rPr>
          <w:rFonts w:ascii="Arial" w:hAnsi="Arial" w:cs="Arial"/>
          <w:sz w:val="20"/>
          <w:szCs w:val="20"/>
        </w:rPr>
        <w:t>-expressing neurons</w:t>
      </w:r>
      <w:r w:rsidR="00EF2E87" w:rsidRPr="007A682B">
        <w:rPr>
          <w:rFonts w:ascii="Arial" w:hAnsi="Arial" w:cs="Arial"/>
          <w:sz w:val="20"/>
          <w:szCs w:val="20"/>
        </w:rPr>
        <w:t xml:space="preserve"> </w:t>
      </w:r>
      <w:r w:rsidR="000E3F08" w:rsidRPr="007A682B">
        <w:rPr>
          <w:rFonts w:ascii="Arial" w:hAnsi="Arial" w:cs="Arial"/>
          <w:sz w:val="20"/>
          <w:szCs w:val="20"/>
        </w:rPr>
        <w:t xml:space="preserve">increased </w:t>
      </w:r>
      <w:r w:rsidR="005311A9">
        <w:rPr>
          <w:rFonts w:ascii="Arial" w:hAnsi="Arial" w:cs="Arial"/>
          <w:sz w:val="20"/>
          <w:szCs w:val="20"/>
          <w:highlight w:val="yellow"/>
        </w:rPr>
        <w:t>1.4</w:t>
      </w:r>
      <w:r w:rsidR="00385EE8" w:rsidRPr="00385EE8">
        <w:rPr>
          <w:rFonts w:ascii="Arial" w:hAnsi="Arial" w:cs="Arial"/>
          <w:sz w:val="20"/>
          <w:szCs w:val="20"/>
          <w:highlight w:val="yellow"/>
        </w:rPr>
        <w:t>-</w:t>
      </w:r>
      <w:r w:rsidR="004A27C9">
        <w:rPr>
          <w:rFonts w:ascii="Arial" w:hAnsi="Arial" w:cs="Arial"/>
          <w:sz w:val="20"/>
          <w:szCs w:val="20"/>
        </w:rPr>
        <w:t>fold</w:t>
      </w:r>
      <w:r w:rsidR="000E3F08" w:rsidRPr="007A682B">
        <w:rPr>
          <w:rFonts w:ascii="Arial" w:hAnsi="Arial" w:cs="Arial"/>
          <w:sz w:val="20"/>
          <w:szCs w:val="20"/>
        </w:rPr>
        <w:t xml:space="preserve"> during the intermediate-to-female transition</w:t>
      </w:r>
      <w:r w:rsidR="00385EE8">
        <w:rPr>
          <w:rFonts w:ascii="Arial" w:hAnsi="Arial" w:cs="Arial"/>
          <w:sz w:val="20"/>
          <w:szCs w:val="20"/>
        </w:rPr>
        <w:t xml:space="preserve"> (</w:t>
      </w:r>
      <w:r w:rsidR="00385EE8" w:rsidRPr="00530E82">
        <w:rPr>
          <w:rFonts w:ascii="Arial" w:hAnsi="Arial" w:cs="Arial"/>
          <w:sz w:val="20"/>
          <w:szCs w:val="20"/>
        </w:rPr>
        <w:t>χ</w:t>
      </w:r>
      <w:r w:rsidR="00385EE8">
        <w:rPr>
          <w:rFonts w:ascii="Arial" w:hAnsi="Arial" w:cs="Arial"/>
          <w:sz w:val="20"/>
          <w:szCs w:val="20"/>
          <w:vertAlign w:val="superscript"/>
        </w:rPr>
        <w:t>2</w:t>
      </w:r>
      <w:r w:rsidR="00385EE8">
        <w:rPr>
          <w:rFonts w:ascii="Arial" w:hAnsi="Arial" w:cs="Arial"/>
          <w:sz w:val="20"/>
          <w:szCs w:val="20"/>
        </w:rPr>
        <w:t>(2</w:t>
      </w:r>
      <w:r w:rsidR="00385EE8" w:rsidRPr="007A682B">
        <w:rPr>
          <w:rFonts w:ascii="Arial" w:hAnsi="Arial" w:cs="Arial"/>
          <w:sz w:val="20"/>
          <w:szCs w:val="20"/>
        </w:rPr>
        <w:t>)</w:t>
      </w:r>
      <w:r w:rsidR="00385EE8">
        <w:rPr>
          <w:rFonts w:ascii="Arial" w:hAnsi="Arial" w:cs="Arial"/>
          <w:sz w:val="20"/>
          <w:szCs w:val="20"/>
        </w:rPr>
        <w:t xml:space="preserve"> = 7.452, </w:t>
      </w:r>
      <w:r w:rsidR="00385EE8">
        <w:rPr>
          <w:rFonts w:ascii="Arial" w:hAnsi="Arial" w:cs="Arial"/>
          <w:i/>
          <w:iCs/>
          <w:sz w:val="20"/>
          <w:szCs w:val="20"/>
        </w:rPr>
        <w:t>p</w:t>
      </w:r>
      <w:r w:rsidR="00385EE8">
        <w:rPr>
          <w:rFonts w:ascii="Arial" w:hAnsi="Arial" w:cs="Arial"/>
          <w:sz w:val="20"/>
          <w:szCs w:val="20"/>
        </w:rPr>
        <w:t xml:space="preserve"> = 0.024)</w:t>
      </w:r>
      <w:r w:rsidR="000E3F08" w:rsidRPr="007A682B">
        <w:rPr>
          <w:rFonts w:ascii="Arial" w:hAnsi="Arial" w:cs="Arial"/>
          <w:sz w:val="20"/>
          <w:szCs w:val="20"/>
        </w:rPr>
        <w:t xml:space="preserve"> despite no detectable change in</w:t>
      </w:r>
      <w:r w:rsidR="000E3F08" w:rsidRPr="007A682B">
        <w:rPr>
          <w:rFonts w:ascii="Arial" w:hAnsi="Arial" w:cs="Arial"/>
          <w:i/>
          <w:iCs/>
          <w:sz w:val="20"/>
          <w:szCs w:val="20"/>
        </w:rPr>
        <w:t xml:space="preserve"> cckb</w:t>
      </w:r>
      <w:r w:rsidR="000E3F08" w:rsidRPr="007A682B">
        <w:rPr>
          <w:rFonts w:ascii="Arial" w:hAnsi="Arial" w:cs="Arial"/>
          <w:sz w:val="20"/>
          <w:szCs w:val="20"/>
        </w:rPr>
        <w:t xml:space="preserve"> </w:t>
      </w:r>
      <w:r w:rsidR="000160E8" w:rsidRPr="007A682B">
        <w:rPr>
          <w:rFonts w:ascii="Arial" w:hAnsi="Arial" w:cs="Arial"/>
          <w:sz w:val="20"/>
          <w:szCs w:val="20"/>
        </w:rPr>
        <w:t xml:space="preserve">expression </w:t>
      </w:r>
      <w:r w:rsidR="00385EE8" w:rsidRPr="00385EE8">
        <w:rPr>
          <w:rFonts w:ascii="Arial" w:hAnsi="Arial" w:cs="Arial"/>
          <w:sz w:val="20"/>
          <w:szCs w:val="20"/>
          <w:highlight w:val="yellow"/>
        </w:rPr>
        <w:t>(</w:t>
      </w:r>
      <w:r w:rsidR="00A367F6" w:rsidRPr="00530E82">
        <w:rPr>
          <w:rFonts w:ascii="Arial" w:hAnsi="Arial" w:cs="Arial"/>
          <w:sz w:val="20"/>
          <w:szCs w:val="20"/>
        </w:rPr>
        <w:t>χ</w:t>
      </w:r>
      <w:r w:rsidR="00A367F6">
        <w:rPr>
          <w:rFonts w:ascii="Arial" w:hAnsi="Arial" w:cs="Arial"/>
          <w:sz w:val="20"/>
          <w:szCs w:val="20"/>
          <w:vertAlign w:val="superscript"/>
        </w:rPr>
        <w:t>2</w:t>
      </w:r>
      <w:r w:rsidR="00A367F6">
        <w:rPr>
          <w:rFonts w:ascii="Arial" w:hAnsi="Arial" w:cs="Arial"/>
          <w:sz w:val="20"/>
          <w:szCs w:val="20"/>
        </w:rPr>
        <w:t xml:space="preserve">(2) = 2.472, </w:t>
      </w:r>
      <w:r w:rsidR="00A367F6">
        <w:rPr>
          <w:rFonts w:ascii="Arial" w:hAnsi="Arial" w:cs="Arial"/>
          <w:i/>
          <w:iCs/>
          <w:sz w:val="20"/>
          <w:szCs w:val="20"/>
        </w:rPr>
        <w:t>q</w:t>
      </w:r>
      <w:r w:rsidR="00A367F6">
        <w:rPr>
          <w:rFonts w:ascii="Arial" w:hAnsi="Arial" w:cs="Arial"/>
          <w:sz w:val="20"/>
          <w:szCs w:val="20"/>
        </w:rPr>
        <w:t xml:space="preserve"> = </w:t>
      </w:r>
      <w:r w:rsidR="009D76F1">
        <w:rPr>
          <w:rFonts w:ascii="Arial" w:hAnsi="Arial" w:cs="Arial"/>
          <w:sz w:val="20"/>
          <w:szCs w:val="20"/>
        </w:rPr>
        <w:t>1.000</w:t>
      </w:r>
      <w:r w:rsidR="00A367F6">
        <w:rPr>
          <w:rFonts w:ascii="Arial" w:hAnsi="Arial" w:cs="Arial"/>
          <w:sz w:val="20"/>
          <w:szCs w:val="20"/>
          <w:highlight w:val="yellow"/>
        </w:rPr>
        <w:t xml:space="preserve">, </w:t>
      </w:r>
      <w:r w:rsidR="000E3F08" w:rsidRPr="007A682B">
        <w:rPr>
          <w:rFonts w:ascii="Arial" w:hAnsi="Arial" w:cs="Arial"/>
          <w:sz w:val="20"/>
          <w:szCs w:val="20"/>
          <w:highlight w:val="yellow"/>
        </w:rPr>
        <w:t>Fig. 6C</w:t>
      </w:r>
      <w:r w:rsidR="00BC1A9E" w:rsidRPr="007A682B">
        <w:rPr>
          <w:rFonts w:ascii="Arial" w:hAnsi="Arial" w:cs="Arial"/>
          <w:sz w:val="20"/>
          <w:szCs w:val="20"/>
        </w:rPr>
        <w:t>, Appendix S1</w:t>
      </w:r>
      <w:r w:rsidR="000E3F08" w:rsidRPr="007A682B">
        <w:rPr>
          <w:rFonts w:ascii="Arial" w:hAnsi="Arial" w:cs="Arial"/>
          <w:sz w:val="20"/>
          <w:szCs w:val="20"/>
        </w:rPr>
        <w:t>)</w:t>
      </w:r>
      <w:r w:rsidR="00C14CF5" w:rsidRPr="007A682B">
        <w:rPr>
          <w:rFonts w:ascii="Arial" w:hAnsi="Arial" w:cs="Arial"/>
          <w:sz w:val="20"/>
          <w:szCs w:val="20"/>
        </w:rPr>
        <w:t>. This suggests</w:t>
      </w:r>
      <w:r w:rsidR="0077473A" w:rsidRPr="007A682B">
        <w:rPr>
          <w:rFonts w:ascii="Arial" w:hAnsi="Arial" w:cs="Arial"/>
          <w:sz w:val="20"/>
          <w:szCs w:val="20"/>
        </w:rPr>
        <w:t xml:space="preserve"> </w:t>
      </w:r>
      <w:r w:rsidR="00120EF9" w:rsidRPr="007A682B">
        <w:rPr>
          <w:rFonts w:ascii="Arial" w:hAnsi="Arial" w:cs="Arial"/>
          <w:sz w:val="20"/>
          <w:szCs w:val="20"/>
        </w:rPr>
        <w:t xml:space="preserve">the population </w:t>
      </w:r>
      <w:r w:rsidR="00C14CF5" w:rsidRPr="007A682B">
        <w:rPr>
          <w:rFonts w:ascii="Arial" w:hAnsi="Arial" w:cs="Arial"/>
          <w:i/>
          <w:iCs/>
          <w:sz w:val="20"/>
          <w:szCs w:val="20"/>
        </w:rPr>
        <w:t>cckb</w:t>
      </w:r>
      <w:r w:rsidR="00120EF9" w:rsidRPr="007A682B">
        <w:rPr>
          <w:rFonts w:ascii="Arial" w:hAnsi="Arial" w:cs="Arial"/>
          <w:i/>
          <w:iCs/>
          <w:sz w:val="20"/>
          <w:szCs w:val="20"/>
        </w:rPr>
        <w:t>+</w:t>
      </w:r>
      <w:r w:rsidR="00C14CF5" w:rsidRPr="007A682B">
        <w:rPr>
          <w:rFonts w:ascii="Arial" w:hAnsi="Arial" w:cs="Arial"/>
          <w:sz w:val="20"/>
          <w:szCs w:val="20"/>
        </w:rPr>
        <w:t xml:space="preserve"> neurons might remodel through a mechanism distinct from the other candidate neuroendocrine populations. </w:t>
      </w:r>
    </w:p>
    <w:p w14:paraId="57281F1B" w14:textId="1C4113B0" w:rsidR="00E55315" w:rsidRPr="007A682B" w:rsidRDefault="0077473A" w:rsidP="004816FA">
      <w:pPr>
        <w:rPr>
          <w:rFonts w:ascii="Arial" w:hAnsi="Arial" w:cs="Arial"/>
          <w:sz w:val="20"/>
          <w:szCs w:val="20"/>
        </w:rPr>
      </w:pPr>
      <w:r w:rsidRPr="007A682B">
        <w:rPr>
          <w:rFonts w:ascii="Arial" w:hAnsi="Arial" w:cs="Arial"/>
          <w:sz w:val="20"/>
          <w:szCs w:val="20"/>
        </w:rPr>
        <w:tab/>
      </w:r>
      <w:r w:rsidR="00D231FF" w:rsidRPr="007A682B">
        <w:rPr>
          <w:rFonts w:ascii="Arial" w:hAnsi="Arial" w:cs="Arial"/>
          <w:sz w:val="20"/>
          <w:szCs w:val="20"/>
        </w:rPr>
        <w:t xml:space="preserve">For the cell types that increased during sex change, we </w:t>
      </w:r>
      <w:r w:rsidR="00D770B1" w:rsidRPr="007A682B">
        <w:rPr>
          <w:rFonts w:ascii="Arial" w:hAnsi="Arial" w:cs="Arial"/>
          <w:sz w:val="20"/>
          <w:szCs w:val="20"/>
        </w:rPr>
        <w:t>next</w:t>
      </w:r>
      <w:r w:rsidR="00D231FF" w:rsidRPr="007A682B">
        <w:rPr>
          <w:rFonts w:ascii="Arial" w:hAnsi="Arial" w:cs="Arial"/>
          <w:sz w:val="20"/>
          <w:szCs w:val="20"/>
        </w:rPr>
        <w:t xml:space="preserve"> </w:t>
      </w:r>
      <w:r w:rsidR="00C14CF5" w:rsidRPr="007A682B">
        <w:rPr>
          <w:rFonts w:ascii="Arial" w:hAnsi="Arial" w:cs="Arial"/>
          <w:sz w:val="20"/>
          <w:szCs w:val="20"/>
        </w:rPr>
        <w:t>compared the predicted maturity of marker-positive cells across phases to determine whether these changes were more consistent with incorporation of newly generated neurons or transcriptional remodeling of preexisting neurons.</w:t>
      </w:r>
      <w:r w:rsidR="00E55315" w:rsidRPr="007A682B">
        <w:rPr>
          <w:rFonts w:ascii="Arial" w:hAnsi="Arial" w:cs="Arial"/>
          <w:sz w:val="20"/>
          <w:szCs w:val="20"/>
        </w:rPr>
        <w:t xml:space="preserve"> Neither </w:t>
      </w:r>
      <w:r w:rsidR="00E55315" w:rsidRPr="007A682B">
        <w:rPr>
          <w:rFonts w:ascii="Arial" w:hAnsi="Arial" w:cs="Arial"/>
          <w:i/>
          <w:iCs/>
          <w:sz w:val="20"/>
          <w:szCs w:val="20"/>
        </w:rPr>
        <w:t>drd3</w:t>
      </w:r>
      <w:r w:rsidR="00EF2E87" w:rsidRPr="007A682B">
        <w:rPr>
          <w:rFonts w:ascii="Arial" w:hAnsi="Arial" w:cs="Arial"/>
          <w:sz w:val="20"/>
          <w:szCs w:val="20"/>
        </w:rPr>
        <w:t xml:space="preserve"> </w:t>
      </w:r>
      <w:r w:rsidR="00D2074E" w:rsidRPr="007A682B">
        <w:rPr>
          <w:rFonts w:ascii="Arial" w:hAnsi="Arial" w:cs="Arial"/>
          <w:sz w:val="20"/>
          <w:szCs w:val="20"/>
        </w:rPr>
        <w:t>(</w:t>
      </w:r>
      <w:r w:rsidR="00385EE8" w:rsidRPr="00530E82">
        <w:rPr>
          <w:rFonts w:ascii="Arial" w:hAnsi="Arial" w:cs="Arial"/>
          <w:sz w:val="20"/>
          <w:szCs w:val="20"/>
        </w:rPr>
        <w:t>χ</w:t>
      </w:r>
      <w:r w:rsidR="00385EE8">
        <w:rPr>
          <w:rFonts w:ascii="Arial" w:hAnsi="Arial" w:cs="Arial"/>
          <w:sz w:val="20"/>
          <w:szCs w:val="20"/>
          <w:vertAlign w:val="superscript"/>
        </w:rPr>
        <w:t>2</w:t>
      </w:r>
      <w:r w:rsidR="00385EE8">
        <w:rPr>
          <w:rFonts w:ascii="Arial" w:hAnsi="Arial" w:cs="Arial"/>
          <w:sz w:val="20"/>
          <w:szCs w:val="20"/>
        </w:rPr>
        <w:t>(2</w:t>
      </w:r>
      <w:r w:rsidR="00385EE8" w:rsidRPr="007A682B">
        <w:rPr>
          <w:rFonts w:ascii="Arial" w:hAnsi="Arial" w:cs="Arial"/>
          <w:sz w:val="20"/>
          <w:szCs w:val="20"/>
        </w:rPr>
        <w:t>)</w:t>
      </w:r>
      <w:r w:rsidR="00385EE8">
        <w:rPr>
          <w:rFonts w:ascii="Arial" w:hAnsi="Arial" w:cs="Arial"/>
          <w:sz w:val="20"/>
          <w:szCs w:val="20"/>
        </w:rPr>
        <w:t xml:space="preserve"> = 1.612, </w:t>
      </w:r>
      <w:r w:rsidR="00385EE8">
        <w:rPr>
          <w:rFonts w:ascii="Arial" w:hAnsi="Arial" w:cs="Arial"/>
          <w:i/>
          <w:iCs/>
          <w:sz w:val="20"/>
          <w:szCs w:val="20"/>
        </w:rPr>
        <w:t>p</w:t>
      </w:r>
      <w:r w:rsidR="00385EE8">
        <w:rPr>
          <w:rFonts w:ascii="Arial" w:hAnsi="Arial" w:cs="Arial"/>
          <w:sz w:val="20"/>
          <w:szCs w:val="20"/>
        </w:rPr>
        <w:t xml:space="preserve"> = 0.447</w:t>
      </w:r>
      <w:r w:rsidR="00D2074E" w:rsidRPr="007A682B">
        <w:rPr>
          <w:rFonts w:ascii="Arial" w:hAnsi="Arial" w:cs="Arial"/>
          <w:sz w:val="20"/>
          <w:szCs w:val="20"/>
        </w:rPr>
        <w:t>)</w:t>
      </w:r>
      <w:r w:rsidR="00DD6424">
        <w:rPr>
          <w:rFonts w:ascii="Arial" w:hAnsi="Arial" w:cs="Arial"/>
          <w:sz w:val="20"/>
          <w:szCs w:val="20"/>
        </w:rPr>
        <w:t xml:space="preserve"> </w:t>
      </w:r>
      <w:r w:rsidR="00E55315" w:rsidRPr="007A682B">
        <w:rPr>
          <w:rFonts w:ascii="Arial" w:hAnsi="Arial" w:cs="Arial"/>
          <w:sz w:val="20"/>
          <w:szCs w:val="20"/>
        </w:rPr>
        <w:t xml:space="preserve">nor </w:t>
      </w:r>
      <w:r w:rsidR="00E55315" w:rsidRPr="007A682B">
        <w:rPr>
          <w:rFonts w:ascii="Arial" w:hAnsi="Arial" w:cs="Arial"/>
          <w:i/>
          <w:iCs/>
          <w:sz w:val="20"/>
          <w:szCs w:val="20"/>
        </w:rPr>
        <w:t>tacr3a</w:t>
      </w:r>
      <w:r w:rsidR="00E55315" w:rsidRPr="007A682B">
        <w:rPr>
          <w:rFonts w:ascii="Arial" w:hAnsi="Arial" w:cs="Arial"/>
          <w:sz w:val="20"/>
          <w:szCs w:val="20"/>
        </w:rPr>
        <w:t>-expressing neurons</w:t>
      </w:r>
      <w:r w:rsidR="00EF2E87" w:rsidRPr="007A682B">
        <w:rPr>
          <w:rFonts w:ascii="Arial" w:hAnsi="Arial" w:cs="Arial"/>
          <w:sz w:val="20"/>
          <w:szCs w:val="20"/>
        </w:rPr>
        <w:t xml:space="preserve"> (</w:t>
      </w:r>
      <w:r w:rsidR="00385EE8" w:rsidRPr="00530E82">
        <w:rPr>
          <w:rFonts w:ascii="Arial" w:hAnsi="Arial" w:cs="Arial"/>
          <w:sz w:val="20"/>
          <w:szCs w:val="20"/>
        </w:rPr>
        <w:t>χ</w:t>
      </w:r>
      <w:r w:rsidR="00385EE8">
        <w:rPr>
          <w:rFonts w:ascii="Arial" w:hAnsi="Arial" w:cs="Arial"/>
          <w:sz w:val="20"/>
          <w:szCs w:val="20"/>
          <w:vertAlign w:val="superscript"/>
        </w:rPr>
        <w:t>2</w:t>
      </w:r>
      <w:r w:rsidR="00385EE8">
        <w:rPr>
          <w:rFonts w:ascii="Arial" w:hAnsi="Arial" w:cs="Arial"/>
          <w:sz w:val="20"/>
          <w:szCs w:val="20"/>
        </w:rPr>
        <w:t>(2</w:t>
      </w:r>
      <w:r w:rsidR="00385EE8" w:rsidRPr="007A682B">
        <w:rPr>
          <w:rFonts w:ascii="Arial" w:hAnsi="Arial" w:cs="Arial"/>
          <w:sz w:val="20"/>
          <w:szCs w:val="20"/>
        </w:rPr>
        <w:t>)</w:t>
      </w:r>
      <w:r w:rsidR="00385EE8">
        <w:rPr>
          <w:rFonts w:ascii="Arial" w:hAnsi="Arial" w:cs="Arial"/>
          <w:sz w:val="20"/>
          <w:szCs w:val="20"/>
        </w:rPr>
        <w:t xml:space="preserve"> = 0.903, </w:t>
      </w:r>
      <w:r w:rsidR="00385EE8">
        <w:rPr>
          <w:rFonts w:ascii="Arial" w:hAnsi="Arial" w:cs="Arial"/>
          <w:i/>
          <w:iCs/>
          <w:sz w:val="20"/>
          <w:szCs w:val="20"/>
        </w:rPr>
        <w:t>p</w:t>
      </w:r>
      <w:r w:rsidR="00385EE8">
        <w:rPr>
          <w:rFonts w:ascii="Arial" w:hAnsi="Arial" w:cs="Arial"/>
          <w:sz w:val="20"/>
          <w:szCs w:val="20"/>
        </w:rPr>
        <w:t xml:space="preserve"> = 0.637</w:t>
      </w:r>
      <w:r w:rsidR="00EF2E87" w:rsidRPr="007A682B">
        <w:rPr>
          <w:rFonts w:ascii="Arial" w:hAnsi="Arial" w:cs="Arial"/>
          <w:sz w:val="20"/>
          <w:szCs w:val="20"/>
        </w:rPr>
        <w:t>)</w:t>
      </w:r>
      <w:r w:rsidR="00E55315" w:rsidRPr="007A682B">
        <w:rPr>
          <w:rFonts w:ascii="Arial" w:hAnsi="Arial" w:cs="Arial"/>
          <w:sz w:val="20"/>
          <w:szCs w:val="20"/>
        </w:rPr>
        <w:t xml:space="preserve"> differed in maturity </w:t>
      </w:r>
      <w:r w:rsidR="00D770B1" w:rsidRPr="007A682B">
        <w:rPr>
          <w:rFonts w:ascii="Arial" w:hAnsi="Arial" w:cs="Arial"/>
          <w:sz w:val="20"/>
          <w:szCs w:val="20"/>
        </w:rPr>
        <w:t>by phase (</w:t>
      </w:r>
      <w:r w:rsidR="00E55315" w:rsidRPr="007A682B">
        <w:rPr>
          <w:rFonts w:ascii="Arial" w:hAnsi="Arial" w:cs="Arial"/>
          <w:sz w:val="20"/>
          <w:szCs w:val="20"/>
          <w:highlight w:val="yellow"/>
        </w:rPr>
        <w:t>Fig. 6A,</w:t>
      </w:r>
      <w:r w:rsidR="00A802D8" w:rsidRPr="007A682B">
        <w:rPr>
          <w:rFonts w:ascii="Arial" w:hAnsi="Arial" w:cs="Arial"/>
          <w:sz w:val="20"/>
          <w:szCs w:val="20"/>
          <w:highlight w:val="yellow"/>
        </w:rPr>
        <w:t xml:space="preserve"> </w:t>
      </w:r>
      <w:r w:rsidR="00E55315" w:rsidRPr="007A682B">
        <w:rPr>
          <w:rFonts w:ascii="Arial" w:hAnsi="Arial" w:cs="Arial"/>
          <w:sz w:val="20"/>
          <w:szCs w:val="20"/>
          <w:highlight w:val="yellow"/>
        </w:rPr>
        <w:t>B</w:t>
      </w:r>
      <w:r w:rsidR="00BC1A9E" w:rsidRPr="007A682B">
        <w:rPr>
          <w:rFonts w:ascii="Arial" w:hAnsi="Arial" w:cs="Arial"/>
          <w:sz w:val="20"/>
          <w:szCs w:val="20"/>
        </w:rPr>
        <w:t>, Appendix S1</w:t>
      </w:r>
      <w:r w:rsidR="00E55315" w:rsidRPr="007A682B">
        <w:rPr>
          <w:rFonts w:ascii="Arial" w:hAnsi="Arial" w:cs="Arial"/>
          <w:sz w:val="20"/>
          <w:szCs w:val="20"/>
        </w:rPr>
        <w:t xml:space="preserve">), suggesting that the increased abundance of these populations is </w:t>
      </w:r>
      <w:r w:rsidR="00D770B1" w:rsidRPr="007A682B">
        <w:rPr>
          <w:rFonts w:ascii="Arial" w:hAnsi="Arial" w:cs="Arial"/>
          <w:sz w:val="20"/>
          <w:szCs w:val="20"/>
        </w:rPr>
        <w:t>due to</w:t>
      </w:r>
      <w:r w:rsidR="00E55315" w:rsidRPr="007A682B">
        <w:rPr>
          <w:rFonts w:ascii="Arial" w:hAnsi="Arial" w:cs="Arial"/>
          <w:sz w:val="20"/>
          <w:szCs w:val="20"/>
        </w:rPr>
        <w:t xml:space="preserve"> transcriptional reprogramming</w:t>
      </w:r>
      <w:r w:rsidR="00D770B1" w:rsidRPr="007A682B">
        <w:rPr>
          <w:rFonts w:ascii="Arial" w:hAnsi="Arial" w:cs="Arial"/>
          <w:sz w:val="20"/>
          <w:szCs w:val="20"/>
        </w:rPr>
        <w:t xml:space="preserve"> rather than</w:t>
      </w:r>
      <w:r w:rsidR="00E55315" w:rsidRPr="007A682B">
        <w:rPr>
          <w:rFonts w:ascii="Arial" w:hAnsi="Arial" w:cs="Arial"/>
          <w:sz w:val="20"/>
          <w:szCs w:val="20"/>
        </w:rPr>
        <w:t xml:space="preserve"> incorporation of newly generated neurons. </w:t>
      </w:r>
    </w:p>
    <w:p w14:paraId="60729ECB" w14:textId="5F476B3F" w:rsidR="00E55315" w:rsidRPr="007A682B" w:rsidRDefault="00E55315" w:rsidP="004816FA">
      <w:pPr>
        <w:rPr>
          <w:rFonts w:ascii="Arial" w:hAnsi="Arial" w:cs="Arial"/>
          <w:sz w:val="20"/>
          <w:szCs w:val="20"/>
        </w:rPr>
      </w:pPr>
      <w:r w:rsidRPr="007A682B">
        <w:rPr>
          <w:rFonts w:ascii="Arial" w:hAnsi="Arial" w:cs="Arial"/>
          <w:sz w:val="20"/>
          <w:szCs w:val="20"/>
        </w:rPr>
        <w:tab/>
      </w:r>
      <w:r w:rsidR="00120EF9" w:rsidRPr="007A682B">
        <w:rPr>
          <w:rFonts w:ascii="Arial" w:hAnsi="Arial" w:cs="Arial"/>
          <w:sz w:val="20"/>
          <w:szCs w:val="20"/>
        </w:rPr>
        <w:t>By</w:t>
      </w:r>
      <w:r w:rsidRPr="007A682B">
        <w:rPr>
          <w:rFonts w:ascii="Arial" w:hAnsi="Arial" w:cs="Arial"/>
          <w:sz w:val="20"/>
          <w:szCs w:val="20"/>
        </w:rPr>
        <w:t xml:space="preserve"> contrast, </w:t>
      </w:r>
      <w:r w:rsidRPr="007A682B">
        <w:rPr>
          <w:rFonts w:ascii="Arial" w:hAnsi="Arial" w:cs="Arial"/>
          <w:i/>
          <w:iCs/>
          <w:sz w:val="20"/>
          <w:szCs w:val="20"/>
        </w:rPr>
        <w:t>cckb</w:t>
      </w:r>
      <w:r w:rsidR="00120EF9" w:rsidRPr="007A682B">
        <w:rPr>
          <w:rFonts w:ascii="Arial" w:hAnsi="Arial" w:cs="Arial"/>
          <w:sz w:val="20"/>
          <w:szCs w:val="20"/>
        </w:rPr>
        <w:t>+</w:t>
      </w:r>
      <w:r w:rsidRPr="007A682B">
        <w:rPr>
          <w:rFonts w:ascii="Arial" w:hAnsi="Arial" w:cs="Arial"/>
          <w:sz w:val="20"/>
          <w:szCs w:val="20"/>
        </w:rPr>
        <w:t xml:space="preserve"> neurons</w:t>
      </w:r>
      <w:r w:rsidR="00EF2E87" w:rsidRPr="007A682B">
        <w:rPr>
          <w:rFonts w:ascii="Arial" w:hAnsi="Arial" w:cs="Arial"/>
          <w:sz w:val="20"/>
          <w:szCs w:val="20"/>
        </w:rPr>
        <w:t xml:space="preserve"> </w:t>
      </w:r>
      <w:r w:rsidR="00D2074E" w:rsidRPr="007A682B">
        <w:rPr>
          <w:rFonts w:ascii="Arial" w:hAnsi="Arial" w:cs="Arial"/>
          <w:sz w:val="20"/>
          <w:szCs w:val="20"/>
        </w:rPr>
        <w:t>(</w:t>
      </w:r>
      <w:r w:rsidR="00385EE8" w:rsidRPr="00530E82">
        <w:rPr>
          <w:rFonts w:ascii="Arial" w:hAnsi="Arial" w:cs="Arial"/>
          <w:sz w:val="20"/>
          <w:szCs w:val="20"/>
        </w:rPr>
        <w:t>χ</w:t>
      </w:r>
      <w:r w:rsidR="00385EE8">
        <w:rPr>
          <w:rFonts w:ascii="Arial" w:hAnsi="Arial" w:cs="Arial"/>
          <w:sz w:val="20"/>
          <w:szCs w:val="20"/>
          <w:vertAlign w:val="superscript"/>
        </w:rPr>
        <w:t>2</w:t>
      </w:r>
      <w:r w:rsidR="00385EE8">
        <w:rPr>
          <w:rFonts w:ascii="Arial" w:hAnsi="Arial" w:cs="Arial"/>
          <w:sz w:val="20"/>
          <w:szCs w:val="20"/>
        </w:rPr>
        <w:t>(2</w:t>
      </w:r>
      <w:r w:rsidR="00385EE8" w:rsidRPr="007A682B">
        <w:rPr>
          <w:rFonts w:ascii="Arial" w:hAnsi="Arial" w:cs="Arial"/>
          <w:sz w:val="20"/>
          <w:szCs w:val="20"/>
        </w:rPr>
        <w:t>)</w:t>
      </w:r>
      <w:r w:rsidR="00385EE8">
        <w:rPr>
          <w:rFonts w:ascii="Arial" w:hAnsi="Arial" w:cs="Arial"/>
          <w:sz w:val="20"/>
          <w:szCs w:val="20"/>
        </w:rPr>
        <w:t xml:space="preserve"> = 1</w:t>
      </w:r>
      <w:r w:rsidR="006044D0">
        <w:rPr>
          <w:rFonts w:ascii="Arial" w:hAnsi="Arial" w:cs="Arial"/>
          <w:sz w:val="20"/>
          <w:szCs w:val="20"/>
        </w:rPr>
        <w:t>1</w:t>
      </w:r>
      <w:r w:rsidR="00385EE8">
        <w:rPr>
          <w:rFonts w:ascii="Arial" w:hAnsi="Arial" w:cs="Arial"/>
          <w:sz w:val="20"/>
          <w:szCs w:val="20"/>
        </w:rPr>
        <w:t xml:space="preserve">.722, </w:t>
      </w:r>
      <w:r w:rsidR="00385EE8">
        <w:rPr>
          <w:rFonts w:ascii="Arial" w:hAnsi="Arial" w:cs="Arial"/>
          <w:i/>
          <w:iCs/>
          <w:sz w:val="20"/>
          <w:szCs w:val="20"/>
        </w:rPr>
        <w:t>p</w:t>
      </w:r>
      <w:r w:rsidR="00385EE8">
        <w:rPr>
          <w:rFonts w:ascii="Arial" w:hAnsi="Arial" w:cs="Arial"/>
          <w:sz w:val="20"/>
          <w:szCs w:val="20"/>
        </w:rPr>
        <w:t xml:space="preserve"> = 0.003</w:t>
      </w:r>
      <w:r w:rsidR="00D2074E" w:rsidRPr="007A682B">
        <w:rPr>
          <w:rFonts w:ascii="Arial" w:hAnsi="Arial" w:cs="Arial"/>
          <w:sz w:val="20"/>
          <w:szCs w:val="20"/>
        </w:rPr>
        <w:t xml:space="preserve">) </w:t>
      </w:r>
      <w:r w:rsidRPr="007A682B">
        <w:rPr>
          <w:rFonts w:ascii="Arial" w:hAnsi="Arial" w:cs="Arial"/>
          <w:sz w:val="20"/>
          <w:szCs w:val="20"/>
        </w:rPr>
        <w:t xml:space="preserve">were significantly less mature </w:t>
      </w:r>
      <w:r w:rsidR="00BE65FB">
        <w:rPr>
          <w:rFonts w:ascii="Arial" w:hAnsi="Arial" w:cs="Arial"/>
          <w:sz w:val="20"/>
          <w:szCs w:val="20"/>
        </w:rPr>
        <w:t>in</w:t>
      </w:r>
      <w:r w:rsidRPr="007A682B">
        <w:rPr>
          <w:rFonts w:ascii="Arial" w:hAnsi="Arial" w:cs="Arial"/>
          <w:sz w:val="20"/>
          <w:szCs w:val="20"/>
        </w:rPr>
        <w:t>intermediates than in females (</w:t>
      </w:r>
      <w:r w:rsidRPr="007A682B">
        <w:rPr>
          <w:rFonts w:ascii="Arial" w:hAnsi="Arial" w:cs="Arial"/>
          <w:sz w:val="20"/>
          <w:szCs w:val="20"/>
          <w:highlight w:val="yellow"/>
        </w:rPr>
        <w:t>Fig. 6C</w:t>
      </w:r>
      <w:r w:rsidR="00BC1A9E" w:rsidRPr="007A682B">
        <w:rPr>
          <w:rFonts w:ascii="Arial" w:hAnsi="Arial" w:cs="Arial"/>
          <w:sz w:val="20"/>
          <w:szCs w:val="20"/>
        </w:rPr>
        <w:t>, Appendix S1</w:t>
      </w:r>
      <w:r w:rsidRPr="007A682B">
        <w:rPr>
          <w:rFonts w:ascii="Arial" w:hAnsi="Arial" w:cs="Arial"/>
          <w:sz w:val="20"/>
          <w:szCs w:val="20"/>
        </w:rPr>
        <w:t xml:space="preserve">), consistent with </w:t>
      </w:r>
      <w:r w:rsidR="00E34A71" w:rsidRPr="007A682B">
        <w:rPr>
          <w:rFonts w:ascii="Arial" w:hAnsi="Arial" w:cs="Arial"/>
          <w:sz w:val="20"/>
          <w:szCs w:val="20"/>
        </w:rPr>
        <w:t xml:space="preserve">progressive maturation of newly generated neurons </w:t>
      </w:r>
      <w:r w:rsidRPr="007A682B">
        <w:rPr>
          <w:rFonts w:ascii="Arial" w:hAnsi="Arial" w:cs="Arial"/>
          <w:sz w:val="20"/>
          <w:szCs w:val="20"/>
        </w:rPr>
        <w:t xml:space="preserve">during the intermediate-to-female transition. Together with their expansion during the intermediate-female transition and progressive maturation across sex change, these findings identify </w:t>
      </w:r>
      <w:r w:rsidRPr="007A682B">
        <w:rPr>
          <w:rFonts w:ascii="Arial" w:hAnsi="Arial" w:cs="Arial"/>
          <w:i/>
          <w:iCs/>
          <w:sz w:val="20"/>
          <w:szCs w:val="20"/>
        </w:rPr>
        <w:t>cckb</w:t>
      </w:r>
      <w:r w:rsidRPr="007A682B">
        <w:rPr>
          <w:rFonts w:ascii="Arial" w:hAnsi="Arial" w:cs="Arial"/>
          <w:sz w:val="20"/>
          <w:szCs w:val="20"/>
        </w:rPr>
        <w:t xml:space="preserve">+ neurons as the strongest candidate population generated </w:t>
      </w:r>
      <w:r w:rsidR="00E34A71" w:rsidRPr="007A682B">
        <w:rPr>
          <w:rFonts w:ascii="Arial" w:hAnsi="Arial" w:cs="Arial"/>
          <w:sz w:val="20"/>
          <w:szCs w:val="20"/>
        </w:rPr>
        <w:t xml:space="preserve">by neurogenesis in the POA </w:t>
      </w:r>
      <w:r w:rsidRPr="007A682B">
        <w:rPr>
          <w:rFonts w:ascii="Arial" w:hAnsi="Arial" w:cs="Arial"/>
          <w:sz w:val="20"/>
          <w:szCs w:val="20"/>
        </w:rPr>
        <w:t>during sex change</w:t>
      </w:r>
      <w:r w:rsidR="00E34A71" w:rsidRPr="007A682B">
        <w:rPr>
          <w:rFonts w:ascii="Arial" w:hAnsi="Arial" w:cs="Arial"/>
          <w:sz w:val="20"/>
          <w:szCs w:val="20"/>
        </w:rPr>
        <w:t xml:space="preserve">.  </w:t>
      </w:r>
    </w:p>
    <w:p w14:paraId="46815C40" w14:textId="77777777" w:rsidR="00E939CE" w:rsidRPr="007A682B" w:rsidRDefault="00E939CE" w:rsidP="004816FA">
      <w:pPr>
        <w:rPr>
          <w:rFonts w:ascii="Arial" w:hAnsi="Arial" w:cs="Arial"/>
          <w:sz w:val="20"/>
          <w:szCs w:val="20"/>
        </w:rPr>
      </w:pPr>
    </w:p>
    <w:p w14:paraId="3AFA79B9" w14:textId="234CD1D9" w:rsidR="00E939CE" w:rsidRPr="007A682B" w:rsidRDefault="005263E4" w:rsidP="00E939CE">
      <w:pPr>
        <w:rPr>
          <w:rFonts w:ascii="Arial" w:hAnsi="Arial" w:cs="Arial"/>
          <w:b/>
          <w:bCs/>
          <w:sz w:val="20"/>
          <w:szCs w:val="20"/>
        </w:rPr>
      </w:pPr>
      <w:r w:rsidRPr="007A682B">
        <w:rPr>
          <w:rFonts w:ascii="Arial" w:hAnsi="Arial" w:cs="Arial"/>
          <w:b/>
          <w:bCs/>
          <w:sz w:val="20"/>
          <w:szCs w:val="20"/>
        </w:rPr>
        <w:t xml:space="preserve">Gene Regulatory Changes Underlying Transcriptomic Sex Change </w:t>
      </w:r>
    </w:p>
    <w:p w14:paraId="46291778" w14:textId="5326D9A0" w:rsidR="00CC0E7C" w:rsidRPr="007A682B" w:rsidRDefault="00D770B1" w:rsidP="007D232F">
      <w:pPr>
        <w:ind w:firstLine="720"/>
        <w:rPr>
          <w:rFonts w:ascii="Arial" w:hAnsi="Arial" w:cs="Arial"/>
          <w:sz w:val="20"/>
          <w:szCs w:val="20"/>
        </w:rPr>
      </w:pPr>
      <w:r w:rsidRPr="007A682B">
        <w:rPr>
          <w:rFonts w:ascii="Arial" w:hAnsi="Arial" w:cs="Arial"/>
          <w:sz w:val="20"/>
          <w:szCs w:val="20"/>
        </w:rPr>
        <w:t>Given the transcriptional changes in 1_RGC and 6_POA_Mixed identified above, we next sought t</w:t>
      </w:r>
      <w:r w:rsidR="00E939CE" w:rsidRPr="007A682B">
        <w:rPr>
          <w:rFonts w:ascii="Arial" w:hAnsi="Arial" w:cs="Arial"/>
          <w:sz w:val="20"/>
          <w:szCs w:val="20"/>
        </w:rPr>
        <w:t xml:space="preserve">o identify candidate TF regulators </w:t>
      </w:r>
      <w:r w:rsidRPr="007A682B">
        <w:rPr>
          <w:rFonts w:ascii="Arial" w:hAnsi="Arial" w:cs="Arial"/>
          <w:sz w:val="20"/>
          <w:szCs w:val="20"/>
        </w:rPr>
        <w:t>underlying them. To do this</w:t>
      </w:r>
      <w:r w:rsidR="00E939CE" w:rsidRPr="007A682B">
        <w:rPr>
          <w:rFonts w:ascii="Arial" w:hAnsi="Arial" w:cs="Arial"/>
          <w:sz w:val="20"/>
          <w:szCs w:val="20"/>
        </w:rPr>
        <w:t>, we integrated differential gene expression with chromatin accessibility, TF-binding motifs, and TF–target expression correlations. We first identified accessibility-supported target genes whose expression covaried with an associated ATAC peak and then identified candidate regulators with binding motifs in those regions whose expression correlated with target-gene expression across individuals</w:t>
      </w:r>
      <w:r w:rsidRPr="007A682B">
        <w:rPr>
          <w:rFonts w:ascii="Arial" w:hAnsi="Arial" w:cs="Arial"/>
          <w:sz w:val="20"/>
          <w:szCs w:val="20"/>
        </w:rPr>
        <w:t xml:space="preserve">. </w:t>
      </w:r>
      <w:r w:rsidR="00E939CE" w:rsidRPr="007A682B">
        <w:rPr>
          <w:rFonts w:ascii="Arial" w:hAnsi="Arial" w:cs="Arial"/>
          <w:sz w:val="20"/>
          <w:szCs w:val="20"/>
        </w:rPr>
        <w:t>This analysis revealed distinct regulatory networks in the two populations. 1_RGC formed an extensive interconnected network of accessibility-supported TF–target relationships</w:t>
      </w:r>
      <w:r w:rsidR="00215E72" w:rsidRPr="007A682B">
        <w:rPr>
          <w:rFonts w:ascii="Arial" w:hAnsi="Arial" w:cs="Arial"/>
          <w:sz w:val="20"/>
          <w:szCs w:val="20"/>
        </w:rPr>
        <w:t xml:space="preserve"> (</w:t>
      </w:r>
      <w:r w:rsidR="00913D54" w:rsidRPr="00913D54">
        <w:rPr>
          <w:rFonts w:ascii="Arial" w:hAnsi="Arial" w:cs="Arial"/>
          <w:sz w:val="20"/>
          <w:szCs w:val="20"/>
          <w:highlight w:val="yellow"/>
        </w:rPr>
        <w:t>Appendix S13</w:t>
      </w:r>
      <w:r w:rsidR="00215E72" w:rsidRPr="007A682B">
        <w:rPr>
          <w:rFonts w:ascii="Arial" w:hAnsi="Arial" w:cs="Arial"/>
          <w:sz w:val="20"/>
          <w:szCs w:val="20"/>
        </w:rPr>
        <w:t>)</w:t>
      </w:r>
      <w:r w:rsidR="00E939CE" w:rsidRPr="007A682B">
        <w:rPr>
          <w:rFonts w:ascii="Arial" w:hAnsi="Arial" w:cs="Arial"/>
          <w:sz w:val="20"/>
          <w:szCs w:val="20"/>
        </w:rPr>
        <w:t>, whereas 6_POA_Mixed contained a more restricted set of accessibility-</w:t>
      </w:r>
      <w:r w:rsidR="00E939CE" w:rsidRPr="007A682B">
        <w:rPr>
          <w:rFonts w:ascii="Arial" w:hAnsi="Arial" w:cs="Arial"/>
          <w:sz w:val="20"/>
          <w:szCs w:val="20"/>
        </w:rPr>
        <w:lastRenderedPageBreak/>
        <w:t>coupled modules</w:t>
      </w:r>
      <w:r w:rsidR="00215E72" w:rsidRPr="007A682B">
        <w:rPr>
          <w:rFonts w:ascii="Arial" w:hAnsi="Arial" w:cs="Arial"/>
          <w:sz w:val="20"/>
          <w:szCs w:val="20"/>
        </w:rPr>
        <w:t xml:space="preserve"> (</w:t>
      </w:r>
      <w:r w:rsidR="00913D54">
        <w:rPr>
          <w:rFonts w:ascii="Arial" w:hAnsi="Arial" w:cs="Arial"/>
          <w:sz w:val="20"/>
          <w:szCs w:val="20"/>
          <w:highlight w:val="yellow"/>
        </w:rPr>
        <w:t>Appendix S14</w:t>
      </w:r>
      <w:r w:rsidR="00215E72" w:rsidRPr="007A682B">
        <w:rPr>
          <w:rFonts w:ascii="Arial" w:hAnsi="Arial" w:cs="Arial"/>
          <w:sz w:val="20"/>
          <w:szCs w:val="20"/>
        </w:rPr>
        <w:t>)</w:t>
      </w:r>
      <w:r w:rsidR="00E939CE" w:rsidRPr="007A682B">
        <w:rPr>
          <w:rFonts w:ascii="Arial" w:hAnsi="Arial" w:cs="Arial"/>
          <w:sz w:val="20"/>
          <w:szCs w:val="20"/>
        </w:rPr>
        <w:t xml:space="preserve">. We therefore additionally examined </w:t>
      </w:r>
      <w:r w:rsidR="005263E4" w:rsidRPr="007A682B">
        <w:rPr>
          <w:rFonts w:ascii="Arial" w:hAnsi="Arial" w:cs="Arial"/>
          <w:sz w:val="20"/>
          <w:szCs w:val="20"/>
        </w:rPr>
        <w:t>6_POA_Mixed</w:t>
      </w:r>
      <w:r w:rsidR="00E939CE" w:rsidRPr="007A682B">
        <w:rPr>
          <w:rFonts w:ascii="Arial" w:hAnsi="Arial" w:cs="Arial"/>
          <w:sz w:val="20"/>
          <w:szCs w:val="20"/>
        </w:rPr>
        <w:t xml:space="preserve"> DEGs whose expression was not correlated with local chromatin accessibility, asking whether their expression instead covaried with candidate TFs whose motifs occurred within chromatin that remained accessible across individuals (</w:t>
      </w:r>
      <w:r w:rsidR="00E939CE" w:rsidRPr="007A682B">
        <w:rPr>
          <w:rFonts w:ascii="Arial" w:hAnsi="Arial" w:cs="Arial"/>
          <w:sz w:val="20"/>
          <w:szCs w:val="20"/>
          <w:highlight w:val="yellow"/>
        </w:rPr>
        <w:t>Fig.</w:t>
      </w:r>
      <w:r w:rsidR="00376C7F" w:rsidRPr="007A682B">
        <w:rPr>
          <w:rFonts w:ascii="Arial" w:hAnsi="Arial" w:cs="Arial"/>
          <w:sz w:val="20"/>
          <w:szCs w:val="20"/>
          <w:highlight w:val="yellow"/>
        </w:rPr>
        <w:t xml:space="preserve"> S11 A,B</w:t>
      </w:r>
      <w:r w:rsidR="003C65F0" w:rsidRPr="007A682B">
        <w:rPr>
          <w:rFonts w:ascii="Arial" w:hAnsi="Arial" w:cs="Arial"/>
          <w:sz w:val="20"/>
          <w:szCs w:val="20"/>
        </w:rPr>
        <w:t>)</w:t>
      </w:r>
      <w:r w:rsidR="00E939CE" w:rsidRPr="007A682B">
        <w:rPr>
          <w:rFonts w:ascii="Arial" w:hAnsi="Arial" w:cs="Arial"/>
          <w:sz w:val="20"/>
          <w:szCs w:val="20"/>
        </w:rPr>
        <w:t>.</w:t>
      </w:r>
    </w:p>
    <w:p w14:paraId="7F68E6E2" w14:textId="77777777" w:rsidR="00CC0E7C" w:rsidRPr="007A682B" w:rsidRDefault="00CC0E7C" w:rsidP="007D232F">
      <w:pPr>
        <w:ind w:firstLine="720"/>
        <w:rPr>
          <w:rFonts w:ascii="Arial" w:hAnsi="Arial" w:cs="Arial"/>
          <w:sz w:val="20"/>
          <w:szCs w:val="20"/>
        </w:rPr>
      </w:pPr>
    </w:p>
    <w:p w14:paraId="028CDAFD" w14:textId="2C48C98D" w:rsidR="00CC0E7C" w:rsidRPr="007A682B" w:rsidRDefault="00CC0E7C" w:rsidP="00CC0E7C">
      <w:pPr>
        <w:rPr>
          <w:rFonts w:ascii="Arial" w:hAnsi="Arial" w:cs="Arial"/>
          <w:sz w:val="20"/>
          <w:szCs w:val="20"/>
        </w:rPr>
      </w:pPr>
      <w:r w:rsidRPr="007A682B">
        <w:rPr>
          <w:rFonts w:ascii="Arial" w:hAnsi="Arial" w:cs="Arial"/>
          <w:sz w:val="20"/>
          <w:szCs w:val="20"/>
          <w:u w:val="single"/>
        </w:rPr>
        <w:t>The 1_RGC regulatory network links neurogenic pathways with aromatase expression</w:t>
      </w:r>
    </w:p>
    <w:p w14:paraId="5FC8DB7D" w14:textId="0DCE7979" w:rsidR="00D770B1" w:rsidRPr="007A682B" w:rsidRDefault="00D770B1" w:rsidP="007D232F">
      <w:pPr>
        <w:ind w:firstLine="720"/>
        <w:rPr>
          <w:rFonts w:ascii="Arial" w:hAnsi="Arial" w:cs="Arial"/>
          <w:sz w:val="20"/>
          <w:szCs w:val="20"/>
        </w:rPr>
      </w:pPr>
      <w:r w:rsidRPr="007A682B">
        <w:rPr>
          <w:rFonts w:ascii="Arial" w:hAnsi="Arial" w:cs="Arial"/>
          <w:sz w:val="20"/>
          <w:szCs w:val="20"/>
        </w:rPr>
        <w:t>Analysis of 1_RGC’s GRN revealed highly interconnected network organized around several candidate TF hubs (</w:t>
      </w:r>
      <w:r w:rsidRPr="007A682B">
        <w:rPr>
          <w:rFonts w:ascii="Arial" w:hAnsi="Arial" w:cs="Arial"/>
          <w:sz w:val="20"/>
          <w:szCs w:val="20"/>
          <w:highlight w:val="yellow"/>
        </w:rPr>
        <w:t xml:space="preserve">Fig. </w:t>
      </w:r>
      <w:r w:rsidR="00376C7F" w:rsidRPr="007A682B">
        <w:rPr>
          <w:rFonts w:ascii="Arial" w:hAnsi="Arial" w:cs="Arial"/>
          <w:sz w:val="20"/>
          <w:szCs w:val="20"/>
          <w:highlight w:val="yellow"/>
        </w:rPr>
        <w:t>S11A</w:t>
      </w:r>
      <w:r w:rsidRPr="007A682B">
        <w:rPr>
          <w:rFonts w:ascii="Arial" w:hAnsi="Arial" w:cs="Arial"/>
          <w:sz w:val="20"/>
          <w:szCs w:val="20"/>
        </w:rPr>
        <w:t xml:space="preserve">). Of note, </w:t>
      </w:r>
      <w:r w:rsidRPr="007A682B">
        <w:rPr>
          <w:rFonts w:ascii="Arial" w:hAnsi="Arial" w:cs="Arial"/>
          <w:i/>
          <w:iCs/>
          <w:sz w:val="20"/>
          <w:szCs w:val="20"/>
        </w:rPr>
        <w:t>gli1</w:t>
      </w:r>
      <w:r w:rsidRPr="007A682B">
        <w:rPr>
          <w:rFonts w:ascii="Arial" w:hAnsi="Arial" w:cs="Arial"/>
          <w:sz w:val="20"/>
          <w:szCs w:val="20"/>
        </w:rPr>
        <w:t xml:space="preserve"> occupied a central position and was associated with multiple accessibility-supported targets, including strong positive relationships with the notch signaling pathway member </w:t>
      </w:r>
      <w:r w:rsidRPr="007A682B">
        <w:rPr>
          <w:rFonts w:ascii="Arial" w:hAnsi="Arial" w:cs="Arial"/>
          <w:i/>
          <w:iCs/>
          <w:sz w:val="20"/>
          <w:szCs w:val="20"/>
        </w:rPr>
        <w:t>ccdc85cb</w:t>
      </w:r>
      <w:r w:rsidR="00120EF9" w:rsidRPr="007A682B">
        <w:rPr>
          <w:rFonts w:ascii="Arial" w:hAnsi="Arial" w:cs="Arial"/>
          <w:sz w:val="20"/>
          <w:szCs w:val="20"/>
        </w:rPr>
        <w:t xml:space="preserve"> </w:t>
      </w:r>
      <w:r w:rsidR="00120EF9" w:rsidRPr="007A682B">
        <w:rPr>
          <w:rFonts w:ascii="Arial" w:hAnsi="Arial" w:cs="Arial"/>
          <w:sz w:val="20"/>
          <w:szCs w:val="20"/>
        </w:rPr>
        <w:fldChar w:fldCharType="begin"/>
      </w:r>
      <w:r w:rsidR="00704475" w:rsidRPr="007A682B">
        <w:rPr>
          <w:rFonts w:ascii="Arial" w:hAnsi="Arial" w:cs="Arial"/>
          <w:sz w:val="20"/>
          <w:szCs w:val="20"/>
        </w:rPr>
        <w:instrText xml:space="preserve"> ADDIN ZOTERO_ITEM CSL_CITATION {"citationID":"buenUS7S","properties":{"unsorted":false,"formattedCitation":"(37)","plainCitation":"(37)","noteIndex":0},"citationItems":[{"id":6594,"uris":["http://zotero.org/users/11313215/items/RLHTSB58"],"itemData":{"id":6594,"type":"article-journal","abstract":"Polarity proteins regulate the proliferation and differentiation of neural progenitors to generate neurons during brain development through multiple signaling pathways. However, how cell polarity couples the signaling pathways remains unclear. Here, we show that coiled-coil domain-containing protein 85c (Ccdc85c) interacts with the polarity protein Par3 to regulate the proliferation of radial glial cells (RGCs) via phase separation coupled to percolation (PSCP). We find that the interaction with Ccdc85c relieves the intramolecular auto-inhibition of Par3, which leads to PSCP of Par3. Downregulation of Ccdc85c causes RGC differentiation. Importantly, the open conformation of Par3 facilitates the recruitment of the Notch regulator Numb to the Par3 condensates, which might prevent the attenuation of Notch activity to maintain RGC proliferation. Furthermore, ectopic activation of Notch signaling rescues RGC proliferation defects caused by the downregulation of Ccdc85c. These results suggest that Ccdc85c-mediated PSCP of Par3 regulates Notch signaling to control RGC proliferation during brain development.","container-title":"Cell Reports","DOI":"10.1016/j.celrep.2023.112677","ISSN":"2211-1247","issue":"7","journalAbbreviation":"Cell Rep","language":"eng","page":"112677","PMID":"37352102","source":"PubMed","title":"Ccdc85c-Par3 condensates couple cell polarity with Notch to control neural progenitor proliferation","volume":"42","author":[{"family":"Xu","given":"Jiawen"},{"family":"Deng","given":"Xin"},{"family":"Gu","given":"Aihong"},{"family":"Cai","given":"Yuqun"},{"family":"Huang","given":"Yunyun"},{"family":"Zhang","given":"Wen"},{"family":"Zhang","given":"Yiqing"},{"family":"Wen","given":"Wenyu"},{"family":"Xie","given":"Yunli"}],"issued":{"date-parts":[["2023",7,25]]}}}],"schema":"https://github.com/citation-style-language/schema/raw/master/csl-citation.json"} </w:instrText>
      </w:r>
      <w:r w:rsidR="00120EF9" w:rsidRPr="007A682B">
        <w:rPr>
          <w:rFonts w:ascii="Arial" w:hAnsi="Arial" w:cs="Arial"/>
          <w:sz w:val="20"/>
          <w:szCs w:val="20"/>
        </w:rPr>
        <w:fldChar w:fldCharType="separate"/>
      </w:r>
      <w:r w:rsidR="00704475" w:rsidRPr="007A682B">
        <w:rPr>
          <w:rFonts w:ascii="Arial" w:hAnsi="Arial" w:cs="Arial"/>
          <w:sz w:val="20"/>
          <w:szCs w:val="20"/>
        </w:rPr>
        <w:t>(37)</w:t>
      </w:r>
      <w:r w:rsidR="00120EF9" w:rsidRPr="007A682B">
        <w:rPr>
          <w:rFonts w:ascii="Arial" w:hAnsi="Arial" w:cs="Arial"/>
          <w:sz w:val="20"/>
          <w:szCs w:val="20"/>
        </w:rPr>
        <w:fldChar w:fldCharType="end"/>
      </w:r>
      <w:r w:rsidRPr="007A682B">
        <w:rPr>
          <w:rFonts w:ascii="Arial" w:hAnsi="Arial" w:cs="Arial"/>
          <w:sz w:val="20"/>
          <w:szCs w:val="20"/>
        </w:rPr>
        <w:t xml:space="preserve"> </w:t>
      </w:r>
      <w:r w:rsidRPr="007A682B">
        <w:rPr>
          <w:rFonts w:ascii="Arial" w:hAnsi="Arial" w:cs="Arial"/>
          <w:i/>
          <w:iCs/>
          <w:sz w:val="20"/>
          <w:szCs w:val="20"/>
        </w:rPr>
        <w:t>, dab1b</w:t>
      </w:r>
      <w:r w:rsidRPr="007A682B">
        <w:rPr>
          <w:rFonts w:ascii="Arial" w:hAnsi="Arial" w:cs="Arial"/>
          <w:sz w:val="20"/>
          <w:szCs w:val="20"/>
        </w:rPr>
        <w:t xml:space="preserve"> which is important for neuronal migration</w:t>
      </w:r>
      <w:r w:rsidR="009112E5" w:rsidRPr="007A682B">
        <w:rPr>
          <w:rFonts w:ascii="Arial" w:hAnsi="Arial" w:cs="Arial"/>
          <w:sz w:val="20"/>
          <w:szCs w:val="20"/>
        </w:rPr>
        <w:t xml:space="preserve"> via reelin signaling </w:t>
      </w:r>
      <w:r w:rsidR="009112E5" w:rsidRPr="007A682B">
        <w:rPr>
          <w:rFonts w:ascii="Arial" w:hAnsi="Arial" w:cs="Arial"/>
          <w:sz w:val="20"/>
          <w:szCs w:val="20"/>
        </w:rPr>
        <w:fldChar w:fldCharType="begin"/>
      </w:r>
      <w:r w:rsidR="00704475" w:rsidRPr="007A682B">
        <w:rPr>
          <w:rFonts w:ascii="Arial" w:hAnsi="Arial" w:cs="Arial"/>
          <w:sz w:val="20"/>
          <w:szCs w:val="20"/>
        </w:rPr>
        <w:instrText xml:space="preserve"> ADDIN ZOTERO_ITEM CSL_CITATION {"citationID":"SCFWqLgP","properties":{"unsorted":false,"formattedCitation":"(38)","plainCitation":"(38)","noteIndex":0},"citationItems":[{"id":6597,"uris":["http://zotero.org/users/11313215/items/DILVCJGI"],"itemData":{"id":6597,"type":"article-journal","abstract":"The multilayered mammalian neocortex develops by the coordinated immigration and differentiation of cells that are produced at distant sites. Correct layering requires an extracellular protein, Reelin (Reln), an intracellular signaling molecule, Disabled-1 (Dab1), and an E3 ubiquitin ligase, Cullin-5 (Cul5). Reln activates Dab1, which is then degraded by Cul5. Here we test whether Cul5 regulates neuron layering by affecting Dab1 stability or other mechanisms. We find that a stabilized mutant Dab1, which resists Cul5-dependent degradation, causes a similar phenotype to Cul5 deficiency. Moreover, Cul5 has no effect when Dab1 is absent. The effects of Cul5 and Dab1 are cell autonomous, and Cul5 regulates movement of early as well as late cortical neurons. Removing Cul5 increases the speed at which neurons migrate through the cortical plate by reducing the time spent stationary and increasing the speed of individual steps. These results show that Cul5 regulates neuron layering by stimulating Dab1 degradation and that Cul5 controls migration speed and stopping point, and they demonstrate the importance of negative feedback in signaling during cortical development.","container-title":"Journal of Neuroscience","DOI":"10.1523/JNEUROSCI.0035-10.2010","ISSN":"0270-6474, 1529-2401","issue":"16","journalAbbreviation":"J. Neurosci.","language":"en","license":"Copyright © 2010 the authors 0270-6474/10/305668-09$15.00/0","page":"5668-5676","PMID":"20410119","publisher":"Society for Neuroscience","section":"Articles","source":"www.jneurosci.org","title":"Cullin 5 Regulates Cortical Layering by Modulating the Speed and Duration of Dab1-Dependent Neuronal Migration","volume":"30","author":[{"family":"Simó","given":"Sergi"},{"family":"Jossin","given":"Yves"},{"family":"Cooper","given":"Jonathan A."}],"issued":{"date-parts":[["2010",4,21]]}}}],"schema":"https://github.com/citation-style-language/schema/raw/master/csl-citation.json"} </w:instrText>
      </w:r>
      <w:r w:rsidR="009112E5" w:rsidRPr="007A682B">
        <w:rPr>
          <w:rFonts w:ascii="Arial" w:hAnsi="Arial" w:cs="Arial"/>
          <w:sz w:val="20"/>
          <w:szCs w:val="20"/>
        </w:rPr>
        <w:fldChar w:fldCharType="separate"/>
      </w:r>
      <w:r w:rsidR="00704475" w:rsidRPr="007A682B">
        <w:rPr>
          <w:rFonts w:ascii="Arial" w:hAnsi="Arial" w:cs="Arial"/>
          <w:noProof/>
          <w:sz w:val="20"/>
          <w:szCs w:val="20"/>
        </w:rPr>
        <w:t>(38)</w:t>
      </w:r>
      <w:r w:rsidR="009112E5" w:rsidRPr="007A682B">
        <w:rPr>
          <w:rFonts w:ascii="Arial" w:hAnsi="Arial" w:cs="Arial"/>
          <w:sz w:val="20"/>
          <w:szCs w:val="20"/>
        </w:rPr>
        <w:fldChar w:fldCharType="end"/>
      </w:r>
      <w:r w:rsidRPr="007A682B">
        <w:rPr>
          <w:rFonts w:ascii="Arial" w:hAnsi="Arial" w:cs="Arial"/>
          <w:sz w:val="20"/>
          <w:szCs w:val="20"/>
        </w:rPr>
        <w:t xml:space="preserve">, and </w:t>
      </w:r>
      <w:r w:rsidRPr="007A682B">
        <w:rPr>
          <w:rFonts w:ascii="Arial" w:hAnsi="Arial" w:cs="Arial"/>
          <w:i/>
          <w:iCs/>
          <w:sz w:val="20"/>
          <w:szCs w:val="20"/>
        </w:rPr>
        <w:t xml:space="preserve">pknox2, </w:t>
      </w:r>
      <w:r w:rsidRPr="007A682B">
        <w:rPr>
          <w:rFonts w:ascii="Arial" w:hAnsi="Arial" w:cs="Arial"/>
          <w:sz w:val="20"/>
          <w:szCs w:val="20"/>
        </w:rPr>
        <w:t xml:space="preserve">a homeobox transcription factor known to play roles in </w:t>
      </w:r>
      <w:r w:rsidR="009112E5" w:rsidRPr="007A682B">
        <w:rPr>
          <w:rFonts w:ascii="Arial" w:hAnsi="Arial" w:cs="Arial"/>
          <w:sz w:val="20"/>
          <w:szCs w:val="20"/>
        </w:rPr>
        <w:t>cell</w:t>
      </w:r>
      <w:r w:rsidRPr="007A682B">
        <w:rPr>
          <w:rFonts w:ascii="Arial" w:hAnsi="Arial" w:cs="Arial"/>
          <w:sz w:val="20"/>
          <w:szCs w:val="20"/>
        </w:rPr>
        <w:t xml:space="preserve"> differentiation </w:t>
      </w:r>
      <w:r w:rsidR="009112E5" w:rsidRPr="007A682B">
        <w:rPr>
          <w:rFonts w:ascii="Arial" w:hAnsi="Arial" w:cs="Arial"/>
          <w:sz w:val="20"/>
          <w:szCs w:val="20"/>
        </w:rPr>
        <w:fldChar w:fldCharType="begin"/>
      </w:r>
      <w:r w:rsidR="00704475" w:rsidRPr="007A682B">
        <w:rPr>
          <w:rFonts w:ascii="Arial" w:hAnsi="Arial" w:cs="Arial"/>
          <w:sz w:val="20"/>
          <w:szCs w:val="20"/>
        </w:rPr>
        <w:instrText xml:space="preserve"> ADDIN ZOTERO_ITEM CSL_CITATION {"citationID":"RSoQdNwG","properties":{"unsorted":false,"formattedCitation":"(39)","plainCitation":"(39)","noteIndex":0},"citationItems":[{"id":6600,"uris":["http://zotero.org/users/11313215/items/PCAIATWQ"],"itemData":{"id":6600,"type":"article-journal","abstract":"Human pluripotent stem cells (hPSCs) provide powerful models for studying cellular differentiations and unlimited sources of cells for regenerative medicine. However, a comprehensive single-cell level differentiation roadmap for hPSCs has not been achieved.","container-title":"Genome Biology","DOI":"10.1186/s13059-018-1426-0","ISSN":"1474-760X","issue":"1","journalAbbreviation":"Genome Biol","language":"en","page":"47","source":"Springer Link","title":"Mapping human pluripotent stem cell differentiation pathways using high throughput single-cell RNA-sequencing","volume":"19","author":[{"family":"Han","given":"Xiaoping"},{"family":"Chen","given":"Haide"},{"family":"Huang","given":"Daosheng"},{"family":"Chen","given":"Huidong"},{"family":"Fei","given":"Lijiang"},{"family":"Cheng","given":"Chen"},{"family":"Huang","given":"He"},{"family":"Yuan","given":"Guo-Cheng"},{"family":"Guo","given":"Guoji"}],"issued":{"date-parts":[["2018",4,5]]}}}],"schema":"https://github.com/citation-style-language/schema/raw/master/csl-citation.json"} </w:instrText>
      </w:r>
      <w:r w:rsidR="009112E5" w:rsidRPr="007A682B">
        <w:rPr>
          <w:rFonts w:ascii="Arial" w:hAnsi="Arial" w:cs="Arial"/>
          <w:sz w:val="20"/>
          <w:szCs w:val="20"/>
        </w:rPr>
        <w:fldChar w:fldCharType="separate"/>
      </w:r>
      <w:r w:rsidR="00704475" w:rsidRPr="007A682B">
        <w:rPr>
          <w:rFonts w:ascii="Arial" w:hAnsi="Arial" w:cs="Arial"/>
          <w:noProof/>
          <w:sz w:val="20"/>
          <w:szCs w:val="20"/>
        </w:rPr>
        <w:t>(39)</w:t>
      </w:r>
      <w:r w:rsidR="009112E5" w:rsidRPr="007A682B">
        <w:rPr>
          <w:rFonts w:ascii="Arial" w:hAnsi="Arial" w:cs="Arial"/>
          <w:sz w:val="20"/>
          <w:szCs w:val="20"/>
        </w:rPr>
        <w:fldChar w:fldCharType="end"/>
      </w:r>
      <w:r w:rsidRPr="007A682B">
        <w:rPr>
          <w:rFonts w:ascii="Arial" w:hAnsi="Arial" w:cs="Arial"/>
          <w:sz w:val="20"/>
          <w:szCs w:val="20"/>
        </w:rPr>
        <w:t xml:space="preserve">. </w:t>
      </w:r>
      <w:r w:rsidRPr="007A682B">
        <w:rPr>
          <w:rFonts w:ascii="Arial" w:hAnsi="Arial" w:cs="Arial"/>
          <w:i/>
          <w:iCs/>
          <w:sz w:val="20"/>
          <w:szCs w:val="20"/>
        </w:rPr>
        <w:t xml:space="preserve">gli1 </w:t>
      </w:r>
      <w:r w:rsidRPr="007A682B">
        <w:rPr>
          <w:rFonts w:ascii="Arial" w:hAnsi="Arial" w:cs="Arial"/>
          <w:sz w:val="20"/>
          <w:szCs w:val="20"/>
        </w:rPr>
        <w:t>itself received positive inputs from several transcription factors known to control neurogenesis</w:t>
      </w:r>
      <w:r w:rsidR="006E17C5" w:rsidRPr="007A682B">
        <w:rPr>
          <w:rFonts w:ascii="Arial" w:hAnsi="Arial" w:cs="Arial"/>
          <w:sz w:val="20"/>
          <w:szCs w:val="20"/>
        </w:rPr>
        <w:t xml:space="preserve"> and stem cell differentiation</w:t>
      </w:r>
      <w:r w:rsidRPr="007A682B">
        <w:rPr>
          <w:rFonts w:ascii="Arial" w:hAnsi="Arial" w:cs="Arial"/>
          <w:sz w:val="20"/>
          <w:szCs w:val="20"/>
        </w:rPr>
        <w:t xml:space="preserve">, notably </w:t>
      </w:r>
      <w:r w:rsidRPr="007A682B">
        <w:rPr>
          <w:rFonts w:ascii="Arial" w:hAnsi="Arial" w:cs="Arial"/>
          <w:i/>
          <w:iCs/>
          <w:sz w:val="20"/>
          <w:szCs w:val="20"/>
        </w:rPr>
        <w:t xml:space="preserve">uncx </w:t>
      </w:r>
      <w:r w:rsidR="009112E5" w:rsidRPr="007A682B">
        <w:rPr>
          <w:rFonts w:ascii="Arial" w:hAnsi="Arial" w:cs="Arial"/>
          <w:sz w:val="20"/>
          <w:szCs w:val="20"/>
        </w:rPr>
        <w:fldChar w:fldCharType="begin"/>
      </w:r>
      <w:r w:rsidR="00704475" w:rsidRPr="007A682B">
        <w:rPr>
          <w:rFonts w:ascii="Arial" w:hAnsi="Arial" w:cs="Arial"/>
          <w:sz w:val="20"/>
          <w:szCs w:val="20"/>
        </w:rPr>
        <w:instrText xml:space="preserve"> ADDIN ZOTERO_ITEM CSL_CITATION {"citationID":"afj3A1V9","properties":{"unsorted":false,"formattedCitation":"(40)","plainCitation":"(40)","noteIndex":0},"citationItems":[{"id":6602,"uris":["http://zotero.org/users/11313215/items/WH284AHW"],"itemData":{"id":6602,"type":"article-journal","abstract":"Uncx (Phd1, Chx4) is a paired homeobox transcription factor gene. It and its probable functional partners, Tle co-repressors, were expressed by neurally-fated basal progenitor cells and olfactory sensory neurons of the olfactory epithelium. Uncx expression was rare in olfactory epithelia of Ascl1−/− mice, but common in Neurog1−/− mice. In Uncx−/− mice olfactory progenitor cell proliferation, progenitor cell number, olfactory sensory neuron survival, and Umodl1 and Kcnc4 mRNAs were reduced. Evidence of sensory neuron activity and functional connections to the olfactory bulb argue that decreased neuronal survival was not due to loss of trophic support or activity-dependent mechanisms. These data suggest that UNCX acts downstream of neural determination factors to broadly control transcriptional mechanisms used by neural progenitor cells to specify neural phenotypes.","container-title":"Molecular and Cellular Neuroscience","DOI":"10.1016/j.mcn.2010.07.013","ISSN":"1044-7431","issue":"4","journalAbbreviation":"Molecular and Cellular Neuroscience","page":"398-407","source":"ScienceDirect","title":"Uncx regulates proliferation of neural progenitor cells and neuronal survival in the olfactory epithelium","volume":"45","author":[{"family":"Sammeta","given":"Neeraja"},{"family":"Hardin","given":"Debra L."},{"family":"McClintock","given":"Timothy S."}],"issued":{"date-parts":[["2010",12,1]]}}}],"schema":"https://github.com/citation-style-language/schema/raw/master/csl-citation.json"} </w:instrText>
      </w:r>
      <w:r w:rsidR="009112E5" w:rsidRPr="007A682B">
        <w:rPr>
          <w:rFonts w:ascii="Arial" w:hAnsi="Arial" w:cs="Arial"/>
          <w:sz w:val="20"/>
          <w:szCs w:val="20"/>
        </w:rPr>
        <w:fldChar w:fldCharType="separate"/>
      </w:r>
      <w:r w:rsidR="00704475" w:rsidRPr="007A682B">
        <w:rPr>
          <w:rFonts w:ascii="Arial" w:hAnsi="Arial" w:cs="Arial"/>
          <w:noProof/>
          <w:sz w:val="20"/>
          <w:szCs w:val="20"/>
        </w:rPr>
        <w:t>(40)</w:t>
      </w:r>
      <w:r w:rsidR="009112E5" w:rsidRPr="007A682B">
        <w:rPr>
          <w:rFonts w:ascii="Arial" w:hAnsi="Arial" w:cs="Arial"/>
          <w:sz w:val="20"/>
          <w:szCs w:val="20"/>
        </w:rPr>
        <w:fldChar w:fldCharType="end"/>
      </w:r>
      <w:r w:rsidRPr="007A682B">
        <w:rPr>
          <w:rFonts w:ascii="Arial" w:hAnsi="Arial" w:cs="Arial"/>
          <w:sz w:val="20"/>
          <w:szCs w:val="20"/>
        </w:rPr>
        <w:t xml:space="preserve"> and </w:t>
      </w:r>
      <w:r w:rsidRPr="007A682B">
        <w:rPr>
          <w:rFonts w:ascii="Arial" w:hAnsi="Arial" w:cs="Arial"/>
          <w:i/>
          <w:iCs/>
          <w:sz w:val="20"/>
          <w:szCs w:val="20"/>
        </w:rPr>
        <w:t>zic3</w:t>
      </w:r>
      <w:r w:rsidR="00C223B0">
        <w:rPr>
          <w:rFonts w:ascii="Arial" w:hAnsi="Arial" w:cs="Arial"/>
          <w:i/>
          <w:iCs/>
          <w:sz w:val="20"/>
          <w:szCs w:val="20"/>
        </w:rPr>
        <w:t xml:space="preserve"> </w:t>
      </w:r>
      <w:r w:rsidR="006E17C5" w:rsidRPr="007A682B">
        <w:rPr>
          <w:rFonts w:ascii="Arial" w:hAnsi="Arial" w:cs="Arial"/>
          <w:i/>
          <w:iCs/>
          <w:sz w:val="20"/>
          <w:szCs w:val="20"/>
        </w:rPr>
        <w:fldChar w:fldCharType="begin"/>
      </w:r>
      <w:r w:rsidR="00704475" w:rsidRPr="007A682B">
        <w:rPr>
          <w:rFonts w:ascii="Arial" w:hAnsi="Arial" w:cs="Arial"/>
          <w:i/>
          <w:iCs/>
          <w:sz w:val="20"/>
          <w:szCs w:val="20"/>
        </w:rPr>
        <w:instrText xml:space="preserve"> ADDIN ZOTERO_ITEM CSL_CITATION {"citationID":"M4xVBlql","properties":{"unsorted":false,"formattedCitation":"(41, 42)","plainCitation":"(41, 42)","noteIndex":0},"citationItems":[{"id":6615,"uris":["http://zotero.org/users/11313215/items/FQL45VKG"],"itemData":{"id":6615,"type":"article-journal","abstract":"More than a decade has passed since Zic family zinc finger proteins were discovered to be transcription factors controlling neuroectodermal differentiation (neural induction) in Xenopus laevis embryos. Although BMP-signal blocking has been shown to be a major upregulator of Zic genes in neuroectodermal differentiation, recent studies have revealed that FGF signaling and intracellular calcium elevation are also involved in regulating the expression of Zic genes. Different regulatory mechanisms have been found for the Zic1 and Zic3 genes, raising the possibility that functional synergism between them partly accounts for the integration of BMP-signal blocking and FGF signaling in neuroectodermal differentiation. Furthermore, mammalian Zic1 and Zic3 have been found to be neural-cell-fate-inducing and pluripotency-maintaining factors, respectively, leading us to the intriguing question of whether the mechanism underlying amphibian neuroectodermal differentiation is applicable to mammals. Comprehensive understanding of the Zic family genes is therefore essential for the study of the neuroectodermal differentiation and stem cell biology.","container-title":"Neurochemical Research","DOI":"10.1007/s11064-011-0422-5","ISSN":"1573-6903","issue":"7","journalAbbreviation":"Neurochem Res","language":"en","page":"1286-1292","source":"Springer Link","title":"Role of BMP, FGF, Calcium Signaling, and Zic Proteins in Vertebrate Neuroectodermal Differentiation","volume":"36","author":[{"family":"Aruga","given":"Jun"},{"family":"Mikoshiba","given":"Katsuhiko"}],"issued":{"date-parts":[["2011",7,1]]}}},{"id":3671,"uris":["http://zotero.org/users/11313215/items/DXPWP9XP"],"itemData":{"id":3671,"type":"article-journal","abstract":"The medial telencephalon is a source of neurons that follow distinct tangential trajectories of migration to various structures such as the cerebral cortex, striatum, and olfactory bulb. In the present study, we characterized the forebrain anomalies in Zic1/Zic3 compound mutant mice. Zic1 and Zic3 were strongly expressed in the medial structures, including the septum, medial cerebral cortex, and choroid plexus. Mice homozygous for the Zic1 mutant allele together with the null Zic3 allele showed medial forebrain defects, which were not obvious in either Zic1 or Zic3 single mutants. Absence of both Zic1 and Zic3 caused hypoplasia of the hippocampus, septum, and olfactory bulb. Analysis of the cell cycle revealed that the cell cycle exit rate was increased in the septa of double mutants. Misexpression of Zic3 in the ventricular layer of the cerebral cortex inhibited neuronal differentiation. These results indicated that both Zic1 and Zic3 function in maintaining neural precursor cells in an undifferentiated state. The functions of these genes may be essential to increasing neural cell numbers regionally in the medial telencephalon and to proper mediolateral patterning of the telencephalon.","container-title":"The Journal of Neuroscience: The Official Journal of the Society for Neuroscience","DOI":"10.1523/JNEUROSCI.4046-06.2007","ISSN":"1529-2401","issue":"20","journalAbbreviation":"J Neurosci","language":"eng","page":"5461-5473","PMID":"17507568","PMCID":"PMC6672357","source":"PubMed","title":"Zic1 and Zic3 regulate medial forebrain development through expansion of neuronal progenitors","volume":"27","author":[{"family":"Inoue","given":"Takashi"},{"family":"Ota","given":"Maya"},{"family":"Ogawa","given":"Miyuki"},{"family":"Mikoshiba","given":"Katsuhiko"},{"family":"Aruga","given":"Jun"}],"issued":{"date-parts":[["2007",5,16]]}}}],"schema":"https://github.com/citation-style-language/schema/raw/master/csl-citation.json"} </w:instrText>
      </w:r>
      <w:r w:rsidR="006E17C5" w:rsidRPr="007A682B">
        <w:rPr>
          <w:rFonts w:ascii="Arial" w:hAnsi="Arial" w:cs="Arial"/>
          <w:i/>
          <w:iCs/>
          <w:sz w:val="20"/>
          <w:szCs w:val="20"/>
        </w:rPr>
        <w:fldChar w:fldCharType="separate"/>
      </w:r>
      <w:r w:rsidR="00704475" w:rsidRPr="007A682B">
        <w:rPr>
          <w:rFonts w:ascii="Arial" w:hAnsi="Arial" w:cs="Arial"/>
          <w:noProof/>
          <w:sz w:val="20"/>
          <w:szCs w:val="20"/>
        </w:rPr>
        <w:t>(41, 42)</w:t>
      </w:r>
      <w:r w:rsidR="006E17C5" w:rsidRPr="007A682B">
        <w:rPr>
          <w:rFonts w:ascii="Arial" w:hAnsi="Arial" w:cs="Arial"/>
          <w:i/>
          <w:iCs/>
          <w:sz w:val="20"/>
          <w:szCs w:val="20"/>
        </w:rPr>
        <w:fldChar w:fldCharType="end"/>
      </w:r>
      <w:r w:rsidRPr="007A682B">
        <w:rPr>
          <w:rFonts w:ascii="Arial" w:hAnsi="Arial" w:cs="Arial"/>
          <w:i/>
          <w:iCs/>
          <w:sz w:val="20"/>
          <w:szCs w:val="20"/>
        </w:rPr>
        <w:t xml:space="preserve">, </w:t>
      </w:r>
      <w:r w:rsidRPr="007A682B">
        <w:rPr>
          <w:rFonts w:ascii="Arial" w:hAnsi="Arial" w:cs="Arial"/>
          <w:sz w:val="20"/>
          <w:szCs w:val="20"/>
        </w:rPr>
        <w:t xml:space="preserve">and a negative input from </w:t>
      </w:r>
      <w:r w:rsidRPr="007A682B">
        <w:rPr>
          <w:rFonts w:ascii="Arial" w:hAnsi="Arial" w:cs="Arial"/>
          <w:i/>
          <w:iCs/>
          <w:sz w:val="20"/>
          <w:szCs w:val="20"/>
        </w:rPr>
        <w:t>nfia</w:t>
      </w:r>
      <w:r w:rsidRPr="007A682B">
        <w:rPr>
          <w:rFonts w:ascii="Arial" w:hAnsi="Arial" w:cs="Arial"/>
          <w:sz w:val="20"/>
          <w:szCs w:val="20"/>
        </w:rPr>
        <w:t xml:space="preserve"> </w:t>
      </w:r>
      <w:r w:rsidRPr="007A682B">
        <w:rPr>
          <w:rFonts w:ascii="Arial" w:hAnsi="Arial" w:cs="Arial"/>
          <w:sz w:val="20"/>
          <w:szCs w:val="20"/>
        </w:rPr>
        <w:fldChar w:fldCharType="begin"/>
      </w:r>
      <w:r w:rsidR="00704475" w:rsidRPr="007A682B">
        <w:rPr>
          <w:rFonts w:ascii="Arial" w:hAnsi="Arial" w:cs="Arial"/>
          <w:sz w:val="20"/>
          <w:szCs w:val="20"/>
        </w:rPr>
        <w:instrText xml:space="preserve"> ADDIN ZOTERO_ITEM CSL_CITATION {"citationID":"yL2IQ4mW","properties":{"unsorted":false,"formattedCitation":"(43)","plainCitation":"(43)","noteIndex":0},"citationItems":[{"id":2653,"uris":["http://zotero.org/users/11313215/items/S2XWVMWT"],"itemData":{"id":2653,"type":"article-journal","abstract":"Olfactory receptor (OR) choice represents an example of genetically hardwired stochasticity, where every olfactory neuron expresses one out of ~2000 OR alleles in the mouse genome in a probabilistic, yet stereotypic fashion. Here, we propose that topographic restrictions in OR expression are established in neuronal progenitors by two opposing forces: polygenic transcription and genomic silencing, both of which are influenced by dorsoventral gradients of transcription factors NFIA, B, and X. Polygenic transcription of OR genes may define spatially constrained OR repertoires, among which one OR allele is selected for singular expression later in development. Heterochromatin assembly and genomic compartmentalization of OR alleles also vary across the axes of the olfactory epithelium and may preferentially eliminate ectopically expressed ORs with more dorsal expression destinations from this ‘privileged’ repertoire. Our experiments identify early transcription as a potential ‘epigenetic’ contributor to future developmental patterning and reveal how two spatially responsive probabilistic processes may act in concert to establish deterministic, precise, and reproducible territories of stochastic gene expression.","container-title":"eLife","DOI":"10.7554/eLife.87445","ISSN":"2050-084X","page":"RP87445","publisher":"eLife Sciences Publications, Ltd","source":"eLife","title":"Opposing, spatially-determined epigenetic forces impose restrictions on stochastic olfactory receptor choice","volume":"12","author":[{"family":"Bashkirova","given":"Elizaveta V"},{"family":"Klimpert","given":"Nell"},{"family":"Monahan","given":"Kevin"},{"family":"Campbell","given":"Christine E"},{"family":"Osinski","given":"Jason"},{"family":"Tan","given":"Longzhi"},{"family":"Schieren","given":"Ira"},{"family":"Pourmorady","given":"Ariel"},{"family":"Stecky","given":"Beka"},{"family":"Barnea","given":"Gilad"},{"family":"Xie","given":"Xiaoliang Sunney"},{"family":"Abdus-Saboor","given":"Ishmail"},{"family":"Shykind","given":"Benjamin M"},{"family":"Marlin","given":"Bianca J"},{"family":"Gronostajski","given":"Richard M"},{"family":"Fleischmann","given":"Alexander"},{"family":"Lomvardas","given":"Stavros"}],"editor":[{"family":"Sen","given":"Sonia"},{"family":"Desplan","given":"Claude"}],"issued":{"date-parts":[["2023",12,18]]}}}],"schema":"https://github.com/citation-style-language/schema/raw/master/csl-citation.json"} </w:instrText>
      </w:r>
      <w:r w:rsidRPr="007A682B">
        <w:rPr>
          <w:rFonts w:ascii="Arial" w:hAnsi="Arial" w:cs="Arial"/>
          <w:sz w:val="20"/>
          <w:szCs w:val="20"/>
        </w:rPr>
        <w:fldChar w:fldCharType="separate"/>
      </w:r>
      <w:r w:rsidR="00704475" w:rsidRPr="007A682B">
        <w:rPr>
          <w:rFonts w:ascii="Arial" w:hAnsi="Arial" w:cs="Arial"/>
          <w:noProof/>
          <w:sz w:val="20"/>
          <w:szCs w:val="20"/>
        </w:rPr>
        <w:t>(43)</w:t>
      </w:r>
      <w:r w:rsidRPr="007A682B">
        <w:rPr>
          <w:rFonts w:ascii="Arial" w:hAnsi="Arial" w:cs="Arial"/>
          <w:sz w:val="20"/>
          <w:szCs w:val="20"/>
        </w:rPr>
        <w:fldChar w:fldCharType="end"/>
      </w:r>
      <w:r w:rsidRPr="007A682B">
        <w:rPr>
          <w:rFonts w:ascii="Arial" w:hAnsi="Arial" w:cs="Arial"/>
          <w:sz w:val="20"/>
          <w:szCs w:val="20"/>
        </w:rPr>
        <w:t xml:space="preserve"> suggesting a hierarchical and coordinated regulatory network. </w:t>
      </w:r>
    </w:p>
    <w:p w14:paraId="46C614A9" w14:textId="2E04E171" w:rsidR="00D770B1" w:rsidRPr="007A682B" w:rsidRDefault="00D770B1" w:rsidP="007D232F">
      <w:pPr>
        <w:ind w:firstLine="720"/>
        <w:rPr>
          <w:rFonts w:ascii="Arial" w:hAnsi="Arial" w:cs="Arial"/>
          <w:sz w:val="20"/>
          <w:szCs w:val="20"/>
        </w:rPr>
      </w:pPr>
      <w:r w:rsidRPr="007A682B">
        <w:rPr>
          <w:rFonts w:ascii="Arial" w:hAnsi="Arial" w:cs="Arial"/>
          <w:sz w:val="20"/>
          <w:szCs w:val="20"/>
        </w:rPr>
        <w:t xml:space="preserve">The transcription factor </w:t>
      </w:r>
      <w:r w:rsidRPr="007A682B">
        <w:rPr>
          <w:rFonts w:ascii="Arial" w:hAnsi="Arial" w:cs="Arial"/>
          <w:i/>
          <w:iCs/>
          <w:sz w:val="20"/>
          <w:szCs w:val="20"/>
        </w:rPr>
        <w:t xml:space="preserve">uncx </w:t>
      </w:r>
      <w:r w:rsidRPr="007A682B">
        <w:rPr>
          <w:rFonts w:ascii="Arial" w:hAnsi="Arial" w:cs="Arial"/>
          <w:sz w:val="20"/>
          <w:szCs w:val="20"/>
        </w:rPr>
        <w:t xml:space="preserve">is a particularly interesting component of the 1_RGC network due to its dual regulation of the TF hub </w:t>
      </w:r>
      <w:r w:rsidRPr="007A682B">
        <w:rPr>
          <w:rFonts w:ascii="Arial" w:hAnsi="Arial" w:cs="Arial"/>
          <w:i/>
          <w:iCs/>
          <w:sz w:val="20"/>
          <w:szCs w:val="20"/>
        </w:rPr>
        <w:t>gli1</w:t>
      </w:r>
      <w:r w:rsidRPr="007A682B">
        <w:rPr>
          <w:rFonts w:ascii="Arial" w:hAnsi="Arial" w:cs="Arial"/>
          <w:sz w:val="20"/>
          <w:szCs w:val="20"/>
        </w:rPr>
        <w:t xml:space="preserve"> and </w:t>
      </w:r>
      <w:r w:rsidRPr="007A682B">
        <w:rPr>
          <w:rFonts w:ascii="Arial" w:hAnsi="Arial" w:cs="Arial"/>
          <w:i/>
          <w:iCs/>
          <w:sz w:val="20"/>
          <w:szCs w:val="20"/>
        </w:rPr>
        <w:t>cyp19a1b</w:t>
      </w:r>
      <w:r w:rsidRPr="007A682B">
        <w:rPr>
          <w:rFonts w:ascii="Arial" w:hAnsi="Arial" w:cs="Arial"/>
          <w:sz w:val="20"/>
          <w:szCs w:val="20"/>
        </w:rPr>
        <w:t xml:space="preserve">. </w:t>
      </w:r>
      <w:r w:rsidRPr="007A682B">
        <w:rPr>
          <w:rFonts w:ascii="Arial" w:hAnsi="Arial" w:cs="Arial"/>
          <w:i/>
          <w:iCs/>
          <w:sz w:val="20"/>
          <w:szCs w:val="20"/>
        </w:rPr>
        <w:t>uncx</w:t>
      </w:r>
      <w:r w:rsidRPr="007A682B">
        <w:rPr>
          <w:rFonts w:ascii="Arial" w:hAnsi="Arial" w:cs="Arial"/>
          <w:sz w:val="20"/>
          <w:szCs w:val="20"/>
        </w:rPr>
        <w:t xml:space="preserve"> was positively associated with </w:t>
      </w:r>
      <w:r w:rsidR="009112E5" w:rsidRPr="007A682B">
        <w:rPr>
          <w:rFonts w:ascii="Arial" w:hAnsi="Arial" w:cs="Arial"/>
          <w:i/>
          <w:iCs/>
          <w:sz w:val="20"/>
          <w:szCs w:val="20"/>
        </w:rPr>
        <w:t>gli1</w:t>
      </w:r>
      <w:r w:rsidR="009112E5" w:rsidRPr="007A682B">
        <w:rPr>
          <w:rFonts w:ascii="Arial" w:hAnsi="Arial" w:cs="Arial"/>
          <w:sz w:val="20"/>
          <w:szCs w:val="20"/>
        </w:rPr>
        <w:t xml:space="preserve"> but</w:t>
      </w:r>
      <w:r w:rsidRPr="007A682B">
        <w:rPr>
          <w:rFonts w:ascii="Arial" w:hAnsi="Arial" w:cs="Arial"/>
          <w:sz w:val="20"/>
          <w:szCs w:val="20"/>
        </w:rPr>
        <w:t xml:space="preserve"> negatively associated with </w:t>
      </w:r>
      <w:r w:rsidRPr="007A682B">
        <w:rPr>
          <w:rFonts w:ascii="Arial" w:hAnsi="Arial" w:cs="Arial"/>
          <w:i/>
          <w:iCs/>
          <w:sz w:val="20"/>
          <w:szCs w:val="20"/>
        </w:rPr>
        <w:t>cyp19a1b</w:t>
      </w:r>
      <w:r w:rsidR="00133953" w:rsidRPr="007A682B">
        <w:rPr>
          <w:rFonts w:ascii="Arial" w:hAnsi="Arial" w:cs="Arial"/>
          <w:i/>
          <w:iCs/>
          <w:sz w:val="20"/>
          <w:szCs w:val="20"/>
        </w:rPr>
        <w:t xml:space="preserve"> </w:t>
      </w:r>
      <w:r w:rsidR="00133953" w:rsidRPr="007A682B">
        <w:rPr>
          <w:rFonts w:ascii="Arial" w:hAnsi="Arial" w:cs="Arial"/>
          <w:sz w:val="20"/>
          <w:szCs w:val="20"/>
        </w:rPr>
        <w:t>(</w:t>
      </w:r>
      <w:r w:rsidR="00047516" w:rsidRPr="007A682B">
        <w:rPr>
          <w:rFonts w:ascii="Arial" w:hAnsi="Arial" w:cs="Arial"/>
          <w:sz w:val="20"/>
          <w:szCs w:val="20"/>
          <w:highlight w:val="yellow"/>
        </w:rPr>
        <w:t>Fig. S11A ;</w:t>
      </w:r>
      <w:r w:rsidR="00913D54">
        <w:rPr>
          <w:rFonts w:ascii="Arial" w:hAnsi="Arial" w:cs="Arial"/>
          <w:sz w:val="20"/>
          <w:szCs w:val="20"/>
        </w:rPr>
        <w:t xml:space="preserve"> </w:t>
      </w:r>
      <w:r w:rsidR="00913D54" w:rsidRPr="00913D54">
        <w:rPr>
          <w:rFonts w:ascii="Arial" w:hAnsi="Arial" w:cs="Arial"/>
          <w:sz w:val="20"/>
          <w:szCs w:val="20"/>
          <w:highlight w:val="yellow"/>
        </w:rPr>
        <w:t>Appendix S13</w:t>
      </w:r>
      <w:r w:rsidR="00133953" w:rsidRPr="007A682B">
        <w:rPr>
          <w:rFonts w:ascii="Arial" w:hAnsi="Arial" w:cs="Arial"/>
          <w:sz w:val="20"/>
          <w:szCs w:val="20"/>
        </w:rPr>
        <w:t>)</w:t>
      </w:r>
      <w:r w:rsidRPr="007A682B">
        <w:rPr>
          <w:rFonts w:ascii="Arial" w:hAnsi="Arial" w:cs="Arial"/>
          <w:sz w:val="20"/>
          <w:szCs w:val="20"/>
        </w:rPr>
        <w:t xml:space="preserve">. This suggests that brain aromatase expression and neuronal differentiation in RGCs are inversely correlated. Given </w:t>
      </w:r>
      <w:r w:rsidRPr="007A682B">
        <w:rPr>
          <w:rFonts w:ascii="Arial" w:hAnsi="Arial" w:cs="Arial"/>
          <w:i/>
          <w:iCs/>
          <w:sz w:val="20"/>
          <w:szCs w:val="20"/>
        </w:rPr>
        <w:t xml:space="preserve">cyp19a1b </w:t>
      </w:r>
      <w:r w:rsidRPr="007A682B">
        <w:rPr>
          <w:rFonts w:ascii="Arial" w:hAnsi="Arial" w:cs="Arial"/>
          <w:sz w:val="20"/>
          <w:szCs w:val="20"/>
        </w:rPr>
        <w:t>is transiently downregulated in intermediates, this further supports the idea that 1_RGC in intermediates increases the rate of neurogenesis</w:t>
      </w:r>
      <w:r w:rsidR="0051799D" w:rsidRPr="007A682B">
        <w:rPr>
          <w:rFonts w:ascii="Arial" w:hAnsi="Arial" w:cs="Arial"/>
          <w:sz w:val="20"/>
          <w:szCs w:val="20"/>
        </w:rPr>
        <w:t xml:space="preserve"> at the expense of </w:t>
      </w:r>
      <w:r w:rsidR="0051799D" w:rsidRPr="007A682B">
        <w:rPr>
          <w:rFonts w:ascii="Arial" w:hAnsi="Arial" w:cs="Arial"/>
          <w:i/>
          <w:iCs/>
          <w:sz w:val="20"/>
          <w:szCs w:val="20"/>
        </w:rPr>
        <w:t xml:space="preserve">cyp19a1b </w:t>
      </w:r>
      <w:r w:rsidR="0051799D" w:rsidRPr="007A682B">
        <w:rPr>
          <w:rFonts w:ascii="Arial" w:hAnsi="Arial" w:cs="Arial"/>
          <w:sz w:val="20"/>
          <w:szCs w:val="20"/>
        </w:rPr>
        <w:t>production</w:t>
      </w:r>
      <w:r w:rsidRPr="007A682B">
        <w:rPr>
          <w:rFonts w:ascii="Arial" w:hAnsi="Arial" w:cs="Arial"/>
          <w:sz w:val="20"/>
          <w:szCs w:val="20"/>
        </w:rPr>
        <w:t>.</w:t>
      </w:r>
    </w:p>
    <w:p w14:paraId="40EBD9D1" w14:textId="77777777" w:rsidR="007D232F" w:rsidRPr="007A682B" w:rsidRDefault="007D232F" w:rsidP="007D232F">
      <w:pPr>
        <w:ind w:firstLine="720"/>
        <w:rPr>
          <w:rFonts w:ascii="Arial" w:hAnsi="Arial" w:cs="Arial"/>
          <w:sz w:val="20"/>
          <w:szCs w:val="20"/>
        </w:rPr>
      </w:pPr>
    </w:p>
    <w:p w14:paraId="6E89496F" w14:textId="77777777" w:rsidR="00F3752B" w:rsidRPr="007A682B" w:rsidRDefault="00F3752B" w:rsidP="00F3752B">
      <w:pPr>
        <w:rPr>
          <w:rFonts w:ascii="Arial" w:hAnsi="Arial" w:cs="Arial"/>
          <w:sz w:val="20"/>
          <w:szCs w:val="20"/>
          <w:u w:val="single"/>
        </w:rPr>
      </w:pPr>
      <w:r w:rsidRPr="007A682B">
        <w:rPr>
          <w:rFonts w:ascii="Arial" w:hAnsi="Arial" w:cs="Arial"/>
          <w:sz w:val="20"/>
          <w:szCs w:val="20"/>
          <w:u w:val="single"/>
        </w:rPr>
        <w:t>Immediate early genes and sex steroid receptors are candidate regulators of genes involved in gonadotroph regulation in 6_POA_Mixed</w:t>
      </w:r>
    </w:p>
    <w:p w14:paraId="23D31851" w14:textId="1AD09353" w:rsidR="00F3752B" w:rsidRPr="007A682B" w:rsidRDefault="00F3752B" w:rsidP="00F3752B">
      <w:pPr>
        <w:rPr>
          <w:rFonts w:ascii="Arial" w:hAnsi="Arial" w:cs="Arial"/>
          <w:sz w:val="20"/>
          <w:szCs w:val="20"/>
        </w:rPr>
      </w:pPr>
      <w:r w:rsidRPr="007A682B">
        <w:rPr>
          <w:rFonts w:ascii="Arial" w:hAnsi="Arial" w:cs="Arial"/>
          <w:sz w:val="20"/>
          <w:szCs w:val="20"/>
        </w:rPr>
        <w:tab/>
        <w:t>Our complementary analysis of 6_POA_Mixed identified candidate TF regulators of DEGs that were not captured by the accessibility-coupled analysis (</w:t>
      </w:r>
      <w:r w:rsidRPr="007A682B">
        <w:rPr>
          <w:rFonts w:ascii="Arial" w:hAnsi="Arial" w:cs="Arial"/>
          <w:sz w:val="20"/>
          <w:szCs w:val="20"/>
          <w:highlight w:val="yellow"/>
        </w:rPr>
        <w:t>Fig. S11B)</w:t>
      </w:r>
      <w:r w:rsidRPr="007A682B">
        <w:rPr>
          <w:rFonts w:ascii="Arial" w:hAnsi="Arial" w:cs="Arial"/>
          <w:sz w:val="20"/>
          <w:szCs w:val="20"/>
        </w:rPr>
        <w:t xml:space="preserve">. From this larger regulatory network, we focused on differentially expressed genes with known roles in neuroendocrine signaling and the regulation of pituitary gonadotrophs. Intriguingly, early-downregulated </w:t>
      </w:r>
      <w:r w:rsidRPr="007A682B">
        <w:rPr>
          <w:rFonts w:ascii="Arial" w:hAnsi="Arial" w:cs="Arial"/>
          <w:i/>
          <w:iCs/>
          <w:sz w:val="20"/>
          <w:szCs w:val="20"/>
        </w:rPr>
        <w:t>npy7r</w:t>
      </w:r>
      <w:r w:rsidRPr="007A682B">
        <w:rPr>
          <w:rFonts w:ascii="Arial" w:hAnsi="Arial" w:cs="Arial"/>
          <w:sz w:val="20"/>
          <w:szCs w:val="20"/>
        </w:rPr>
        <w:t xml:space="preserve"> was positively associated with the immediate early gene </w:t>
      </w:r>
      <w:r w:rsidRPr="007A682B">
        <w:rPr>
          <w:rFonts w:ascii="Arial" w:hAnsi="Arial" w:cs="Arial"/>
          <w:i/>
          <w:iCs/>
          <w:sz w:val="20"/>
          <w:szCs w:val="20"/>
        </w:rPr>
        <w:t>egr1</w:t>
      </w:r>
      <w:r w:rsidR="00F70850" w:rsidRPr="007A682B">
        <w:rPr>
          <w:rFonts w:ascii="Arial" w:hAnsi="Arial" w:cs="Arial"/>
          <w:sz w:val="20"/>
          <w:szCs w:val="20"/>
        </w:rPr>
        <w:t xml:space="preserve"> </w:t>
      </w:r>
      <w:r w:rsidRPr="007A682B">
        <w:rPr>
          <w:rFonts w:ascii="Arial" w:hAnsi="Arial" w:cs="Arial"/>
          <w:sz w:val="20"/>
          <w:szCs w:val="20"/>
        </w:rPr>
        <w:t>(</w:t>
      </w:r>
      <w:r w:rsidR="00DC3495" w:rsidRPr="007A682B">
        <w:rPr>
          <w:rFonts w:ascii="Arial" w:hAnsi="Arial" w:cs="Arial"/>
          <w:i/>
          <w:iCs/>
          <w:sz w:val="20"/>
          <w:szCs w:val="20"/>
          <w:highlight w:val="yellow"/>
        </w:rPr>
        <w:t>r</w:t>
      </w:r>
      <w:r w:rsidR="00DC3495" w:rsidRPr="007A682B">
        <w:rPr>
          <w:rFonts w:ascii="Arial" w:hAnsi="Arial" w:cs="Arial"/>
          <w:sz w:val="20"/>
          <w:szCs w:val="20"/>
          <w:highlight w:val="yellow"/>
        </w:rPr>
        <w:t>=0.53, p=0.01;</w:t>
      </w:r>
      <w:r w:rsidR="00DC3495" w:rsidRPr="007A682B">
        <w:rPr>
          <w:rFonts w:ascii="Arial" w:hAnsi="Arial" w:cs="Arial"/>
          <w:sz w:val="20"/>
          <w:szCs w:val="20"/>
        </w:rPr>
        <w:t xml:space="preserve"> </w:t>
      </w:r>
      <w:r w:rsidR="00F70850" w:rsidRPr="007A682B">
        <w:rPr>
          <w:rFonts w:ascii="Arial" w:hAnsi="Arial" w:cs="Arial"/>
          <w:sz w:val="20"/>
          <w:szCs w:val="20"/>
          <w:highlight w:val="yellow"/>
        </w:rPr>
        <w:t>Fig. S11B</w:t>
      </w:r>
      <w:r w:rsidR="00913D54">
        <w:rPr>
          <w:rFonts w:ascii="Arial" w:hAnsi="Arial" w:cs="Arial"/>
          <w:sz w:val="20"/>
          <w:szCs w:val="20"/>
        </w:rPr>
        <w:t xml:space="preserve">; </w:t>
      </w:r>
      <w:r w:rsidR="00913D54" w:rsidRPr="00913D54">
        <w:rPr>
          <w:rFonts w:ascii="Arial" w:hAnsi="Arial" w:cs="Arial"/>
          <w:sz w:val="20"/>
          <w:szCs w:val="20"/>
          <w:highlight w:val="yellow"/>
        </w:rPr>
        <w:t>Appendix S15</w:t>
      </w:r>
      <w:r w:rsidRPr="007A682B">
        <w:rPr>
          <w:rFonts w:ascii="Arial" w:hAnsi="Arial" w:cs="Arial"/>
          <w:sz w:val="20"/>
          <w:szCs w:val="20"/>
        </w:rPr>
        <w:t xml:space="preserve">). Given that </w:t>
      </w:r>
      <w:r w:rsidRPr="007A682B">
        <w:rPr>
          <w:rFonts w:ascii="Arial" w:hAnsi="Arial" w:cs="Arial"/>
          <w:i/>
          <w:iCs/>
          <w:sz w:val="20"/>
          <w:szCs w:val="20"/>
        </w:rPr>
        <w:t>npy7r</w:t>
      </w:r>
      <w:r w:rsidRPr="007A682B">
        <w:rPr>
          <w:rFonts w:ascii="Arial" w:hAnsi="Arial" w:cs="Arial"/>
          <w:sz w:val="20"/>
          <w:szCs w:val="20"/>
        </w:rPr>
        <w:t xml:space="preserve"> downregulation is one of the earliest transcriptional changes in 6_POA_Mixed with the potential to influence pituitary gonadotrophs </w:t>
      </w:r>
      <w:r w:rsidRPr="007A682B">
        <w:rPr>
          <w:rFonts w:ascii="Arial" w:hAnsi="Arial" w:cs="Arial"/>
          <w:sz w:val="20"/>
          <w:szCs w:val="20"/>
        </w:rPr>
        <w:fldChar w:fldCharType="begin"/>
      </w:r>
      <w:r w:rsidRPr="007A682B">
        <w:rPr>
          <w:rFonts w:ascii="Arial" w:hAnsi="Arial" w:cs="Arial"/>
          <w:sz w:val="20"/>
          <w:szCs w:val="20"/>
        </w:rPr>
        <w:instrText xml:space="preserve"> ADDIN ZOTERO_ITEM CSL_CITATION {"citationID":"Jg5TAHD2","properties":{"unsorted":false,"formattedCitation":"(34, 44)","plainCitation":"(34, 44)","noteIndex":0},"citationItems":[{"id":6345,"uris":["http://zotero.org/users/11313215/items/3PT68SU6"],"itemData":{"id":6345,"type":"article-journal","abstract":"During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Pr="007A682B">
        <w:rPr>
          <w:rFonts w:ascii="Cambria Math" w:hAnsi="Cambria Math" w:cs="Cambria Math"/>
          <w:sz w:val="20"/>
          <w:szCs w:val="20"/>
        </w:rPr>
        <w:instrText>∼</w:instrText>
      </w:r>
      <w:r w:rsidRPr="007A682B">
        <w:rPr>
          <w:rFonts w:ascii="Arial" w:hAnsi="Arial" w:cs="Arial"/>
          <w:sz w:val="20"/>
          <w:szCs w:val="20"/>
        </w:rPr>
        <w:instrText xml:space="preserve">20 stimulatory and </w:instrText>
      </w:r>
      <w:r w:rsidRPr="007A682B">
        <w:rPr>
          <w:rFonts w:ascii="Cambria Math" w:hAnsi="Cambria Math" w:cs="Cambria Math"/>
          <w:sz w:val="20"/>
          <w:szCs w:val="20"/>
        </w:rPr>
        <w:instrText>∼</w:instrText>
      </w:r>
      <w:r w:rsidRPr="007A682B">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instrText>
      </w:r>
      <w:r w:rsidRPr="007A682B">
        <w:rPr>
          <w:rFonts w:ascii="Arial" w:hAnsi="Arial" w:cs="Arial"/>
          <w:sz w:val="20"/>
          <w:szCs w:val="20"/>
        </w:rPr>
        <w:fldChar w:fldCharType="separate"/>
      </w:r>
      <w:r w:rsidRPr="007A682B">
        <w:rPr>
          <w:rFonts w:ascii="Arial" w:hAnsi="Arial" w:cs="Arial"/>
          <w:noProof/>
          <w:sz w:val="20"/>
          <w:szCs w:val="20"/>
        </w:rPr>
        <w:t>(34, 44)</w:t>
      </w:r>
      <w:r w:rsidRPr="007A682B">
        <w:rPr>
          <w:rFonts w:ascii="Arial" w:hAnsi="Arial" w:cs="Arial"/>
          <w:sz w:val="20"/>
          <w:szCs w:val="20"/>
        </w:rPr>
        <w:fldChar w:fldCharType="end"/>
      </w:r>
      <w:r w:rsidRPr="007A682B">
        <w:rPr>
          <w:rFonts w:ascii="Arial" w:hAnsi="Arial" w:cs="Arial"/>
          <w:sz w:val="20"/>
          <w:szCs w:val="20"/>
        </w:rPr>
        <w:t>, this relationship provides a potential mechanism by which changes in neuronal activity associated with social experience could be translated into altered neuroendocrine signaling to the pituitary.</w:t>
      </w:r>
    </w:p>
    <w:p w14:paraId="1328D129" w14:textId="421B110D" w:rsidR="00EB6456" w:rsidRPr="007A682B" w:rsidRDefault="00EB6456" w:rsidP="00F3752B">
      <w:pPr>
        <w:rPr>
          <w:rFonts w:ascii="Arial" w:hAnsi="Arial" w:cs="Arial"/>
          <w:sz w:val="20"/>
          <w:szCs w:val="20"/>
        </w:rPr>
      </w:pPr>
      <w:r w:rsidRPr="007A682B">
        <w:rPr>
          <w:rFonts w:ascii="Arial" w:hAnsi="Arial" w:cs="Arial"/>
          <w:sz w:val="20"/>
          <w:szCs w:val="20"/>
        </w:rPr>
        <w:tab/>
        <w:t>The 6_POA_Mixed network prominently implicated steroid hormone signaling in regulating neuroplasticity</w:t>
      </w:r>
      <w:r w:rsidR="00A60E15" w:rsidRPr="007A682B">
        <w:rPr>
          <w:rFonts w:ascii="Arial" w:hAnsi="Arial" w:cs="Arial"/>
          <w:sz w:val="20"/>
          <w:szCs w:val="20"/>
        </w:rPr>
        <w:t xml:space="preserve"> (</w:t>
      </w:r>
      <w:r w:rsidR="00A60E15" w:rsidRPr="007A682B">
        <w:rPr>
          <w:rFonts w:ascii="Arial" w:hAnsi="Arial" w:cs="Arial"/>
          <w:sz w:val="20"/>
          <w:szCs w:val="20"/>
          <w:highlight w:val="yellow"/>
        </w:rPr>
        <w:t>Fig. S11B</w:t>
      </w:r>
      <w:r w:rsidR="00A60E15" w:rsidRPr="00913D54">
        <w:rPr>
          <w:rFonts w:ascii="Arial" w:hAnsi="Arial" w:cs="Arial"/>
          <w:sz w:val="20"/>
          <w:szCs w:val="20"/>
          <w:highlight w:val="yellow"/>
        </w:rPr>
        <w:t xml:space="preserve">; </w:t>
      </w:r>
      <w:r w:rsidR="00913D54" w:rsidRPr="00913D54">
        <w:rPr>
          <w:rFonts w:ascii="Arial" w:hAnsi="Arial" w:cs="Arial"/>
          <w:sz w:val="20"/>
          <w:szCs w:val="20"/>
          <w:highlight w:val="yellow"/>
        </w:rPr>
        <w:t>Appendix S15</w:t>
      </w:r>
      <w:r w:rsidR="00913D54">
        <w:rPr>
          <w:rFonts w:ascii="Arial" w:hAnsi="Arial" w:cs="Arial"/>
          <w:sz w:val="20"/>
          <w:szCs w:val="20"/>
        </w:rPr>
        <w:t>)</w:t>
      </w:r>
      <w:r w:rsidRPr="007A682B">
        <w:rPr>
          <w:rFonts w:ascii="Arial" w:hAnsi="Arial" w:cs="Arial"/>
          <w:sz w:val="20"/>
          <w:szCs w:val="20"/>
        </w:rPr>
        <w:t xml:space="preserve">. </w:t>
      </w:r>
      <w:r w:rsidRPr="007A682B">
        <w:rPr>
          <w:rFonts w:ascii="Arial" w:hAnsi="Arial" w:cs="Arial"/>
          <w:i/>
          <w:iCs/>
          <w:sz w:val="20"/>
          <w:szCs w:val="20"/>
        </w:rPr>
        <w:t>pgr</w:t>
      </w:r>
      <w:r w:rsidRPr="007A682B">
        <w:rPr>
          <w:rFonts w:ascii="Arial" w:hAnsi="Arial" w:cs="Arial"/>
          <w:sz w:val="20"/>
          <w:szCs w:val="20"/>
        </w:rPr>
        <w:t xml:space="preserve">, which was itself transiently downregulated, was negatively associated with the potassium channel </w:t>
      </w:r>
      <w:r w:rsidRPr="007A682B">
        <w:rPr>
          <w:rFonts w:ascii="Arial" w:hAnsi="Arial" w:cs="Arial"/>
          <w:i/>
          <w:iCs/>
          <w:sz w:val="20"/>
          <w:szCs w:val="20"/>
        </w:rPr>
        <w:t>kcnd3</w:t>
      </w:r>
      <w:r w:rsidRPr="007A682B">
        <w:rPr>
          <w:rFonts w:ascii="Arial" w:hAnsi="Arial" w:cs="Arial"/>
          <w:sz w:val="20"/>
          <w:szCs w:val="20"/>
        </w:rPr>
        <w:t xml:space="preserve"> (</w:t>
      </w:r>
      <w:r w:rsidRPr="007A682B">
        <w:rPr>
          <w:rFonts w:ascii="Arial" w:hAnsi="Arial" w:cs="Arial"/>
          <w:i/>
          <w:iCs/>
          <w:sz w:val="20"/>
          <w:szCs w:val="20"/>
        </w:rPr>
        <w:t>r</w:t>
      </w:r>
      <w:r w:rsidRPr="007A682B">
        <w:rPr>
          <w:rFonts w:ascii="Arial" w:hAnsi="Arial" w:cs="Arial"/>
          <w:sz w:val="20"/>
          <w:szCs w:val="20"/>
        </w:rPr>
        <w:t>=</w:t>
      </w:r>
      <w:r w:rsidR="00A60E15" w:rsidRPr="007A682B">
        <w:rPr>
          <w:rFonts w:ascii="Arial" w:hAnsi="Arial" w:cs="Arial"/>
          <w:sz w:val="20"/>
          <w:szCs w:val="20"/>
        </w:rPr>
        <w:t>-</w:t>
      </w:r>
      <w:r w:rsidRPr="007A682B">
        <w:rPr>
          <w:rFonts w:ascii="Arial" w:hAnsi="Arial" w:cs="Arial"/>
          <w:sz w:val="20"/>
          <w:szCs w:val="20"/>
        </w:rPr>
        <w:t>0.</w:t>
      </w:r>
      <w:r w:rsidR="00A60E15" w:rsidRPr="007A682B">
        <w:rPr>
          <w:rFonts w:ascii="Arial" w:hAnsi="Arial" w:cs="Arial"/>
          <w:sz w:val="20"/>
          <w:szCs w:val="20"/>
        </w:rPr>
        <w:t>41</w:t>
      </w:r>
      <w:r w:rsidRPr="007A682B">
        <w:rPr>
          <w:rFonts w:ascii="Arial" w:hAnsi="Arial" w:cs="Arial"/>
          <w:sz w:val="20"/>
          <w:szCs w:val="20"/>
        </w:rPr>
        <w:t xml:space="preserve">, </w:t>
      </w:r>
      <w:r w:rsidR="00C223B0" w:rsidRPr="00C223B0">
        <w:rPr>
          <w:rFonts w:ascii="Arial" w:hAnsi="Arial" w:cs="Arial"/>
          <w:i/>
          <w:iCs/>
          <w:sz w:val="20"/>
          <w:szCs w:val="20"/>
        </w:rPr>
        <w:t>p</w:t>
      </w:r>
      <w:r w:rsidR="00C223B0" w:rsidRPr="007A682B">
        <w:rPr>
          <w:rFonts w:ascii="Arial" w:hAnsi="Arial" w:cs="Arial"/>
          <w:sz w:val="20"/>
          <w:szCs w:val="20"/>
        </w:rPr>
        <w:t xml:space="preserve"> </w:t>
      </w:r>
      <w:r w:rsidRPr="007A682B">
        <w:rPr>
          <w:rFonts w:ascii="Arial" w:hAnsi="Arial" w:cs="Arial"/>
          <w:sz w:val="20"/>
          <w:szCs w:val="20"/>
        </w:rPr>
        <w:t>=0.0</w:t>
      </w:r>
      <w:r w:rsidR="00A60E15" w:rsidRPr="007A682B">
        <w:rPr>
          <w:rFonts w:ascii="Arial" w:hAnsi="Arial" w:cs="Arial"/>
          <w:sz w:val="20"/>
          <w:szCs w:val="20"/>
        </w:rPr>
        <w:t>6</w:t>
      </w:r>
      <w:r w:rsidRPr="007A682B">
        <w:rPr>
          <w:rFonts w:ascii="Arial" w:hAnsi="Arial" w:cs="Arial"/>
          <w:sz w:val="20"/>
          <w:szCs w:val="20"/>
        </w:rPr>
        <w:t xml:space="preserve">), the synaptic vesicle protein </w:t>
      </w:r>
      <w:r w:rsidRPr="007A682B">
        <w:rPr>
          <w:rFonts w:ascii="Arial" w:hAnsi="Arial" w:cs="Arial"/>
          <w:i/>
          <w:iCs/>
          <w:sz w:val="20"/>
          <w:szCs w:val="20"/>
        </w:rPr>
        <w:t>stxbp6</w:t>
      </w:r>
      <w:r w:rsidRPr="007A682B">
        <w:rPr>
          <w:rFonts w:ascii="Arial" w:hAnsi="Arial" w:cs="Arial"/>
          <w:sz w:val="20"/>
          <w:szCs w:val="20"/>
        </w:rPr>
        <w:t xml:space="preserve"> (</w:t>
      </w:r>
      <w:r w:rsidR="00A60E15" w:rsidRPr="007A682B">
        <w:rPr>
          <w:rFonts w:ascii="Arial" w:hAnsi="Arial" w:cs="Arial"/>
          <w:i/>
          <w:iCs/>
          <w:sz w:val="20"/>
          <w:szCs w:val="20"/>
        </w:rPr>
        <w:t>r</w:t>
      </w:r>
      <w:r w:rsidR="00A60E15" w:rsidRPr="007A682B">
        <w:rPr>
          <w:rFonts w:ascii="Arial" w:hAnsi="Arial" w:cs="Arial"/>
          <w:sz w:val="20"/>
          <w:szCs w:val="20"/>
        </w:rPr>
        <w:t xml:space="preserve">=-0.46, </w:t>
      </w:r>
      <w:r w:rsidR="00C223B0" w:rsidRPr="00C223B0">
        <w:rPr>
          <w:rFonts w:ascii="Arial" w:hAnsi="Arial" w:cs="Arial"/>
          <w:i/>
          <w:iCs/>
          <w:sz w:val="20"/>
          <w:szCs w:val="20"/>
        </w:rPr>
        <w:t>p</w:t>
      </w:r>
      <w:r w:rsidR="00C223B0" w:rsidRPr="007A682B">
        <w:rPr>
          <w:rFonts w:ascii="Arial" w:hAnsi="Arial" w:cs="Arial"/>
          <w:sz w:val="20"/>
          <w:szCs w:val="20"/>
        </w:rPr>
        <w:t xml:space="preserve"> </w:t>
      </w:r>
      <w:r w:rsidR="00A60E15" w:rsidRPr="007A682B">
        <w:rPr>
          <w:rFonts w:ascii="Arial" w:hAnsi="Arial" w:cs="Arial"/>
          <w:sz w:val="20"/>
          <w:szCs w:val="20"/>
        </w:rPr>
        <w:t>=0.03</w:t>
      </w:r>
      <w:r w:rsidRPr="007A682B">
        <w:rPr>
          <w:rFonts w:ascii="Arial" w:hAnsi="Arial" w:cs="Arial"/>
          <w:sz w:val="20"/>
          <w:szCs w:val="20"/>
        </w:rPr>
        <w:t xml:space="preserve">), and presynaptic cell adhesin protein </w:t>
      </w:r>
      <w:r w:rsidRPr="007A682B">
        <w:rPr>
          <w:rFonts w:ascii="Arial" w:hAnsi="Arial" w:cs="Arial"/>
          <w:i/>
          <w:iCs/>
          <w:sz w:val="20"/>
          <w:szCs w:val="20"/>
        </w:rPr>
        <w:t>cntap4</w:t>
      </w:r>
      <w:r w:rsidRPr="007A682B">
        <w:rPr>
          <w:rFonts w:ascii="Arial" w:hAnsi="Arial" w:cs="Arial"/>
          <w:sz w:val="20"/>
          <w:szCs w:val="20"/>
        </w:rPr>
        <w:t xml:space="preserve"> (</w:t>
      </w:r>
      <w:r w:rsidR="00A60E15" w:rsidRPr="007A682B">
        <w:rPr>
          <w:rFonts w:ascii="Arial" w:hAnsi="Arial" w:cs="Arial"/>
          <w:i/>
          <w:iCs/>
          <w:sz w:val="20"/>
          <w:szCs w:val="20"/>
        </w:rPr>
        <w:t>r</w:t>
      </w:r>
      <w:r w:rsidR="00A60E15" w:rsidRPr="007A682B">
        <w:rPr>
          <w:rFonts w:ascii="Arial" w:hAnsi="Arial" w:cs="Arial"/>
          <w:sz w:val="20"/>
          <w:szCs w:val="20"/>
        </w:rPr>
        <w:t xml:space="preserve">=-0.42, </w:t>
      </w:r>
      <w:r w:rsidR="00C223B0" w:rsidRPr="00C223B0">
        <w:rPr>
          <w:rFonts w:ascii="Arial" w:hAnsi="Arial" w:cs="Arial"/>
          <w:i/>
          <w:iCs/>
          <w:sz w:val="20"/>
          <w:szCs w:val="20"/>
        </w:rPr>
        <w:t>p</w:t>
      </w:r>
      <w:r w:rsidR="00C223B0" w:rsidRPr="007A682B">
        <w:rPr>
          <w:rFonts w:ascii="Arial" w:hAnsi="Arial" w:cs="Arial"/>
          <w:sz w:val="20"/>
          <w:szCs w:val="20"/>
        </w:rPr>
        <w:t xml:space="preserve"> </w:t>
      </w:r>
      <w:r w:rsidR="00A60E15" w:rsidRPr="007A682B">
        <w:rPr>
          <w:rFonts w:ascii="Arial" w:hAnsi="Arial" w:cs="Arial"/>
          <w:sz w:val="20"/>
          <w:szCs w:val="20"/>
        </w:rPr>
        <w:t>=0.05</w:t>
      </w:r>
      <w:r w:rsidRPr="007A682B">
        <w:rPr>
          <w:rFonts w:ascii="Arial" w:hAnsi="Arial" w:cs="Arial"/>
          <w:sz w:val="20"/>
          <w:szCs w:val="20"/>
        </w:rPr>
        <w:t xml:space="preserve">). Similarly, </w:t>
      </w:r>
      <w:r w:rsidRPr="007A682B">
        <w:rPr>
          <w:rFonts w:ascii="Arial" w:hAnsi="Arial" w:cs="Arial"/>
          <w:i/>
          <w:iCs/>
          <w:sz w:val="20"/>
          <w:szCs w:val="20"/>
        </w:rPr>
        <w:t>ar</w:t>
      </w:r>
      <w:r w:rsidRPr="007A682B">
        <w:rPr>
          <w:rFonts w:ascii="Arial" w:hAnsi="Arial" w:cs="Arial"/>
          <w:sz w:val="20"/>
          <w:szCs w:val="20"/>
        </w:rPr>
        <w:t xml:space="preserve"> was negatively associated with </w:t>
      </w:r>
      <w:r w:rsidRPr="007A682B">
        <w:rPr>
          <w:rFonts w:ascii="Arial" w:hAnsi="Arial" w:cs="Arial"/>
          <w:i/>
          <w:iCs/>
          <w:sz w:val="20"/>
          <w:szCs w:val="20"/>
        </w:rPr>
        <w:t>stxbp1</w:t>
      </w:r>
      <w:r w:rsidRPr="007A682B">
        <w:rPr>
          <w:rFonts w:ascii="Arial" w:hAnsi="Arial" w:cs="Arial"/>
          <w:sz w:val="20"/>
          <w:szCs w:val="20"/>
        </w:rPr>
        <w:t xml:space="preserve"> </w:t>
      </w:r>
      <w:r w:rsidR="00A60E15" w:rsidRPr="007A682B">
        <w:rPr>
          <w:rFonts w:ascii="Arial" w:hAnsi="Arial" w:cs="Arial"/>
          <w:sz w:val="20"/>
          <w:szCs w:val="20"/>
        </w:rPr>
        <w:t xml:space="preserve">(r=-0.58, </w:t>
      </w:r>
      <w:r w:rsidR="00C223B0" w:rsidRPr="00C223B0">
        <w:rPr>
          <w:rFonts w:ascii="Arial" w:hAnsi="Arial" w:cs="Arial"/>
          <w:i/>
          <w:iCs/>
          <w:sz w:val="20"/>
          <w:szCs w:val="20"/>
        </w:rPr>
        <w:t>p</w:t>
      </w:r>
      <w:r w:rsidR="00C223B0" w:rsidRPr="007A682B">
        <w:rPr>
          <w:rFonts w:ascii="Arial" w:hAnsi="Arial" w:cs="Arial"/>
          <w:sz w:val="20"/>
          <w:szCs w:val="20"/>
        </w:rPr>
        <w:t xml:space="preserve"> </w:t>
      </w:r>
      <w:r w:rsidR="00A60E15" w:rsidRPr="007A682B">
        <w:rPr>
          <w:rFonts w:ascii="Arial" w:hAnsi="Arial" w:cs="Arial"/>
          <w:sz w:val="20"/>
          <w:szCs w:val="20"/>
        </w:rPr>
        <w:t>=0.004)</w:t>
      </w:r>
      <w:r w:rsidRPr="007A682B">
        <w:rPr>
          <w:rFonts w:ascii="Arial" w:hAnsi="Arial" w:cs="Arial"/>
          <w:sz w:val="20"/>
          <w:szCs w:val="20"/>
        </w:rPr>
        <w:t xml:space="preserve">. Conversely </w:t>
      </w:r>
      <w:r w:rsidRPr="007A682B">
        <w:rPr>
          <w:rFonts w:ascii="Arial" w:hAnsi="Arial" w:cs="Arial"/>
          <w:i/>
          <w:iCs/>
          <w:sz w:val="20"/>
          <w:szCs w:val="20"/>
        </w:rPr>
        <w:t>esr2b</w:t>
      </w:r>
      <w:r w:rsidRPr="007A682B">
        <w:rPr>
          <w:rFonts w:ascii="Arial" w:hAnsi="Arial" w:cs="Arial"/>
          <w:sz w:val="20"/>
          <w:szCs w:val="20"/>
        </w:rPr>
        <w:t xml:space="preserve"> was positively associated with the potassium channel </w:t>
      </w:r>
      <w:r w:rsidRPr="007A682B">
        <w:rPr>
          <w:rFonts w:ascii="Arial" w:hAnsi="Arial" w:cs="Arial"/>
          <w:i/>
          <w:iCs/>
          <w:sz w:val="20"/>
          <w:szCs w:val="20"/>
        </w:rPr>
        <w:t>kcnh4</w:t>
      </w:r>
      <w:r w:rsidRPr="007A682B">
        <w:rPr>
          <w:rFonts w:ascii="Arial" w:hAnsi="Arial" w:cs="Arial"/>
          <w:sz w:val="20"/>
          <w:szCs w:val="20"/>
        </w:rPr>
        <w:t xml:space="preserve"> (</w:t>
      </w:r>
      <w:r w:rsidR="00A60E15" w:rsidRPr="007A682B">
        <w:rPr>
          <w:rFonts w:ascii="Arial" w:hAnsi="Arial" w:cs="Arial"/>
          <w:i/>
          <w:iCs/>
          <w:sz w:val="20"/>
          <w:szCs w:val="20"/>
        </w:rPr>
        <w:t>r</w:t>
      </w:r>
      <w:r w:rsidR="00A60E15" w:rsidRPr="007A682B">
        <w:rPr>
          <w:rFonts w:ascii="Arial" w:hAnsi="Arial" w:cs="Arial"/>
          <w:sz w:val="20"/>
          <w:szCs w:val="20"/>
        </w:rPr>
        <w:t xml:space="preserve">=0.47, </w:t>
      </w:r>
      <w:r w:rsidR="00C223B0" w:rsidRPr="00C223B0">
        <w:rPr>
          <w:rFonts w:ascii="Arial" w:hAnsi="Arial" w:cs="Arial"/>
          <w:i/>
          <w:iCs/>
          <w:sz w:val="20"/>
          <w:szCs w:val="20"/>
        </w:rPr>
        <w:t>p</w:t>
      </w:r>
      <w:r w:rsidR="00C223B0" w:rsidRPr="007A682B">
        <w:rPr>
          <w:rFonts w:ascii="Arial" w:hAnsi="Arial" w:cs="Arial"/>
          <w:sz w:val="20"/>
          <w:szCs w:val="20"/>
        </w:rPr>
        <w:t xml:space="preserve"> </w:t>
      </w:r>
      <w:r w:rsidR="00A60E15" w:rsidRPr="007A682B">
        <w:rPr>
          <w:rFonts w:ascii="Arial" w:hAnsi="Arial" w:cs="Arial"/>
          <w:sz w:val="20"/>
          <w:szCs w:val="20"/>
        </w:rPr>
        <w:t>=0.03)</w:t>
      </w:r>
      <w:r w:rsidRPr="007A682B">
        <w:rPr>
          <w:rFonts w:ascii="Arial" w:hAnsi="Arial" w:cs="Arial"/>
          <w:sz w:val="20"/>
          <w:szCs w:val="20"/>
        </w:rPr>
        <w:t xml:space="preserve"> and the synaptic plasticity protein </w:t>
      </w:r>
      <w:r w:rsidRPr="007A682B">
        <w:rPr>
          <w:rFonts w:ascii="Arial" w:hAnsi="Arial" w:cs="Arial"/>
          <w:i/>
          <w:iCs/>
          <w:sz w:val="20"/>
          <w:szCs w:val="20"/>
        </w:rPr>
        <w:t>nxph1</w:t>
      </w:r>
      <w:r w:rsidR="00A60E15" w:rsidRPr="007A682B">
        <w:rPr>
          <w:rFonts w:ascii="Arial" w:hAnsi="Arial" w:cs="Arial"/>
          <w:sz w:val="20"/>
          <w:szCs w:val="20"/>
        </w:rPr>
        <w:t xml:space="preserve"> (</w:t>
      </w:r>
      <w:r w:rsidR="00A60E15" w:rsidRPr="007A682B">
        <w:rPr>
          <w:rFonts w:ascii="Arial" w:hAnsi="Arial" w:cs="Arial"/>
          <w:i/>
          <w:iCs/>
          <w:sz w:val="20"/>
          <w:szCs w:val="20"/>
        </w:rPr>
        <w:t>r</w:t>
      </w:r>
      <w:r w:rsidR="00A60E15" w:rsidRPr="007A682B">
        <w:rPr>
          <w:rFonts w:ascii="Arial" w:hAnsi="Arial" w:cs="Arial"/>
          <w:sz w:val="20"/>
          <w:szCs w:val="20"/>
        </w:rPr>
        <w:t xml:space="preserve">=0.49, </w:t>
      </w:r>
      <w:r w:rsidR="00C223B0" w:rsidRPr="00C223B0">
        <w:rPr>
          <w:rFonts w:ascii="Arial" w:hAnsi="Arial" w:cs="Arial"/>
          <w:i/>
          <w:iCs/>
          <w:sz w:val="20"/>
          <w:szCs w:val="20"/>
        </w:rPr>
        <w:t>p</w:t>
      </w:r>
      <w:r w:rsidR="00C223B0" w:rsidRPr="007A682B">
        <w:rPr>
          <w:rFonts w:ascii="Arial" w:hAnsi="Arial" w:cs="Arial"/>
          <w:sz w:val="20"/>
          <w:szCs w:val="20"/>
        </w:rPr>
        <w:t xml:space="preserve"> </w:t>
      </w:r>
      <w:r w:rsidR="00A60E15" w:rsidRPr="007A682B">
        <w:rPr>
          <w:rFonts w:ascii="Arial" w:hAnsi="Arial" w:cs="Arial"/>
          <w:sz w:val="20"/>
          <w:szCs w:val="20"/>
        </w:rPr>
        <w:t>=0.02)</w:t>
      </w:r>
      <w:r w:rsidRPr="007A682B">
        <w:rPr>
          <w:rFonts w:ascii="Arial" w:hAnsi="Arial" w:cs="Arial"/>
          <w:sz w:val="20"/>
          <w:szCs w:val="20"/>
        </w:rPr>
        <w:t xml:space="preserve">. </w:t>
      </w:r>
      <w:r w:rsidR="00A60E15" w:rsidRPr="007A682B">
        <w:rPr>
          <w:rFonts w:ascii="Arial" w:hAnsi="Arial" w:cs="Arial"/>
          <w:sz w:val="20"/>
          <w:szCs w:val="20"/>
        </w:rPr>
        <w:t>Together, these associations implicate steroid receptor–associated transcription in changes to neuronal excitability, synaptic vesicle function, and synaptic organization in 6_POA_Mixed during sex change.</w:t>
      </w:r>
    </w:p>
    <w:p w14:paraId="2E173A8B" w14:textId="77777777" w:rsidR="00CC0E7C" w:rsidRPr="007A682B" w:rsidRDefault="00CC0E7C" w:rsidP="00BB3ACB">
      <w:pPr>
        <w:rPr>
          <w:rFonts w:ascii="Arial" w:hAnsi="Arial" w:cs="Arial"/>
          <w:sz w:val="20"/>
          <w:szCs w:val="20"/>
        </w:rPr>
      </w:pPr>
    </w:p>
    <w:p w14:paraId="31096BE2" w14:textId="18C6E29B" w:rsidR="00BB3ACB" w:rsidRPr="007A682B" w:rsidRDefault="00BB3ACB" w:rsidP="00BB3ACB">
      <w:pPr>
        <w:rPr>
          <w:rFonts w:ascii="Arial" w:hAnsi="Arial" w:cs="Arial"/>
          <w:sz w:val="20"/>
          <w:szCs w:val="20"/>
          <w:u w:val="single"/>
        </w:rPr>
      </w:pPr>
      <w:r w:rsidRPr="007A682B">
        <w:rPr>
          <w:rFonts w:ascii="Arial" w:hAnsi="Arial" w:cs="Arial"/>
          <w:sz w:val="20"/>
          <w:szCs w:val="20"/>
          <w:u w:val="single"/>
        </w:rPr>
        <w:t>Distinct modes of steroid receptor-associated transcriptional regulation in 6_POA_Mixed</w:t>
      </w:r>
    </w:p>
    <w:p w14:paraId="481EE374" w14:textId="65710890" w:rsidR="00CC0E7C" w:rsidRPr="007A682B" w:rsidRDefault="00BB3ACB" w:rsidP="004741B8">
      <w:pPr>
        <w:rPr>
          <w:rFonts w:ascii="Arial" w:hAnsi="Arial" w:cs="Arial"/>
          <w:sz w:val="20"/>
          <w:szCs w:val="20"/>
        </w:rPr>
      </w:pPr>
      <w:r w:rsidRPr="007A682B">
        <w:rPr>
          <w:rFonts w:ascii="Arial" w:hAnsi="Arial" w:cs="Arial"/>
          <w:sz w:val="20"/>
          <w:szCs w:val="20"/>
        </w:rPr>
        <w:tab/>
      </w:r>
      <w:r w:rsidR="004741B8" w:rsidRPr="007A682B">
        <w:rPr>
          <w:rFonts w:ascii="Arial" w:hAnsi="Arial" w:cs="Arial"/>
          <w:sz w:val="20"/>
          <w:szCs w:val="20"/>
        </w:rPr>
        <w:t>Given the identification of sex steroid receptors as candidate regulators of transcriptional changes in 6_POA_Mixed, we next asked how steroid receptor-associated transcription changed across sex change. We examined expression of genes associated with ESR2B, AR, or PGR binding motifs and separately tested whether chromatin accessibility at regions containing these motifs changed across sex change (Methods). ESR2B-associated gene expression increased gradually across sex change and differed significantly between males and females, with intermediates exhibiting intermediate values (</w:t>
      </w:r>
      <w:commentRangeStart w:id="2"/>
      <w:r w:rsidR="004741B8" w:rsidRPr="007A682B">
        <w:rPr>
          <w:rFonts w:ascii="Arial" w:hAnsi="Arial" w:cs="Arial"/>
          <w:sz w:val="20"/>
          <w:szCs w:val="20"/>
        </w:rPr>
        <w:t xml:space="preserve">Hedges’ g = 1.52; F(2,16) </w:t>
      </w:r>
      <w:commentRangeEnd w:id="2"/>
      <w:r w:rsidR="00385EE8" w:rsidRPr="007A682B">
        <w:rPr>
          <w:rStyle w:val="CommentReference"/>
          <w:rFonts w:ascii="Arial" w:hAnsi="Arial" w:cs="Arial"/>
          <w:sz w:val="20"/>
          <w:szCs w:val="20"/>
        </w:rPr>
        <w:commentReference w:id="2"/>
      </w:r>
      <w:r w:rsidR="004741B8" w:rsidRPr="007A682B">
        <w:rPr>
          <w:rFonts w:ascii="Arial" w:hAnsi="Arial" w:cs="Arial"/>
          <w:sz w:val="20"/>
          <w:szCs w:val="20"/>
        </w:rPr>
        <w:t xml:space="preserve">= 4.6, </w:t>
      </w:r>
      <w:r w:rsidR="00C223B0" w:rsidRPr="00C223B0">
        <w:rPr>
          <w:rFonts w:ascii="Arial" w:hAnsi="Arial" w:cs="Arial"/>
          <w:i/>
          <w:iCs/>
          <w:sz w:val="20"/>
          <w:szCs w:val="20"/>
        </w:rPr>
        <w:t>p</w:t>
      </w:r>
      <w:r w:rsidR="004741B8" w:rsidRPr="007A682B">
        <w:rPr>
          <w:rFonts w:ascii="Arial" w:hAnsi="Arial" w:cs="Arial"/>
          <w:sz w:val="20"/>
          <w:szCs w:val="20"/>
        </w:rPr>
        <w:t xml:space="preserve"> = 0.026; </w:t>
      </w:r>
      <w:r w:rsidR="004741B8" w:rsidRPr="007A682B">
        <w:rPr>
          <w:rFonts w:ascii="Arial" w:hAnsi="Arial" w:cs="Arial"/>
          <w:sz w:val="20"/>
          <w:szCs w:val="20"/>
          <w:highlight w:val="yellow"/>
        </w:rPr>
        <w:t>Fig. 6D</w:t>
      </w:r>
      <w:r w:rsidR="004741B8" w:rsidRPr="007A682B">
        <w:rPr>
          <w:rFonts w:ascii="Arial" w:hAnsi="Arial" w:cs="Arial"/>
          <w:sz w:val="20"/>
          <w:szCs w:val="20"/>
        </w:rPr>
        <w:t xml:space="preserve">). </w:t>
      </w:r>
      <w:commentRangeStart w:id="3"/>
      <w:r w:rsidR="004741B8" w:rsidRPr="007A682B">
        <w:rPr>
          <w:rFonts w:ascii="Arial" w:hAnsi="Arial" w:cs="Arial"/>
          <w:sz w:val="20"/>
          <w:szCs w:val="20"/>
        </w:rPr>
        <w:t xml:space="preserve">Importantly, accessibility of ESR2B-binding regions also increased significantly in females relative to males and intermediates, which did not differ from each other (Hedges’ g = 0.79; F(2,16) = 4.5, </w:t>
      </w:r>
      <w:r w:rsidR="00C223B0" w:rsidRPr="00C223B0">
        <w:rPr>
          <w:rFonts w:ascii="Arial" w:hAnsi="Arial" w:cs="Arial"/>
          <w:i/>
          <w:iCs/>
          <w:sz w:val="20"/>
          <w:szCs w:val="20"/>
        </w:rPr>
        <w:t>p</w:t>
      </w:r>
      <w:r w:rsidR="004741B8" w:rsidRPr="007A682B">
        <w:rPr>
          <w:rFonts w:ascii="Arial" w:hAnsi="Arial" w:cs="Arial"/>
          <w:sz w:val="20"/>
          <w:szCs w:val="20"/>
        </w:rPr>
        <w:t xml:space="preserve"> = 0.028; </w:t>
      </w:r>
      <w:r w:rsidR="004741B8" w:rsidRPr="007A682B">
        <w:rPr>
          <w:rFonts w:ascii="Arial" w:hAnsi="Arial" w:cs="Arial"/>
          <w:sz w:val="20"/>
          <w:szCs w:val="20"/>
          <w:highlight w:val="yellow"/>
        </w:rPr>
        <w:t>Fig. 6</w:t>
      </w:r>
      <w:r w:rsidR="004A27C9" w:rsidRPr="004A27C9">
        <w:rPr>
          <w:rFonts w:ascii="Arial" w:hAnsi="Arial" w:cs="Arial"/>
          <w:sz w:val="20"/>
          <w:szCs w:val="20"/>
          <w:highlight w:val="yellow"/>
        </w:rPr>
        <w:t>XX</w:t>
      </w:r>
      <w:commentRangeEnd w:id="3"/>
      <w:r w:rsidR="00913D54" w:rsidRPr="007A682B">
        <w:rPr>
          <w:rStyle w:val="CommentReference"/>
          <w:rFonts w:ascii="Arial" w:hAnsi="Arial" w:cs="Arial"/>
          <w:sz w:val="20"/>
          <w:szCs w:val="20"/>
        </w:rPr>
        <w:commentReference w:id="3"/>
      </w:r>
      <w:r w:rsidR="00CB26A9" w:rsidRPr="007A682B">
        <w:rPr>
          <w:rFonts w:ascii="Arial" w:hAnsi="Arial" w:cs="Arial"/>
          <w:sz w:val="20"/>
          <w:szCs w:val="20"/>
        </w:rPr>
        <w:t>)</w:t>
      </w:r>
      <w:r w:rsidR="004741B8" w:rsidRPr="007A682B">
        <w:rPr>
          <w:rFonts w:ascii="Arial" w:hAnsi="Arial" w:cs="Arial"/>
          <w:sz w:val="20"/>
          <w:szCs w:val="20"/>
        </w:rPr>
        <w:t>.</w:t>
      </w:r>
      <w:r w:rsidR="00CC0E7C" w:rsidRPr="007A682B">
        <w:rPr>
          <w:rFonts w:ascii="Arial" w:hAnsi="Arial" w:cs="Arial"/>
        </w:rPr>
        <w:t xml:space="preserve"> </w:t>
      </w:r>
      <w:r w:rsidR="00CC0E7C" w:rsidRPr="007A682B">
        <w:rPr>
          <w:rFonts w:ascii="Arial" w:hAnsi="Arial" w:cs="Arial"/>
          <w:sz w:val="20"/>
          <w:szCs w:val="20"/>
        </w:rPr>
        <w:t xml:space="preserve">Together, these results suggest that increased ESR2B-associated transcription reflects, at least in part, increased chromatin accessibility to estrogen receptor signaling. Notably, this increase occurred despite the transient decrease in </w:t>
      </w:r>
      <w:r w:rsidR="00CC0E7C" w:rsidRPr="007A682B">
        <w:rPr>
          <w:rFonts w:ascii="Arial" w:hAnsi="Arial" w:cs="Arial"/>
          <w:i/>
          <w:iCs/>
          <w:sz w:val="20"/>
          <w:szCs w:val="20"/>
        </w:rPr>
        <w:t>cyp19a1b</w:t>
      </w:r>
      <w:r w:rsidR="00CC0E7C" w:rsidRPr="007A682B">
        <w:rPr>
          <w:rFonts w:ascii="Arial" w:hAnsi="Arial" w:cs="Arial"/>
          <w:sz w:val="20"/>
          <w:szCs w:val="20"/>
        </w:rPr>
        <w:t xml:space="preserve"> expression in 1_RGC (</w:t>
      </w:r>
      <w:r w:rsidR="00CC0E7C" w:rsidRPr="007A682B">
        <w:rPr>
          <w:rFonts w:ascii="Arial" w:hAnsi="Arial" w:cs="Arial"/>
          <w:sz w:val="20"/>
          <w:szCs w:val="20"/>
          <w:highlight w:val="yellow"/>
        </w:rPr>
        <w:t>Fig.</w:t>
      </w:r>
      <w:r w:rsidR="00913D54">
        <w:rPr>
          <w:rFonts w:ascii="Arial" w:hAnsi="Arial" w:cs="Arial"/>
          <w:sz w:val="20"/>
          <w:szCs w:val="20"/>
        </w:rPr>
        <w:t xml:space="preserve"> </w:t>
      </w:r>
      <w:r w:rsidR="00913D54" w:rsidRPr="00913D54">
        <w:rPr>
          <w:rFonts w:ascii="Arial" w:hAnsi="Arial" w:cs="Arial"/>
          <w:sz w:val="20"/>
          <w:szCs w:val="20"/>
          <w:highlight w:val="yellow"/>
        </w:rPr>
        <w:t>4A</w:t>
      </w:r>
      <w:r w:rsidR="00CC0E7C" w:rsidRPr="007A682B">
        <w:rPr>
          <w:rFonts w:ascii="Arial" w:hAnsi="Arial" w:cs="Arial"/>
          <w:sz w:val="20"/>
          <w:szCs w:val="20"/>
        </w:rPr>
        <w:t xml:space="preserve">), indicating that increased ESR2B-associated transcription and </w:t>
      </w:r>
      <w:r w:rsidR="00CC0E7C" w:rsidRPr="007A682B">
        <w:rPr>
          <w:rFonts w:ascii="Arial" w:hAnsi="Arial" w:cs="Arial"/>
          <w:i/>
          <w:iCs/>
          <w:sz w:val="20"/>
          <w:szCs w:val="20"/>
        </w:rPr>
        <w:t>cyp19a1b</w:t>
      </w:r>
      <w:r w:rsidR="00CC0E7C" w:rsidRPr="007A682B">
        <w:rPr>
          <w:rFonts w:ascii="Arial" w:hAnsi="Arial" w:cs="Arial"/>
          <w:sz w:val="20"/>
          <w:szCs w:val="20"/>
        </w:rPr>
        <w:t xml:space="preserve"> expression do not follow parallel patterns during sex change.</w:t>
      </w:r>
    </w:p>
    <w:p w14:paraId="4A3DDCCC" w14:textId="28F0595E" w:rsidR="004741B8" w:rsidRPr="007A682B" w:rsidRDefault="004741B8" w:rsidP="004741B8">
      <w:pPr>
        <w:rPr>
          <w:rFonts w:ascii="Arial" w:hAnsi="Arial" w:cs="Arial"/>
          <w:sz w:val="20"/>
          <w:szCs w:val="20"/>
        </w:rPr>
      </w:pPr>
      <w:r w:rsidRPr="007A682B">
        <w:rPr>
          <w:rFonts w:ascii="Arial" w:hAnsi="Arial" w:cs="Arial"/>
          <w:sz w:val="20"/>
          <w:szCs w:val="20"/>
        </w:rPr>
        <w:lastRenderedPageBreak/>
        <w:tab/>
        <w:t>In contrast, AR-associated gene expression and accessibility remained stable across sex change (</w:t>
      </w:r>
      <w:r w:rsidRPr="007A682B">
        <w:rPr>
          <w:rFonts w:ascii="Arial" w:hAnsi="Arial" w:cs="Arial"/>
          <w:sz w:val="20"/>
          <w:szCs w:val="20"/>
          <w:highlight w:val="yellow"/>
        </w:rPr>
        <w:t>Fig. 6E</w:t>
      </w:r>
      <w:r w:rsidR="00CB26A9" w:rsidRPr="007A682B">
        <w:rPr>
          <w:rFonts w:ascii="Arial" w:hAnsi="Arial" w:cs="Arial"/>
          <w:sz w:val="20"/>
          <w:szCs w:val="20"/>
        </w:rPr>
        <w:t>)</w:t>
      </w:r>
      <w:r w:rsidRPr="007A682B">
        <w:rPr>
          <w:rFonts w:ascii="Arial" w:hAnsi="Arial" w:cs="Arial"/>
          <w:sz w:val="20"/>
          <w:szCs w:val="20"/>
        </w:rPr>
        <w:t>. This stability is notable given the substantial differences in circulating 11-KT across sex change (</w:t>
      </w:r>
      <w:r w:rsidRPr="007A682B">
        <w:rPr>
          <w:rFonts w:ascii="Arial" w:hAnsi="Arial" w:cs="Arial"/>
          <w:sz w:val="20"/>
          <w:szCs w:val="20"/>
          <w:highlight w:val="yellow"/>
        </w:rPr>
        <w:t>Fig. 1B</w:t>
      </w:r>
      <w:r w:rsidRPr="007A682B">
        <w:rPr>
          <w:rFonts w:ascii="Arial" w:hAnsi="Arial" w:cs="Arial"/>
          <w:sz w:val="20"/>
          <w:szCs w:val="20"/>
        </w:rPr>
        <w:t xml:space="preserve">), indicating that transcriptional output associated with AR in the POA does not simply track circulating androgen concentrations. PGR-associated gene expression, like ESR2B-associated expression, increased gradually across sex change, with a significant difference between males and females and intermediates exhibiting intermediate values (Hedges’ g = 1.37; F(2,16) = 4.6, </w:t>
      </w:r>
      <w:r w:rsidR="00C223B0" w:rsidRPr="00C223B0">
        <w:rPr>
          <w:rFonts w:ascii="Arial" w:hAnsi="Arial" w:cs="Arial"/>
          <w:i/>
          <w:iCs/>
          <w:sz w:val="20"/>
          <w:szCs w:val="20"/>
        </w:rPr>
        <w:t>p</w:t>
      </w:r>
      <w:r w:rsidRPr="007A682B">
        <w:rPr>
          <w:rFonts w:ascii="Arial" w:hAnsi="Arial" w:cs="Arial"/>
          <w:sz w:val="20"/>
          <w:szCs w:val="20"/>
        </w:rPr>
        <w:t xml:space="preserve"> = 0.027; </w:t>
      </w:r>
      <w:r w:rsidRPr="007A682B">
        <w:rPr>
          <w:rFonts w:ascii="Arial" w:hAnsi="Arial" w:cs="Arial"/>
          <w:sz w:val="20"/>
          <w:szCs w:val="20"/>
          <w:highlight w:val="yellow"/>
        </w:rPr>
        <w:t>Fig. 6F</w:t>
      </w:r>
      <w:r w:rsidRPr="007A682B">
        <w:rPr>
          <w:rFonts w:ascii="Arial" w:hAnsi="Arial" w:cs="Arial"/>
          <w:sz w:val="20"/>
          <w:szCs w:val="20"/>
        </w:rPr>
        <w:t xml:space="preserve">). </w:t>
      </w:r>
      <w:commentRangeStart w:id="4"/>
      <w:r w:rsidRPr="007A682B">
        <w:rPr>
          <w:rFonts w:ascii="Arial" w:hAnsi="Arial" w:cs="Arial"/>
          <w:sz w:val="20"/>
          <w:szCs w:val="20"/>
        </w:rPr>
        <w:t>However, unlike ESR2B, accessibility of PGR-binding regions remained stable across sex change</w:t>
      </w:r>
      <w:r w:rsidR="00CB26A9" w:rsidRPr="007A682B">
        <w:rPr>
          <w:rFonts w:ascii="Arial" w:hAnsi="Arial" w:cs="Arial"/>
          <w:sz w:val="20"/>
          <w:szCs w:val="20"/>
        </w:rPr>
        <w:t xml:space="preserve"> (</w:t>
      </w:r>
      <w:r w:rsidR="00CB26A9" w:rsidRPr="007A682B">
        <w:rPr>
          <w:rFonts w:ascii="Arial" w:hAnsi="Arial" w:cs="Arial"/>
          <w:sz w:val="20"/>
          <w:szCs w:val="20"/>
          <w:highlight w:val="yellow"/>
        </w:rPr>
        <w:t xml:space="preserve">Fig. </w:t>
      </w:r>
      <w:r w:rsidR="004A27C9" w:rsidRPr="004A27C9">
        <w:rPr>
          <w:rFonts w:ascii="Arial" w:hAnsi="Arial" w:cs="Arial"/>
          <w:sz w:val="20"/>
          <w:szCs w:val="20"/>
          <w:highlight w:val="yellow"/>
        </w:rPr>
        <w:t>xx</w:t>
      </w:r>
      <w:r w:rsidR="00CB26A9" w:rsidRPr="007A682B">
        <w:rPr>
          <w:rFonts w:ascii="Arial" w:hAnsi="Arial" w:cs="Arial"/>
          <w:sz w:val="20"/>
          <w:szCs w:val="20"/>
        </w:rPr>
        <w:t>)</w:t>
      </w:r>
      <w:r w:rsidRPr="007A682B">
        <w:rPr>
          <w:rFonts w:ascii="Arial" w:hAnsi="Arial" w:cs="Arial"/>
          <w:sz w:val="20"/>
          <w:szCs w:val="20"/>
        </w:rPr>
        <w:t xml:space="preserve">. </w:t>
      </w:r>
      <w:commentRangeEnd w:id="4"/>
      <w:r w:rsidR="00913D54" w:rsidRPr="007A682B">
        <w:rPr>
          <w:rStyle w:val="CommentReference"/>
          <w:rFonts w:ascii="Arial" w:hAnsi="Arial" w:cs="Arial"/>
          <w:sz w:val="20"/>
          <w:szCs w:val="20"/>
        </w:rPr>
        <w:commentReference w:id="4"/>
      </w:r>
      <w:r w:rsidRPr="007A682B">
        <w:rPr>
          <w:rFonts w:ascii="Arial" w:hAnsi="Arial" w:cs="Arial"/>
          <w:sz w:val="20"/>
          <w:szCs w:val="20"/>
        </w:rPr>
        <w:t xml:space="preserve">Together with the transient decrease in </w:t>
      </w:r>
      <w:r w:rsidRPr="007A682B">
        <w:rPr>
          <w:rFonts w:ascii="Arial" w:hAnsi="Arial" w:cs="Arial"/>
          <w:i/>
          <w:iCs/>
          <w:sz w:val="20"/>
          <w:szCs w:val="20"/>
        </w:rPr>
        <w:t xml:space="preserve">pgr </w:t>
      </w:r>
      <w:r w:rsidRPr="007A682B">
        <w:rPr>
          <w:rFonts w:ascii="Arial" w:hAnsi="Arial" w:cs="Arial"/>
          <w:sz w:val="20"/>
          <w:szCs w:val="20"/>
        </w:rPr>
        <w:t>expression, this suggests that increased PGR-associated transcription is not driven by increased receptor expression or chromatin accessibility and may instead reflect changes in ligand availability or receptor activity.</w:t>
      </w:r>
    </w:p>
    <w:p w14:paraId="70429241" w14:textId="77777777" w:rsidR="003A2C4D" w:rsidRPr="007A682B" w:rsidRDefault="003A2C4D" w:rsidP="004741B8">
      <w:pPr>
        <w:rPr>
          <w:rFonts w:ascii="Arial" w:hAnsi="Arial" w:cs="Arial"/>
          <w:sz w:val="20"/>
          <w:szCs w:val="20"/>
        </w:rPr>
      </w:pPr>
    </w:p>
    <w:p w14:paraId="50E8269C" w14:textId="418B54AA" w:rsidR="00DD445A" w:rsidRPr="007A682B" w:rsidRDefault="004816FA" w:rsidP="00753C87">
      <w:pPr>
        <w:rPr>
          <w:rFonts w:ascii="Arial" w:hAnsi="Arial" w:cs="Arial"/>
          <w:b/>
          <w:bCs/>
          <w:sz w:val="20"/>
          <w:szCs w:val="20"/>
        </w:rPr>
      </w:pPr>
      <w:r w:rsidRPr="007A682B">
        <w:rPr>
          <w:rFonts w:ascii="Arial" w:hAnsi="Arial" w:cs="Arial"/>
          <w:b/>
          <w:bCs/>
          <w:sz w:val="20"/>
          <w:szCs w:val="20"/>
        </w:rPr>
        <w:t>Discussion</w:t>
      </w:r>
    </w:p>
    <w:p w14:paraId="22FDBCE2" w14:textId="72CF9058" w:rsidR="0066495D" w:rsidRPr="007A682B" w:rsidRDefault="0066495D" w:rsidP="00675A71">
      <w:pPr>
        <w:ind w:firstLine="720"/>
        <w:rPr>
          <w:rFonts w:ascii="Arial" w:hAnsi="Arial" w:cs="Arial"/>
          <w:sz w:val="20"/>
          <w:szCs w:val="20"/>
        </w:rPr>
      </w:pPr>
      <w:r w:rsidRPr="007A682B">
        <w:rPr>
          <w:rFonts w:ascii="Arial" w:hAnsi="Arial" w:cs="Arial"/>
          <w:sz w:val="20"/>
          <w:szCs w:val="20"/>
        </w:rPr>
        <w:t xml:space="preserve">Here, we combine single-nucleus multiomics with spatial transcriptomics, behavior, sex steroid hormone measures, and gonadal </w:t>
      </w:r>
      <w:r w:rsidR="005F3162" w:rsidRPr="007A682B">
        <w:rPr>
          <w:rFonts w:ascii="Arial" w:hAnsi="Arial" w:cs="Arial"/>
          <w:sz w:val="20"/>
          <w:szCs w:val="20"/>
        </w:rPr>
        <w:t xml:space="preserve">histology </w:t>
      </w:r>
      <w:r w:rsidRPr="007A682B">
        <w:rPr>
          <w:rFonts w:ascii="Arial" w:hAnsi="Arial" w:cs="Arial"/>
          <w:sz w:val="20"/>
          <w:szCs w:val="20"/>
        </w:rPr>
        <w:t xml:space="preserve">to document the neural substrates of protandrous sex change at the highest resolution to date. We show that sex change in the brain is an asynchronous process with some cell types changing sex early in the process prior to gonadal transformation, while others change sex later only after the gonads have changed. Our analyses identify RGCs and POA </w:t>
      </w:r>
      <w:r w:rsidR="00512BA9" w:rsidRPr="007A682B">
        <w:rPr>
          <w:rFonts w:ascii="Arial" w:hAnsi="Arial" w:cs="Arial"/>
          <w:sz w:val="20"/>
          <w:szCs w:val="20"/>
        </w:rPr>
        <w:t>neurons</w:t>
      </w:r>
      <w:r w:rsidR="005F3162" w:rsidRPr="007A682B">
        <w:rPr>
          <w:rFonts w:ascii="Arial" w:hAnsi="Arial" w:cs="Arial"/>
          <w:sz w:val="20"/>
          <w:szCs w:val="20"/>
        </w:rPr>
        <w:t xml:space="preserve"> </w:t>
      </w:r>
      <w:r w:rsidRPr="007A682B">
        <w:rPr>
          <w:rFonts w:ascii="Arial" w:hAnsi="Arial" w:cs="Arial"/>
          <w:sz w:val="20"/>
          <w:szCs w:val="20"/>
        </w:rPr>
        <w:t xml:space="preserve">as the major drivers of sex change in the anemonefish </w:t>
      </w:r>
      <w:r w:rsidR="009112E5" w:rsidRPr="007A682B">
        <w:rPr>
          <w:rFonts w:ascii="Arial" w:hAnsi="Arial" w:cs="Arial"/>
          <w:sz w:val="20"/>
          <w:szCs w:val="20"/>
        </w:rPr>
        <w:t>brain and</w:t>
      </w:r>
      <w:r w:rsidRPr="007A682B">
        <w:rPr>
          <w:rFonts w:ascii="Arial" w:hAnsi="Arial" w:cs="Arial"/>
          <w:sz w:val="20"/>
          <w:szCs w:val="20"/>
        </w:rPr>
        <w:t xml:space="preserve"> show </w:t>
      </w:r>
      <w:r w:rsidR="005F3162" w:rsidRPr="007A682B">
        <w:rPr>
          <w:rFonts w:ascii="Arial" w:hAnsi="Arial" w:cs="Arial"/>
          <w:sz w:val="20"/>
          <w:szCs w:val="20"/>
        </w:rPr>
        <w:t>how they are</w:t>
      </w:r>
      <w:r w:rsidRPr="007A682B">
        <w:rPr>
          <w:rFonts w:ascii="Arial" w:hAnsi="Arial" w:cs="Arial"/>
          <w:sz w:val="20"/>
          <w:szCs w:val="20"/>
        </w:rPr>
        <w:t xml:space="preserve"> coordinated during </w:t>
      </w:r>
      <w:r w:rsidR="005F3162" w:rsidRPr="007A682B">
        <w:rPr>
          <w:rFonts w:ascii="Arial" w:hAnsi="Arial" w:cs="Arial"/>
          <w:sz w:val="20"/>
          <w:szCs w:val="20"/>
        </w:rPr>
        <w:t xml:space="preserve">the </w:t>
      </w:r>
      <w:r w:rsidRPr="007A682B">
        <w:rPr>
          <w:rFonts w:ascii="Arial" w:hAnsi="Arial" w:cs="Arial"/>
          <w:sz w:val="20"/>
          <w:szCs w:val="20"/>
        </w:rPr>
        <w:t xml:space="preserve">process. This work provides a novel mechanistic framework </w:t>
      </w:r>
      <w:r w:rsidR="005F3162" w:rsidRPr="007A682B">
        <w:rPr>
          <w:rFonts w:ascii="Arial" w:hAnsi="Arial" w:cs="Arial"/>
          <w:sz w:val="20"/>
          <w:szCs w:val="20"/>
        </w:rPr>
        <w:t xml:space="preserve">for how </w:t>
      </w:r>
      <w:r w:rsidRPr="007A682B">
        <w:rPr>
          <w:rFonts w:ascii="Arial" w:hAnsi="Arial" w:cs="Arial"/>
          <w:sz w:val="20"/>
          <w:szCs w:val="20"/>
        </w:rPr>
        <w:t xml:space="preserve">changes in social status are integrated into the brain and transduced to the pituitary, driving physiological sex change. </w:t>
      </w:r>
    </w:p>
    <w:p w14:paraId="777E1294" w14:textId="077415B8" w:rsidR="0066495D" w:rsidRPr="007A682B" w:rsidRDefault="0066495D" w:rsidP="00675A71">
      <w:pPr>
        <w:ind w:firstLine="720"/>
        <w:rPr>
          <w:rFonts w:ascii="Arial" w:hAnsi="Arial" w:cs="Arial"/>
          <w:sz w:val="20"/>
          <w:szCs w:val="20"/>
        </w:rPr>
      </w:pPr>
      <w:r w:rsidRPr="007A682B">
        <w:rPr>
          <w:rFonts w:ascii="Arial" w:hAnsi="Arial" w:cs="Arial"/>
          <w:sz w:val="20"/>
          <w:szCs w:val="20"/>
        </w:rPr>
        <w:t xml:space="preserve">Among all cell populations, RGCs underwent the most extensive molecular remodeling during sex change exhibiting the second-highest number of DEGs and the highest number of DARs. Rather than maintaining a male-like state until late in sex change or adopting a female-like state early in sex change, our data indicate that RGCs enter a distinct transitional molecular state in intermediates and are some of the last cells to complete feminization. Intriguingly, this transitional RGC state is defined by a reduction in </w:t>
      </w:r>
      <w:r w:rsidRPr="007A682B">
        <w:rPr>
          <w:rFonts w:ascii="Arial" w:hAnsi="Arial" w:cs="Arial"/>
          <w:i/>
          <w:iCs/>
          <w:sz w:val="20"/>
          <w:szCs w:val="20"/>
        </w:rPr>
        <w:t>cyp19a1b</w:t>
      </w:r>
      <w:r w:rsidRPr="007A682B">
        <w:rPr>
          <w:rFonts w:ascii="Arial" w:hAnsi="Arial" w:cs="Arial"/>
          <w:sz w:val="20"/>
          <w:szCs w:val="20"/>
        </w:rPr>
        <w:t xml:space="preserve"> expression and an elevation of neurogenic TFs. Previous whole-brain transcriptomic analyses reported progressive increases in brain aromatase expression during protandrous sex change </w:t>
      </w:r>
      <w:r w:rsidRPr="007A682B">
        <w:rPr>
          <w:rFonts w:ascii="Arial" w:hAnsi="Arial" w:cs="Arial"/>
          <w:sz w:val="20"/>
          <w:szCs w:val="20"/>
        </w:rPr>
        <w:fldChar w:fldCharType="begin"/>
      </w:r>
      <w:r w:rsidR="00704475" w:rsidRPr="007A682B">
        <w:rPr>
          <w:rFonts w:ascii="Arial" w:hAnsi="Arial" w:cs="Arial"/>
          <w:sz w:val="20"/>
          <w:szCs w:val="20"/>
        </w:rPr>
        <w:instrText xml:space="preserve"> ADDIN ZOTERO_ITEM CSL_CITATION {"citationID":"HoyvJA2h","properties":{"unsorted":false,"formattedCitation":"(45)","plainCitation":"(45)","noteIndex":0},"citationItems":[{"id":518,"uris":["http://zotero.org/users/11313215/items/BJWDPF4G"],"itemData":{"id":518,"type":"article-journal","abstract":"Sequential hermaphroditism is a unique reproductive strategy among teleosts that is displayed mainly in fish species living in the coral reef environment. The reproductive biology of hermaphrodites has long been intriguing; however, very little is known about the molecular pathways underlying their sex change. Here, we provide the first de novo transcriptome analyses of a hermaphrodite teleost´s undergoing sex change in its natural environment. Our study has examined relative gene expression across multiple groups—rather than just two contrasting conditions— and has allowed us to explore the differential expression patterns throughout the whole process. Our analysis has highlighted the rapid and complex genomic response of the brain associated with sex change, which is subsequently transmitted to the gonads, identifying a large number of candidate genes, some well-known and some novel, involved in the process. The present study provides strong evidence of the importance of the sex steroidogenic machinery during sex change in clownfish, with the aromatase gene playing a central role, both in the brain and the gonad. This work constitutes the first genome-wide study in a social sex-changing species and provides insights into the genetic mechanism governing social sex change and gonadal restructuring in protandrous hermaphrodites.","container-title":"Scientific Reports","DOI":"10.1038/srep35461","ISSN":"2045-2322","issue":"1","journalAbbreviation":"Sci Rep","language":"en","license":"2016 The Author(s)","page":"35461","publisher":"Nature Publishing Group","source":"www.nature.com","title":"Sex Change in Clownfish: Molecular Insights from Transcriptome Analysis","title-short":"Sex Change in Clownfish","volume":"6","author":[{"family":"Casas","given":"Laura"},{"family":"Saborido-Rey","given":"Fran"},{"family":"Ryu","given":"Taewoo"},{"family":"Michell","given":"Craig"},{"family":"Ravasi","given":"Timothy"},{"family":"Irigoien","given":"Xabier"}],"issued":{"date-parts":[["2016",10,17]]}}}],"schema":"https://github.com/citation-style-language/schema/raw/master/csl-citation.json"} </w:instrText>
      </w:r>
      <w:r w:rsidRPr="007A682B">
        <w:rPr>
          <w:rFonts w:ascii="Arial" w:hAnsi="Arial" w:cs="Arial"/>
          <w:sz w:val="20"/>
          <w:szCs w:val="20"/>
        </w:rPr>
        <w:fldChar w:fldCharType="separate"/>
      </w:r>
      <w:r w:rsidR="00704475" w:rsidRPr="007A682B">
        <w:rPr>
          <w:rFonts w:ascii="Arial" w:hAnsi="Arial" w:cs="Arial"/>
          <w:noProof/>
          <w:sz w:val="20"/>
          <w:szCs w:val="20"/>
        </w:rPr>
        <w:t>(45)</w:t>
      </w:r>
      <w:r w:rsidRPr="007A682B">
        <w:rPr>
          <w:rFonts w:ascii="Arial" w:hAnsi="Arial" w:cs="Arial"/>
          <w:sz w:val="20"/>
          <w:szCs w:val="20"/>
        </w:rPr>
        <w:fldChar w:fldCharType="end"/>
      </w:r>
      <w:r w:rsidRPr="007A682B">
        <w:rPr>
          <w:rFonts w:ascii="Arial" w:hAnsi="Arial" w:cs="Arial"/>
          <w:sz w:val="20"/>
          <w:szCs w:val="20"/>
        </w:rPr>
        <w:t xml:space="preserve">. </w:t>
      </w:r>
      <w:r w:rsidR="009112E5" w:rsidRPr="007A682B">
        <w:rPr>
          <w:rFonts w:ascii="Arial" w:hAnsi="Arial" w:cs="Arial"/>
          <w:sz w:val="20"/>
          <w:szCs w:val="20"/>
        </w:rPr>
        <w:t>This</w:t>
      </w:r>
      <w:r w:rsidRPr="007A682B">
        <w:rPr>
          <w:rFonts w:ascii="Arial" w:hAnsi="Arial" w:cs="Arial"/>
          <w:sz w:val="20"/>
          <w:szCs w:val="20"/>
        </w:rPr>
        <w:t xml:space="preserve"> apparent discrepancy may reflect regional specialization that becomes obscured in bulk tissue analyses, differences in sampling stage, or species-specific differences between </w:t>
      </w:r>
      <w:r w:rsidRPr="007A682B">
        <w:rPr>
          <w:rFonts w:ascii="Arial" w:hAnsi="Arial" w:cs="Arial"/>
          <w:i/>
          <w:iCs/>
          <w:sz w:val="20"/>
          <w:szCs w:val="20"/>
        </w:rPr>
        <w:t>A. ocellaris</w:t>
      </w:r>
      <w:r w:rsidRPr="007A682B">
        <w:rPr>
          <w:rFonts w:ascii="Arial" w:hAnsi="Arial" w:cs="Arial"/>
          <w:sz w:val="20"/>
          <w:szCs w:val="20"/>
        </w:rPr>
        <w:t xml:space="preserve"> and </w:t>
      </w:r>
      <w:r w:rsidRPr="007A682B">
        <w:rPr>
          <w:rFonts w:ascii="Arial" w:hAnsi="Arial" w:cs="Arial"/>
          <w:i/>
          <w:iCs/>
          <w:sz w:val="20"/>
          <w:szCs w:val="20"/>
        </w:rPr>
        <w:t>A. bicinctus</w:t>
      </w:r>
      <w:r w:rsidRPr="007A682B">
        <w:rPr>
          <w:rFonts w:ascii="Arial" w:hAnsi="Arial" w:cs="Arial"/>
          <w:sz w:val="20"/>
          <w:szCs w:val="20"/>
        </w:rPr>
        <w:t>.</w:t>
      </w:r>
    </w:p>
    <w:p w14:paraId="01FC01B5" w14:textId="1AFD1F15" w:rsidR="0066495D" w:rsidRPr="007A682B" w:rsidRDefault="0066495D" w:rsidP="00675A71">
      <w:pPr>
        <w:ind w:firstLine="720"/>
        <w:rPr>
          <w:rFonts w:ascii="Arial" w:hAnsi="Arial" w:cs="Arial"/>
          <w:sz w:val="20"/>
          <w:szCs w:val="20"/>
        </w:rPr>
      </w:pPr>
      <w:r w:rsidRPr="007A682B">
        <w:rPr>
          <w:rFonts w:ascii="Arial" w:hAnsi="Arial" w:cs="Arial"/>
          <w:sz w:val="20"/>
          <w:szCs w:val="20"/>
        </w:rPr>
        <w:t xml:space="preserve">Our GRN analysis provides a plausible connection by which the observed increases in neurogenesis and decrease in </w:t>
      </w:r>
      <w:r w:rsidRPr="007A682B">
        <w:rPr>
          <w:rFonts w:ascii="Arial" w:hAnsi="Arial" w:cs="Arial"/>
          <w:i/>
          <w:iCs/>
          <w:sz w:val="20"/>
          <w:szCs w:val="20"/>
        </w:rPr>
        <w:t>cyp19a1b</w:t>
      </w:r>
      <w:r w:rsidRPr="007A682B">
        <w:rPr>
          <w:rFonts w:ascii="Arial" w:hAnsi="Arial" w:cs="Arial"/>
          <w:sz w:val="20"/>
          <w:szCs w:val="20"/>
        </w:rPr>
        <w:t xml:space="preserve"> are coupled: the TF </w:t>
      </w:r>
      <w:r w:rsidRPr="007A682B">
        <w:rPr>
          <w:rFonts w:ascii="Arial" w:hAnsi="Arial" w:cs="Arial"/>
          <w:i/>
          <w:iCs/>
          <w:sz w:val="20"/>
          <w:szCs w:val="20"/>
        </w:rPr>
        <w:t>uncx</w:t>
      </w:r>
      <w:r w:rsidRPr="007A682B">
        <w:rPr>
          <w:rFonts w:ascii="Arial" w:hAnsi="Arial" w:cs="Arial"/>
          <w:sz w:val="20"/>
          <w:szCs w:val="20"/>
        </w:rPr>
        <w:t xml:space="preserve">. We identified </w:t>
      </w:r>
      <w:r w:rsidRPr="007A682B">
        <w:rPr>
          <w:rFonts w:ascii="Arial" w:hAnsi="Arial" w:cs="Arial"/>
          <w:i/>
          <w:iCs/>
          <w:sz w:val="20"/>
          <w:szCs w:val="20"/>
        </w:rPr>
        <w:t>uncx</w:t>
      </w:r>
      <w:r w:rsidRPr="007A682B">
        <w:rPr>
          <w:rFonts w:ascii="Arial" w:hAnsi="Arial" w:cs="Arial"/>
          <w:sz w:val="20"/>
          <w:szCs w:val="20"/>
        </w:rPr>
        <w:t xml:space="preserve"> as being a putative negative regulator of </w:t>
      </w:r>
      <w:r w:rsidRPr="007A682B">
        <w:rPr>
          <w:rFonts w:ascii="Arial" w:hAnsi="Arial" w:cs="Arial"/>
          <w:i/>
          <w:iCs/>
          <w:sz w:val="20"/>
          <w:szCs w:val="20"/>
        </w:rPr>
        <w:t>cyp19a1b</w:t>
      </w:r>
      <w:r w:rsidRPr="007A682B">
        <w:rPr>
          <w:rFonts w:ascii="Arial" w:hAnsi="Arial" w:cs="Arial"/>
          <w:sz w:val="20"/>
          <w:szCs w:val="20"/>
        </w:rPr>
        <w:t xml:space="preserve"> expression and a putative positive regulator of the primary neurogenic hub TF </w:t>
      </w:r>
      <w:r w:rsidRPr="007A682B">
        <w:rPr>
          <w:rFonts w:ascii="Arial" w:hAnsi="Arial" w:cs="Arial"/>
          <w:i/>
          <w:iCs/>
          <w:sz w:val="20"/>
          <w:szCs w:val="20"/>
        </w:rPr>
        <w:t>gli1.</w:t>
      </w:r>
      <w:r w:rsidR="00922C5D" w:rsidRPr="007A682B">
        <w:rPr>
          <w:rFonts w:ascii="Arial" w:hAnsi="Arial" w:cs="Arial"/>
          <w:i/>
          <w:iCs/>
          <w:sz w:val="20"/>
          <w:szCs w:val="20"/>
        </w:rPr>
        <w:t xml:space="preserve"> </w:t>
      </w:r>
      <w:commentRangeStart w:id="5"/>
      <w:commentRangeStart w:id="6"/>
      <w:r w:rsidR="00922C5D" w:rsidRPr="007A682B">
        <w:rPr>
          <w:rFonts w:ascii="Arial" w:hAnsi="Arial" w:cs="Arial"/>
          <w:sz w:val="20"/>
          <w:szCs w:val="20"/>
        </w:rPr>
        <w:t xml:space="preserve">However, while </w:t>
      </w:r>
      <w:r w:rsidR="00922C5D" w:rsidRPr="007A682B">
        <w:rPr>
          <w:rFonts w:ascii="Arial" w:hAnsi="Arial" w:cs="Arial"/>
          <w:i/>
          <w:iCs/>
          <w:sz w:val="20"/>
          <w:szCs w:val="20"/>
        </w:rPr>
        <w:t>cyp19a1b</w:t>
      </w:r>
      <w:r w:rsidR="00922C5D" w:rsidRPr="007A682B">
        <w:rPr>
          <w:rFonts w:ascii="Arial" w:hAnsi="Arial" w:cs="Arial"/>
          <w:sz w:val="20"/>
          <w:szCs w:val="20"/>
        </w:rPr>
        <w:t xml:space="preserve"> and </w:t>
      </w:r>
      <w:r w:rsidR="00922C5D" w:rsidRPr="007A682B">
        <w:rPr>
          <w:rFonts w:ascii="Arial" w:hAnsi="Arial" w:cs="Arial"/>
          <w:i/>
          <w:iCs/>
          <w:sz w:val="20"/>
          <w:szCs w:val="20"/>
        </w:rPr>
        <w:t>gli1</w:t>
      </w:r>
      <w:r w:rsidR="00922C5D" w:rsidRPr="007A682B">
        <w:rPr>
          <w:rFonts w:ascii="Arial" w:hAnsi="Arial" w:cs="Arial"/>
          <w:sz w:val="20"/>
          <w:szCs w:val="20"/>
        </w:rPr>
        <w:t xml:space="preserve"> are under control of </w:t>
      </w:r>
      <w:r w:rsidR="00922C5D" w:rsidRPr="007A682B">
        <w:rPr>
          <w:rFonts w:ascii="Arial" w:hAnsi="Arial" w:cs="Arial"/>
          <w:i/>
          <w:iCs/>
          <w:sz w:val="20"/>
          <w:szCs w:val="20"/>
        </w:rPr>
        <w:t>uncx</w:t>
      </w:r>
      <w:r w:rsidR="00922C5D" w:rsidRPr="007A682B">
        <w:rPr>
          <w:rFonts w:ascii="Arial" w:hAnsi="Arial" w:cs="Arial"/>
          <w:sz w:val="20"/>
          <w:szCs w:val="20"/>
        </w:rPr>
        <w:t xml:space="preserve">, their pattern of expression changes are not correlated, indicating additional levels of transcriptional regulation beyond </w:t>
      </w:r>
      <w:r w:rsidR="00922C5D" w:rsidRPr="007A682B">
        <w:rPr>
          <w:rFonts w:ascii="Arial" w:hAnsi="Arial" w:cs="Arial"/>
          <w:i/>
          <w:iCs/>
          <w:sz w:val="20"/>
          <w:szCs w:val="20"/>
        </w:rPr>
        <w:t>uncx.</w:t>
      </w:r>
      <w:r w:rsidR="00922C5D" w:rsidRPr="007A682B">
        <w:rPr>
          <w:rFonts w:ascii="Arial" w:hAnsi="Arial" w:cs="Arial"/>
          <w:sz w:val="20"/>
          <w:szCs w:val="20"/>
        </w:rPr>
        <w:t xml:space="preserve"> </w:t>
      </w:r>
      <w:commentRangeEnd w:id="5"/>
      <w:r w:rsidR="00135D5F" w:rsidRPr="007A682B">
        <w:rPr>
          <w:rStyle w:val="CommentReference"/>
          <w:rFonts w:ascii="Arial" w:hAnsi="Arial" w:cs="Arial"/>
          <w:sz w:val="20"/>
          <w:szCs w:val="20"/>
        </w:rPr>
        <w:commentReference w:id="5"/>
      </w:r>
      <w:commentRangeEnd w:id="6"/>
      <w:r w:rsidR="00680E5C" w:rsidRPr="007A682B">
        <w:rPr>
          <w:rStyle w:val="CommentReference"/>
          <w:rFonts w:ascii="Arial" w:hAnsi="Arial" w:cs="Arial"/>
          <w:sz w:val="20"/>
          <w:szCs w:val="20"/>
        </w:rPr>
        <w:commentReference w:id="6"/>
      </w:r>
      <w:commentRangeStart w:id="7"/>
      <w:r w:rsidR="00D808E4" w:rsidRPr="007A682B">
        <w:rPr>
          <w:rFonts w:ascii="Arial" w:hAnsi="Arial" w:cs="Arial"/>
          <w:sz w:val="20"/>
          <w:szCs w:val="20"/>
        </w:rPr>
        <w:t xml:space="preserve">Interestingly, the downregulation of </w:t>
      </w:r>
      <w:r w:rsidR="00D808E4" w:rsidRPr="007A682B">
        <w:rPr>
          <w:rFonts w:ascii="Arial" w:hAnsi="Arial" w:cs="Arial"/>
          <w:i/>
          <w:iCs/>
          <w:sz w:val="20"/>
          <w:szCs w:val="20"/>
        </w:rPr>
        <w:t>cyp19a1b</w:t>
      </w:r>
      <w:r w:rsidR="00D808E4" w:rsidRPr="007A682B">
        <w:rPr>
          <w:rFonts w:ascii="Arial" w:hAnsi="Arial" w:cs="Arial"/>
          <w:sz w:val="20"/>
          <w:szCs w:val="20"/>
        </w:rPr>
        <w:t xml:space="preserve"> in intermediates was not accompanied by a corresponding reduction in estrogenic signaling in 6_POA_Mixed. Instead, ESR2B-associated target gene expression and chromatin accessibility remained relatively stable through the intermediate stage</w:t>
      </w:r>
      <w:r w:rsidR="00C7398C" w:rsidRPr="007A682B">
        <w:rPr>
          <w:rFonts w:ascii="Arial" w:hAnsi="Arial" w:cs="Arial"/>
          <w:sz w:val="20"/>
          <w:szCs w:val="20"/>
        </w:rPr>
        <w:t xml:space="preserve"> before</w:t>
      </w:r>
      <w:r w:rsidR="00E76D4D" w:rsidRPr="007A682B">
        <w:rPr>
          <w:rFonts w:ascii="Arial" w:hAnsi="Arial" w:cs="Arial"/>
          <w:sz w:val="20"/>
          <w:szCs w:val="20"/>
        </w:rPr>
        <w:t xml:space="preserve"> subsequently significantly</w:t>
      </w:r>
      <w:r w:rsidR="00D808E4" w:rsidRPr="007A682B">
        <w:rPr>
          <w:rFonts w:ascii="Arial" w:hAnsi="Arial" w:cs="Arial"/>
          <w:sz w:val="20"/>
          <w:szCs w:val="20"/>
        </w:rPr>
        <w:t xml:space="preserve"> </w:t>
      </w:r>
      <w:r w:rsidR="00C7398C" w:rsidRPr="007A682B">
        <w:rPr>
          <w:rFonts w:ascii="Arial" w:hAnsi="Arial" w:cs="Arial"/>
          <w:sz w:val="20"/>
          <w:szCs w:val="20"/>
        </w:rPr>
        <w:t xml:space="preserve">increasing </w:t>
      </w:r>
      <w:r w:rsidR="00D808E4" w:rsidRPr="007A682B">
        <w:rPr>
          <w:rFonts w:ascii="Arial" w:hAnsi="Arial" w:cs="Arial"/>
          <w:sz w:val="20"/>
          <w:szCs w:val="20"/>
        </w:rPr>
        <w:t>in females</w:t>
      </w:r>
      <w:r w:rsidR="00C7398C" w:rsidRPr="007A682B">
        <w:rPr>
          <w:rFonts w:ascii="Arial" w:hAnsi="Arial" w:cs="Arial"/>
          <w:sz w:val="20"/>
          <w:szCs w:val="20"/>
        </w:rPr>
        <w:t>.</w:t>
      </w:r>
      <w:commentRangeStart w:id="8"/>
      <w:r w:rsidR="00C7398C" w:rsidRPr="007A682B">
        <w:rPr>
          <w:rFonts w:ascii="Arial" w:hAnsi="Arial" w:cs="Arial"/>
          <w:sz w:val="20"/>
          <w:szCs w:val="20"/>
        </w:rPr>
        <w:t xml:space="preserve"> This is likely the result</w:t>
      </w:r>
      <w:r w:rsidR="00D808E4" w:rsidRPr="007A682B">
        <w:rPr>
          <w:rFonts w:ascii="Arial" w:hAnsi="Arial" w:cs="Arial"/>
          <w:sz w:val="20"/>
          <w:szCs w:val="20"/>
        </w:rPr>
        <w:t xml:space="preserve"> </w:t>
      </w:r>
      <w:r w:rsidR="00C7398C" w:rsidRPr="007A682B">
        <w:rPr>
          <w:rFonts w:ascii="Arial" w:hAnsi="Arial" w:cs="Arial"/>
          <w:sz w:val="20"/>
          <w:szCs w:val="20"/>
        </w:rPr>
        <w:t xml:space="preserve">of </w:t>
      </w:r>
      <w:r w:rsidR="00D808E4" w:rsidRPr="007A682B">
        <w:rPr>
          <w:rFonts w:ascii="Arial" w:hAnsi="Arial" w:cs="Arial"/>
          <w:sz w:val="20"/>
          <w:szCs w:val="20"/>
        </w:rPr>
        <w:t>large increase</w:t>
      </w:r>
      <w:r w:rsidR="00C7398C" w:rsidRPr="007A682B">
        <w:rPr>
          <w:rFonts w:ascii="Arial" w:hAnsi="Arial" w:cs="Arial"/>
          <w:sz w:val="20"/>
          <w:szCs w:val="20"/>
        </w:rPr>
        <w:t>s</w:t>
      </w:r>
      <w:r w:rsidR="00D808E4" w:rsidRPr="007A682B">
        <w:rPr>
          <w:rFonts w:ascii="Arial" w:hAnsi="Arial" w:cs="Arial"/>
          <w:sz w:val="20"/>
          <w:szCs w:val="20"/>
        </w:rPr>
        <w:t xml:space="preserve"> in circulating E2</w:t>
      </w:r>
      <w:r w:rsidR="00E76D4D" w:rsidRPr="007A682B">
        <w:rPr>
          <w:rFonts w:ascii="Arial" w:hAnsi="Arial" w:cs="Arial"/>
          <w:sz w:val="20"/>
          <w:szCs w:val="20"/>
        </w:rPr>
        <w:t xml:space="preserve"> </w:t>
      </w:r>
      <w:r w:rsidR="00C7398C" w:rsidRPr="007A682B">
        <w:rPr>
          <w:rFonts w:ascii="Arial" w:hAnsi="Arial" w:cs="Arial"/>
          <w:sz w:val="20"/>
          <w:szCs w:val="20"/>
        </w:rPr>
        <w:t>that occur during final feminization rather than the product of local E2 production</w:t>
      </w:r>
      <w:commentRangeEnd w:id="8"/>
      <w:r w:rsidR="00135D5F" w:rsidRPr="007A682B">
        <w:rPr>
          <w:rStyle w:val="CommentReference"/>
          <w:rFonts w:ascii="Arial" w:hAnsi="Arial" w:cs="Arial"/>
          <w:sz w:val="20"/>
          <w:szCs w:val="20"/>
        </w:rPr>
        <w:commentReference w:id="8"/>
      </w:r>
      <w:r w:rsidR="00D808E4" w:rsidRPr="007A682B">
        <w:rPr>
          <w:rFonts w:ascii="Arial" w:hAnsi="Arial" w:cs="Arial"/>
          <w:sz w:val="20"/>
          <w:szCs w:val="20"/>
        </w:rPr>
        <w:t>. Thus, the transient reduction in brain aromatase appears to be u</w:t>
      </w:r>
      <w:commentRangeEnd w:id="7"/>
      <w:r w:rsidR="006E6DD9" w:rsidRPr="007A682B">
        <w:rPr>
          <w:rStyle w:val="CommentReference"/>
          <w:rFonts w:ascii="Arial" w:hAnsi="Arial" w:cs="Arial"/>
          <w:sz w:val="20"/>
          <w:szCs w:val="20"/>
        </w:rPr>
        <w:commentReference w:id="7"/>
      </w:r>
      <w:r w:rsidR="00D808E4" w:rsidRPr="007A682B">
        <w:rPr>
          <w:rFonts w:ascii="Arial" w:hAnsi="Arial" w:cs="Arial"/>
          <w:sz w:val="20"/>
          <w:szCs w:val="20"/>
        </w:rPr>
        <w:t>ncoupled from downstream estrogen-responsive transcription, suggesting that estrogen signaling in the brain is reorganized across sex change rather than simply tracking local aromatase expression.</w:t>
      </w:r>
      <w:r w:rsidR="0051799D" w:rsidRPr="007A682B">
        <w:rPr>
          <w:rFonts w:ascii="Arial" w:hAnsi="Arial" w:cs="Arial"/>
          <w:sz w:val="20"/>
          <w:szCs w:val="20"/>
        </w:rPr>
        <w:t xml:space="preserve"> </w:t>
      </w:r>
    </w:p>
    <w:p w14:paraId="45B4C120" w14:textId="559AD64C" w:rsidR="0066495D" w:rsidRPr="007A682B" w:rsidRDefault="0051799D" w:rsidP="00675A71">
      <w:pPr>
        <w:ind w:firstLine="720"/>
        <w:rPr>
          <w:rFonts w:ascii="Arial" w:hAnsi="Arial" w:cs="Arial"/>
          <w:sz w:val="20"/>
          <w:szCs w:val="20"/>
        </w:rPr>
      </w:pPr>
      <w:r w:rsidRPr="007A682B">
        <w:rPr>
          <w:rFonts w:ascii="Arial" w:hAnsi="Arial" w:cs="Arial"/>
          <w:sz w:val="20"/>
          <w:szCs w:val="20"/>
        </w:rPr>
        <w:t>E</w:t>
      </w:r>
      <w:r w:rsidR="0066495D" w:rsidRPr="007A682B">
        <w:rPr>
          <w:rFonts w:ascii="Arial" w:hAnsi="Arial" w:cs="Arial"/>
          <w:sz w:val="20"/>
          <w:szCs w:val="20"/>
        </w:rPr>
        <w:t xml:space="preserve">vidence for an RGC – POA axis mediating sex change </w:t>
      </w:r>
      <w:r w:rsidR="00ED5593" w:rsidRPr="007A682B">
        <w:rPr>
          <w:rFonts w:ascii="Arial" w:hAnsi="Arial" w:cs="Arial"/>
          <w:sz w:val="20"/>
          <w:szCs w:val="20"/>
        </w:rPr>
        <w:t xml:space="preserve">includes </w:t>
      </w:r>
      <w:r w:rsidR="0066495D" w:rsidRPr="007A682B">
        <w:rPr>
          <w:rFonts w:ascii="Arial" w:hAnsi="Arial" w:cs="Arial"/>
          <w:sz w:val="20"/>
          <w:szCs w:val="20"/>
        </w:rPr>
        <w:t xml:space="preserve">the findings that 1) RGCs upregulate neurogenic gene expression modules in intermediates 2), the population of RGCs shifts from NSCs to NPs in intermediates, and 3) new </w:t>
      </w:r>
      <w:r w:rsidR="0066495D" w:rsidRPr="007A682B">
        <w:rPr>
          <w:rFonts w:ascii="Arial" w:hAnsi="Arial" w:cs="Arial"/>
          <w:i/>
          <w:iCs/>
          <w:sz w:val="20"/>
          <w:szCs w:val="20"/>
        </w:rPr>
        <w:t>cckb</w:t>
      </w:r>
      <w:r w:rsidR="0066495D" w:rsidRPr="007A682B">
        <w:rPr>
          <w:rFonts w:ascii="Arial" w:hAnsi="Arial" w:cs="Arial"/>
          <w:sz w:val="20"/>
          <w:szCs w:val="20"/>
        </w:rPr>
        <w:t xml:space="preserve">+ neurons are </w:t>
      </w:r>
      <w:r w:rsidR="009112E5" w:rsidRPr="007A682B">
        <w:rPr>
          <w:rFonts w:ascii="Arial" w:hAnsi="Arial" w:cs="Arial"/>
          <w:sz w:val="20"/>
          <w:szCs w:val="20"/>
        </w:rPr>
        <w:t xml:space="preserve">potentially </w:t>
      </w:r>
      <w:r w:rsidR="0066495D" w:rsidRPr="007A682B">
        <w:rPr>
          <w:rFonts w:ascii="Arial" w:hAnsi="Arial" w:cs="Arial"/>
          <w:sz w:val="20"/>
          <w:szCs w:val="20"/>
        </w:rPr>
        <w:t xml:space="preserve">born during </w:t>
      </w:r>
      <w:r w:rsidR="009112E5" w:rsidRPr="007A682B">
        <w:rPr>
          <w:rFonts w:ascii="Arial" w:hAnsi="Arial" w:cs="Arial"/>
          <w:sz w:val="20"/>
          <w:szCs w:val="20"/>
        </w:rPr>
        <w:t>sex change</w:t>
      </w:r>
      <w:r w:rsidR="0066495D" w:rsidRPr="007A682B">
        <w:rPr>
          <w:rFonts w:ascii="Arial" w:hAnsi="Arial" w:cs="Arial"/>
          <w:sz w:val="20"/>
          <w:szCs w:val="20"/>
        </w:rPr>
        <w:t xml:space="preserve">. Previous work has shown that neurogenesis occurs in the POA during protandrous sex change, however the identity of those cells remained unknown </w:t>
      </w:r>
      <w:r w:rsidR="0066495D"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{"citationID":"bEuIBiZm","properties":{"unsorted":false,"formattedCitation":"(6)","plainCitation":"(6)","noteIndex":0},"citationItems":[{"id":16,"uris":["http://zotero.org/users/11313215/items/VGA9PBJ3"],"itemData":{"id":16,"type":"article-journal","abstract":"Sex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66495D" w:rsidRPr="007A682B">
        <w:rPr>
          <w:rFonts w:ascii="Arial" w:hAnsi="Arial" w:cs="Arial"/>
          <w:sz w:val="20"/>
          <w:szCs w:val="20"/>
        </w:rPr>
        <w:fldChar w:fldCharType="separate"/>
      </w:r>
      <w:r w:rsidR="0072390C" w:rsidRPr="007A682B">
        <w:rPr>
          <w:rFonts w:ascii="Arial" w:hAnsi="Arial" w:cs="Arial"/>
          <w:noProof/>
          <w:sz w:val="20"/>
          <w:szCs w:val="20"/>
        </w:rPr>
        <w:t>(6)</w:t>
      </w:r>
      <w:r w:rsidR="0066495D" w:rsidRPr="007A682B">
        <w:rPr>
          <w:rFonts w:ascii="Arial" w:hAnsi="Arial" w:cs="Arial"/>
          <w:sz w:val="20"/>
          <w:szCs w:val="20"/>
        </w:rPr>
        <w:fldChar w:fldCharType="end"/>
      </w:r>
      <w:r w:rsidR="0066495D" w:rsidRPr="007A682B">
        <w:rPr>
          <w:rFonts w:ascii="Arial" w:hAnsi="Arial" w:cs="Arial"/>
          <w:sz w:val="20"/>
          <w:szCs w:val="20"/>
        </w:rPr>
        <w:t>. Further, work in zebrafish has shown that cholecystokinin signaling in the pituitary is necessary for FSH release and proper ovarian development</w:t>
      </w:r>
      <w:r w:rsidR="00376C7F" w:rsidRPr="007A682B">
        <w:rPr>
          <w:rFonts w:ascii="Arial" w:hAnsi="Arial" w:cs="Arial"/>
          <w:sz w:val="20"/>
          <w:szCs w:val="20"/>
        </w:rPr>
        <w:t xml:space="preserve"> </w:t>
      </w:r>
      <w:r w:rsidR="0066495D" w:rsidRPr="007A682B">
        <w:rPr>
          <w:rFonts w:ascii="Arial" w:hAnsi="Arial" w:cs="Arial"/>
          <w:sz w:val="20"/>
          <w:szCs w:val="20"/>
        </w:rPr>
        <w:fldChar w:fldCharType="begin"/>
      </w:r>
      <w:r w:rsidR="00704475" w:rsidRPr="007A682B">
        <w:rPr>
          <w:rFonts w:ascii="Arial" w:hAnsi="Arial" w:cs="Arial"/>
          <w:sz w:val="20"/>
          <w:szCs w:val="20"/>
        </w:rPr>
        <w:instrText xml:space="preserve"> ADDIN ZOTERO_ITEM CSL_CITATION {"citationID":"FyKyoLIK","properties":{"unsorted":false,"formattedCitation":"(35)","plainCitation":"(35)","noteIndex":0},"citationItems":[{"id":2344,"uris":["http://zotero.org/users/11313215/items/AJL2IH3T"],"itemData":{"id":2344,"type":"article-journal","abstract":"Life histories of oviparous species dictate high metabolic investment in the process of gonadal development leading to ovulation. In vertebrates, these two distinct processes are controlled by the gonadotropins follicle-stimulating hormone (FSH) and luteinizing hormone (LH), respectively. While it was suggested that a common secretagogue, gonadotropin-releasing hormone (GnRH), oversees both functions, the generation of loss-of-function fish challenged this view. Here we reveal that the satiety hormone cholecystokinin (CCK) is the primary regulator of this axis in zebrafish. We found that FSH cells express a CCK receptor, and our findings demonstrate that mutating this receptor results in a severe hindrance to ovarian development. Additionally, it causes a complete shutdown of both gonadotropins secretion. Using in-vivo and ex-vivo calcium imaging of gonadotrophs, we show that GnRH predominantly activates LH cells, whereas FSH cells respond to CCK stimulation, designating CCK as the bona fide FSH secretagogue. These findings indicate that the control of gametogenesis in fish was placed under different neural circuits, that are gated by CCK.","container-title":"eLife","DOI":"10.7554/eLife.96344.1","language":"en","publisher":"eLife Sciences Publications Limited","source":"elifesciences.org","title":"The satiety hormone cholecystokinin gates reproduction in fish by controlling gonadotropin secretion","URL":"https://elifesciences.org/reviewed-preprints/96344","volume":"13","author":[{"family":"Cohen","given":"Lian Hollander"},{"family":"Cohen","given":"Omer"},{"family":"Shulman","given":"Miriam"},{"family":"Aiznkot","given":"Tomer"},{"family":"Fontanaud","given":"Pierre"},{"family":"Revah","given":"Omer"},{"family":"Mollard","given":"Patrice"},{"family":"Golan","given":"Matan"},{"family":"Sivan","given":"Berta Levavi"}],"accessed":{"date-parts":[["2024",8,15]]},"issued":{"date-parts":[["2024",5,7]]}}}],"schema":"https://github.com/citation-style-language/schema/raw/master/csl-citation.json"} </w:instrText>
      </w:r>
      <w:r w:rsidR="0066495D" w:rsidRPr="007A682B">
        <w:rPr>
          <w:rFonts w:ascii="Arial" w:hAnsi="Arial" w:cs="Arial"/>
          <w:sz w:val="20"/>
          <w:szCs w:val="20"/>
        </w:rPr>
        <w:fldChar w:fldCharType="separate"/>
      </w:r>
      <w:r w:rsidR="00704475" w:rsidRPr="007A682B">
        <w:rPr>
          <w:rFonts w:ascii="Arial" w:hAnsi="Arial" w:cs="Arial"/>
          <w:noProof/>
          <w:sz w:val="20"/>
          <w:szCs w:val="20"/>
        </w:rPr>
        <w:t>(35)</w:t>
      </w:r>
      <w:r w:rsidR="0066495D" w:rsidRPr="007A682B">
        <w:rPr>
          <w:rFonts w:ascii="Arial" w:hAnsi="Arial" w:cs="Arial"/>
          <w:sz w:val="20"/>
          <w:szCs w:val="20"/>
        </w:rPr>
        <w:fldChar w:fldCharType="end"/>
      </w:r>
      <w:r w:rsidR="0066495D" w:rsidRPr="007A682B">
        <w:rPr>
          <w:rFonts w:ascii="Arial" w:hAnsi="Arial" w:cs="Arial"/>
          <w:sz w:val="20"/>
          <w:szCs w:val="20"/>
        </w:rPr>
        <w:t xml:space="preserve">. Our CytoTRACE and cell abundance analyses reveal both that the population of </w:t>
      </w:r>
      <w:r w:rsidR="0066495D" w:rsidRPr="007A682B">
        <w:rPr>
          <w:rFonts w:ascii="Arial" w:hAnsi="Arial" w:cs="Arial"/>
          <w:i/>
          <w:iCs/>
          <w:sz w:val="20"/>
          <w:szCs w:val="20"/>
        </w:rPr>
        <w:t>cckb+</w:t>
      </w:r>
      <w:r w:rsidR="0066495D" w:rsidRPr="007A682B">
        <w:rPr>
          <w:rFonts w:ascii="Arial" w:hAnsi="Arial" w:cs="Arial"/>
          <w:sz w:val="20"/>
          <w:szCs w:val="20"/>
        </w:rPr>
        <w:t xml:space="preserve"> cells increase</w:t>
      </w:r>
      <w:r w:rsidR="00ED5593" w:rsidRPr="007A682B">
        <w:rPr>
          <w:rFonts w:ascii="Arial" w:hAnsi="Arial" w:cs="Arial"/>
          <w:sz w:val="20"/>
          <w:szCs w:val="20"/>
        </w:rPr>
        <w:t>s</w:t>
      </w:r>
      <w:r w:rsidR="0066495D" w:rsidRPr="007A682B">
        <w:rPr>
          <w:rFonts w:ascii="Arial" w:hAnsi="Arial" w:cs="Arial"/>
          <w:sz w:val="20"/>
          <w:szCs w:val="20"/>
        </w:rPr>
        <w:t xml:space="preserve"> in 6_POA_Mixed, and that in intermediates </w:t>
      </w:r>
      <w:r w:rsidR="0066495D" w:rsidRPr="007A682B">
        <w:rPr>
          <w:rFonts w:ascii="Arial" w:hAnsi="Arial" w:cs="Arial"/>
          <w:i/>
          <w:iCs/>
          <w:sz w:val="20"/>
          <w:szCs w:val="20"/>
        </w:rPr>
        <w:t>cckb+</w:t>
      </w:r>
      <w:r w:rsidR="0066495D" w:rsidRPr="007A682B">
        <w:rPr>
          <w:rFonts w:ascii="Arial" w:hAnsi="Arial" w:cs="Arial"/>
          <w:sz w:val="20"/>
          <w:szCs w:val="20"/>
        </w:rPr>
        <w:t xml:space="preserve"> cells are relatively more immature than in females. </w:t>
      </w:r>
      <w:r w:rsidR="00ED5593" w:rsidRPr="007A682B">
        <w:rPr>
          <w:rFonts w:ascii="Arial" w:hAnsi="Arial" w:cs="Arial"/>
          <w:sz w:val="20"/>
          <w:szCs w:val="20"/>
        </w:rPr>
        <w:t xml:space="preserve">Taken together, these data suggest that newly generated </w:t>
      </w:r>
      <w:r w:rsidR="00ED5593" w:rsidRPr="007A682B">
        <w:rPr>
          <w:rFonts w:ascii="Arial" w:hAnsi="Arial" w:cs="Arial"/>
          <w:i/>
          <w:iCs/>
          <w:sz w:val="20"/>
          <w:szCs w:val="20"/>
        </w:rPr>
        <w:t>cckb</w:t>
      </w:r>
      <w:r w:rsidR="00ED5593" w:rsidRPr="007A682B">
        <w:rPr>
          <w:rFonts w:ascii="Arial" w:hAnsi="Arial" w:cs="Arial"/>
          <w:sz w:val="20"/>
          <w:szCs w:val="20"/>
        </w:rPr>
        <w:t>+ neurons in the POA may contribute to neuroendocrine regulation of ovarian development, potentially through modulation of pituitary FSH release.</w:t>
      </w:r>
    </w:p>
    <w:p w14:paraId="78095D44" w14:textId="0E7C57FF" w:rsidR="001960C6" w:rsidRPr="007A682B" w:rsidRDefault="001960C6" w:rsidP="00675A71">
      <w:pPr>
        <w:ind w:firstLine="720"/>
        <w:rPr>
          <w:rFonts w:ascii="Arial" w:hAnsi="Arial" w:cs="Arial"/>
          <w:sz w:val="20"/>
          <w:szCs w:val="20"/>
        </w:rPr>
      </w:pPr>
      <w:r w:rsidRPr="007A682B">
        <w:rPr>
          <w:rFonts w:ascii="Arial" w:hAnsi="Arial" w:cs="Arial"/>
          <w:sz w:val="20"/>
          <w:szCs w:val="20"/>
        </w:rPr>
        <w:t>Changes in gene expression and cell type population in 6_POA_Mixed converge on</w:t>
      </w:r>
      <w:r w:rsidR="00ED5593" w:rsidRPr="007A682B">
        <w:rPr>
          <w:rFonts w:ascii="Arial" w:hAnsi="Arial" w:cs="Arial"/>
          <w:sz w:val="20"/>
          <w:szCs w:val="20"/>
        </w:rPr>
        <w:t xml:space="preserve"> </w:t>
      </w:r>
      <w:r w:rsidRPr="007A682B">
        <w:rPr>
          <w:rFonts w:ascii="Arial" w:hAnsi="Arial" w:cs="Arial"/>
          <w:sz w:val="20"/>
          <w:szCs w:val="20"/>
        </w:rPr>
        <w:t xml:space="preserve">the idea of differential </w:t>
      </w:r>
      <w:r w:rsidR="00ED5593" w:rsidRPr="007A682B">
        <w:rPr>
          <w:rFonts w:ascii="Arial" w:hAnsi="Arial" w:cs="Arial"/>
          <w:sz w:val="20"/>
          <w:szCs w:val="20"/>
        </w:rPr>
        <w:t>LH release</w:t>
      </w:r>
      <w:r w:rsidRPr="007A682B">
        <w:rPr>
          <w:rFonts w:ascii="Arial" w:hAnsi="Arial" w:cs="Arial"/>
          <w:sz w:val="20"/>
          <w:szCs w:val="20"/>
        </w:rPr>
        <w:t xml:space="preserve"> during sex change</w:t>
      </w:r>
      <w:r w:rsidR="0066495D" w:rsidRPr="007A682B">
        <w:rPr>
          <w:rFonts w:ascii="Arial" w:hAnsi="Arial" w:cs="Arial"/>
          <w:sz w:val="20"/>
          <w:szCs w:val="20"/>
        </w:rPr>
        <w:t xml:space="preserve">. In 6_POA_Mixed, we found significant changes in the expression and or population of cells expressing </w:t>
      </w:r>
      <w:r w:rsidR="0066495D" w:rsidRPr="007A682B">
        <w:rPr>
          <w:rFonts w:ascii="Arial" w:hAnsi="Arial" w:cs="Arial"/>
          <w:i/>
          <w:iCs/>
          <w:sz w:val="20"/>
          <w:szCs w:val="20"/>
        </w:rPr>
        <w:t xml:space="preserve">npy7r, nmbr, tacr3a, </w:t>
      </w:r>
      <w:r w:rsidR="0066495D" w:rsidRPr="007A682B">
        <w:rPr>
          <w:rFonts w:ascii="Arial" w:hAnsi="Arial" w:cs="Arial"/>
          <w:sz w:val="20"/>
          <w:szCs w:val="20"/>
        </w:rPr>
        <w:t xml:space="preserve">and </w:t>
      </w:r>
      <w:r w:rsidR="0066495D" w:rsidRPr="007A682B">
        <w:rPr>
          <w:rFonts w:ascii="Arial" w:hAnsi="Arial" w:cs="Arial"/>
          <w:i/>
          <w:iCs/>
          <w:sz w:val="20"/>
          <w:szCs w:val="20"/>
        </w:rPr>
        <w:t>drd3</w:t>
      </w:r>
      <w:r w:rsidR="0066495D" w:rsidRPr="007A682B">
        <w:rPr>
          <w:rFonts w:ascii="Arial" w:hAnsi="Arial" w:cs="Arial"/>
          <w:sz w:val="20"/>
          <w:szCs w:val="20"/>
        </w:rPr>
        <w:t xml:space="preserve">. In teleosts, neuropeptide </w:t>
      </w:r>
      <w:r w:rsidR="0066495D" w:rsidRPr="007A682B">
        <w:rPr>
          <w:rFonts w:ascii="Arial" w:hAnsi="Arial" w:cs="Arial"/>
          <w:sz w:val="20"/>
          <w:szCs w:val="20"/>
        </w:rPr>
        <w:lastRenderedPageBreak/>
        <w:t xml:space="preserve">Y (NPY) and neurokinin B (encoded by </w:t>
      </w:r>
      <w:r w:rsidR="0066495D" w:rsidRPr="007A682B">
        <w:rPr>
          <w:rFonts w:ascii="Arial" w:hAnsi="Arial" w:cs="Arial"/>
          <w:i/>
          <w:iCs/>
          <w:sz w:val="20"/>
          <w:szCs w:val="20"/>
        </w:rPr>
        <w:t>tac3</w:t>
      </w:r>
      <w:r w:rsidR="0066495D" w:rsidRPr="007A682B">
        <w:rPr>
          <w:rFonts w:ascii="Arial" w:hAnsi="Arial" w:cs="Arial"/>
          <w:sz w:val="20"/>
          <w:szCs w:val="20"/>
        </w:rPr>
        <w:t>) are known to stimulate LH release in species specific manners</w:t>
      </w:r>
      <w:r w:rsidR="00376C7F" w:rsidRPr="007A682B">
        <w:rPr>
          <w:rFonts w:ascii="Arial" w:hAnsi="Arial" w:cs="Arial"/>
          <w:sz w:val="20"/>
          <w:szCs w:val="20"/>
        </w:rPr>
        <w:t xml:space="preserve"> </w:t>
      </w:r>
      <w:r w:rsidR="00376C7F" w:rsidRPr="007A682B">
        <w:rPr>
          <w:rFonts w:ascii="Arial" w:hAnsi="Arial" w:cs="Arial"/>
          <w:sz w:val="20"/>
          <w:szCs w:val="20"/>
        </w:rPr>
        <w:fldChar w:fldCharType="begin"/>
      </w:r>
      <w:r w:rsidR="00704475" w:rsidRPr="007A682B">
        <w:rPr>
          <w:rFonts w:ascii="Arial" w:hAnsi="Arial" w:cs="Arial"/>
          <w:sz w:val="20"/>
          <w:szCs w:val="20"/>
        </w:rPr>
        <w:instrText xml:space="preserve"> ADDIN ZOTERO_ITEM CSL_CITATION {"citationID":"GONvdI9A","properties":{"unsorted":false,"formattedCitation":"(33, 34, 44, 46)","plainCitation":"(33, 34, 44, 46)","noteIndex":0},"citationItems":[{"id":3702,"uris":["http://zotero.org/users/11313215/items/P2XAW2FJ"],"itemData":{"id":3702,"type":"article-journal","abstract":"Female-to-male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704475" w:rsidRPr="007A682B">
        <w:rPr>
          <w:rFonts w:ascii="Cambria Math" w:hAnsi="Cambria Math" w:cs="Cambria Math"/>
          <w:sz w:val="20"/>
          <w:szCs w:val="20"/>
        </w:rPr>
        <w:instrText>∼</w:instrText>
      </w:r>
      <w:r w:rsidR="00704475" w:rsidRPr="007A682B">
        <w:rPr>
          <w:rFonts w:ascii="Arial" w:hAnsi="Arial" w:cs="Arial"/>
          <w:sz w:val="20"/>
          <w:szCs w:val="20"/>
        </w:rPr>
        <w:instrText xml:space="preserve">20 stimulatory and </w:instrText>
      </w:r>
      <w:r w:rsidR="00704475" w:rsidRPr="007A682B">
        <w:rPr>
          <w:rFonts w:ascii="Cambria Math" w:hAnsi="Cambria Math" w:cs="Cambria Math"/>
          <w:sz w:val="20"/>
          <w:szCs w:val="20"/>
        </w:rPr>
        <w:instrText>∼</w:instrText>
      </w:r>
      <w:r w:rsidR="00704475" w:rsidRPr="007A682B">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L."}],"issued":{"date-parts":[["2022",2,15]]}}},{"id":6296,"uris":["http://zotero.org/users/11313215/items/LRP8QAL2"],"itemData":{"id":6296,"type":"article-journal","abstract":"Neurokinin B (NKB) and its cognate receptor (NK3R) are emerging as important components of the neuroendocrine regulation of reproduction. Unlike mammalian tac3, which encodes only one mature peptide (namely NKB), two mature peptides are predicted for each tac3 gene in fish and frogs. Therefore, it was designated as Neurokinin F (NKF). Hormone analogs with high and long-lasting biological activity are important tools for physiological and biological research; however, the availability of piscine-specific analogs is very limited. Therefore, we have developed specific NKB and NKF analogs based on the structure of the mammalian NKB analog–senktide. These analogs, specifically designed for longer half-lives by methylation of proteolysis sites, exhibited activity equal to those of the native NKB and NKF in short-term signal-transduction assays of tilapia NKB receptors. However, the analogs were found to be able to significantly increase the release of luteinizing hormone (LH), follicle stimulating hormone (FSH) and growth hormone (GH) in tilapia, as fast as 1 h after intraperitoneal (IP) injection. The impact of the analogs on LH and FSH secretion lasted longer compared to the effect of native peptides and salmon GnRH analog (sGnRHa). In addition, we harvested pituitaries 24 h post injection and measured LH, FSH and GH mRNA synthesis. Both analogs elevated mRNA levels of LH and GH, but only NKB analog increased FSH mRNA levels in the pituitary and all GnRH forms in the brain. NKB receptors were co-localized with all three types the GnRH neurons in tilapia brain in situ. We previously showed a direct effect of NKB at the pituitary level, and these new results suggest that the stronger impact of the NKB analog on GTH release is also due to an indirect effect through the activation of GnRH neurons. These results suggest that novel synthetic NKB analogs may serve as a tool for both research and agricultural purposes. Finally, the biological activity and regulatory role of NKB in tilapia brain and pituitary suggest that the NKB/NKBR system in fish is an important reproductive regulator in a similar way to the kisspeptin system in mammals.","container-title":"Frontiers in Endocrinology","DOI":"10.3389/fendo.2019.00469","ISSN":"1664-2392","journalAbbreviation":"Front Endocrinol (Lausanne)","page":"469","PMID":"31354632","PMCID":"PMC6639853","source":"PubMed Central","title":"Deciphering Direct and Indirect Effects of Neurokinin B and GnRH in the Brain-Pituitary Axis of Tilapia","volume":"10","author":[{"family":"Mizrahi","given":"Naama"},{"family":"Gilon","given":"Chaim"},{"family":"Atre","given":"Ishwar"},{"family":"Ogawa","given":"Satoshi"},{"family":"Parhar","given":"Ishwar S."},{"family":"Levavi-Sivan","given":"Berta"}],"issued":{"date-parts":[["2019",7,12]]}}},{"id":6350,"uris":["http://zotero.org/users/11313215/items/KGG4YTRQ"],"itemData":{"id":6350,"type":"article-journal","abstract":"In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schema":"https://github.com/citation-style-language/schema/raw/master/csl-citation.json"} </w:instrText>
      </w:r>
      <w:r w:rsidR="00376C7F" w:rsidRPr="007A682B">
        <w:rPr>
          <w:rFonts w:ascii="Arial" w:hAnsi="Arial" w:cs="Arial"/>
          <w:sz w:val="20"/>
          <w:szCs w:val="20"/>
        </w:rPr>
        <w:fldChar w:fldCharType="separate"/>
      </w:r>
      <w:r w:rsidR="00704475" w:rsidRPr="007A682B">
        <w:rPr>
          <w:rFonts w:ascii="Arial" w:hAnsi="Arial" w:cs="Arial"/>
          <w:kern w:val="0"/>
          <w:sz w:val="20"/>
          <w:szCs w:val="20"/>
        </w:rPr>
        <w:t>(33, 34, 44, 46)</w:t>
      </w:r>
      <w:r w:rsidR="00376C7F" w:rsidRPr="007A682B">
        <w:rPr>
          <w:rFonts w:ascii="Arial" w:hAnsi="Arial" w:cs="Arial"/>
          <w:sz w:val="20"/>
          <w:szCs w:val="20"/>
        </w:rPr>
        <w:fldChar w:fldCharType="end"/>
      </w:r>
      <w:r w:rsidR="00376C7F" w:rsidRPr="007A682B">
        <w:rPr>
          <w:rFonts w:ascii="Arial" w:hAnsi="Arial" w:cs="Arial"/>
          <w:sz w:val="20"/>
          <w:szCs w:val="20"/>
        </w:rPr>
        <w:t xml:space="preserve"> </w:t>
      </w:r>
      <w:r w:rsidR="0066495D" w:rsidRPr="007A682B">
        <w:rPr>
          <w:rFonts w:ascii="Arial" w:hAnsi="Arial" w:cs="Arial"/>
          <w:sz w:val="20"/>
          <w:szCs w:val="20"/>
        </w:rPr>
        <w:t>, and neuromedin b has been implicated in regulating LH release</w:t>
      </w:r>
      <w:r w:rsidR="0066495D" w:rsidRPr="007A682B">
        <w:rPr>
          <w:rFonts w:ascii="Arial" w:hAnsi="Arial" w:cs="Arial"/>
          <w:i/>
          <w:iCs/>
          <w:sz w:val="20"/>
          <w:szCs w:val="20"/>
        </w:rPr>
        <w:t xml:space="preserve"> </w:t>
      </w:r>
      <w:r w:rsidR="0066495D" w:rsidRPr="007A682B">
        <w:rPr>
          <w:rFonts w:ascii="Arial" w:hAnsi="Arial" w:cs="Arial"/>
          <w:i/>
          <w:iCs/>
          <w:sz w:val="20"/>
          <w:szCs w:val="20"/>
        </w:rPr>
        <w:fldChar w:fldCharType="begin"/>
      </w:r>
      <w:r w:rsidR="00704475" w:rsidRPr="007A682B">
        <w:rPr>
          <w:rFonts w:ascii="Arial" w:hAnsi="Arial" w:cs="Arial"/>
          <w:i/>
          <w:iCs/>
          <w:sz w:val="20"/>
          <w:szCs w:val="20"/>
        </w:rPr>
        <w:instrText xml:space="preserve"> ADDIN ZOTERO_ITEM CSL_CITATION {"citationID":"FQGD49Ei","properties":{"unsorted":false,"formattedCitation":"(32)","plainCitation":"(32)","noteIndex":0},"citationItems":[{"id":6357,"uris":["http://zotero.org/users/11313215/items/PS74WG8G"],"itemData":{"id":6357,"type":"article-journal","abstract":"From mammals to fish, reproduction is driven by luteinizing hormone (LH) and follicle-stimulating hormone (FSH) temporally secreted from the pituitary gland. Teleost fish are an excellent model for addressing the unique regulation and function of each gonadotropin cell since, unlike mammals, they synthesize and secrete LH and FSH from distinct cells. Only very distant vertebrate classes (such as fish and birds) demonstrate the mono-hormonal strategy, suggesting a potential convergent evolution. Cell-specific transcriptome analysis of double-labeled transgenic tilapia expressing GFP and RFP in LH or FSH cells, respectively, yielded genes specifically enriched in each cell type, revealing differences in hormone regulation, receptor expression, cell signaling, and electrical properties. Each cell type expresses a unique GPCR signature that reveals the direct regulation of metabolic and homeostatic hormones. Comparing these novel transcriptomes to that of rat gonadotrophs revealed conserved genes that might specifically contribute to each gonadotropin activity in mammals, suggesting conserved mechanisms controlling the differential regulation of gonadotropins in vertebrates.","container-title":"International Journal of Molecular Sciences","DOI":"10.3390/ijms22126478","ISSN":"1422-0067","issue":"12","journalAbbreviation":"Int J Mol Sci","page":"6478","PMID":"34204216","PMCID":"PMC8234412","source":"PubMed Central","title":"Differential Regulation of Gonadotropins as Revealed by Transcriptomes of Distinct LH and FSH Cells of Fish Pituitary","volume":"22","author":[{"family":"Hollander-Cohen","given":"Lian"},{"family":"Golan","given":"Matan"},{"family":"Levavi-Sivan","given":"Berta"}],"issued":{"date-parts":[["2021",6,17]]}}}],"schema":"https://github.com/citation-style-language/schema/raw/master/csl-citation.json"} </w:instrText>
      </w:r>
      <w:r w:rsidR="0066495D" w:rsidRPr="007A682B">
        <w:rPr>
          <w:rFonts w:ascii="Arial" w:hAnsi="Arial" w:cs="Arial"/>
          <w:i/>
          <w:iCs/>
          <w:sz w:val="20"/>
          <w:szCs w:val="20"/>
        </w:rPr>
        <w:fldChar w:fldCharType="separate"/>
      </w:r>
      <w:r w:rsidR="00704475" w:rsidRPr="007A682B">
        <w:rPr>
          <w:rFonts w:ascii="Arial" w:hAnsi="Arial" w:cs="Arial"/>
          <w:noProof/>
          <w:sz w:val="20"/>
          <w:szCs w:val="20"/>
        </w:rPr>
        <w:t>(32)</w:t>
      </w:r>
      <w:r w:rsidR="0066495D" w:rsidRPr="007A682B">
        <w:rPr>
          <w:rFonts w:ascii="Arial" w:hAnsi="Arial" w:cs="Arial"/>
          <w:i/>
          <w:iCs/>
          <w:sz w:val="20"/>
          <w:szCs w:val="20"/>
        </w:rPr>
        <w:fldChar w:fldCharType="end"/>
      </w:r>
      <w:r w:rsidR="0066495D" w:rsidRPr="007A682B">
        <w:rPr>
          <w:rFonts w:ascii="Arial" w:hAnsi="Arial" w:cs="Arial"/>
          <w:sz w:val="20"/>
          <w:szCs w:val="20"/>
        </w:rPr>
        <w:t xml:space="preserve">. Further, NPY is known to be a pro-masculinizing agent during protogynous sex change </w:t>
      </w:r>
      <w:r w:rsidR="0066495D" w:rsidRPr="007A682B">
        <w:rPr>
          <w:rFonts w:ascii="Arial" w:hAnsi="Arial" w:cs="Arial"/>
          <w:sz w:val="20"/>
          <w:szCs w:val="20"/>
        </w:rPr>
        <w:fldChar w:fldCharType="begin"/>
      </w:r>
      <w:r w:rsidR="00704475" w:rsidRPr="007A682B">
        <w:rPr>
          <w:rFonts w:ascii="Arial" w:hAnsi="Arial" w:cs="Arial"/>
          <w:sz w:val="20"/>
          <w:szCs w:val="20"/>
        </w:rPr>
        <w:instrText xml:space="preserve"> ADDIN ZOTERO_ITEM CSL_CITATION {"citationID":"xFpBBCh5","properties":{"unsorted":false,"formattedCitation":"(44)","plainCitation":"(44)","noteIndex":0},"citationItems":[{"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instrText>
      </w:r>
      <w:r w:rsidR="0066495D" w:rsidRPr="007A682B">
        <w:rPr>
          <w:rFonts w:ascii="Arial" w:hAnsi="Arial" w:cs="Arial"/>
          <w:sz w:val="20"/>
          <w:szCs w:val="20"/>
        </w:rPr>
        <w:fldChar w:fldCharType="separate"/>
      </w:r>
      <w:r w:rsidR="00704475" w:rsidRPr="007A682B">
        <w:rPr>
          <w:rFonts w:ascii="Arial" w:hAnsi="Arial" w:cs="Arial"/>
          <w:noProof/>
          <w:sz w:val="20"/>
          <w:szCs w:val="20"/>
        </w:rPr>
        <w:t>(44)</w:t>
      </w:r>
      <w:r w:rsidR="0066495D" w:rsidRPr="007A682B">
        <w:rPr>
          <w:rFonts w:ascii="Arial" w:hAnsi="Arial" w:cs="Arial"/>
          <w:sz w:val="20"/>
          <w:szCs w:val="20"/>
        </w:rPr>
        <w:fldChar w:fldCharType="end"/>
      </w:r>
      <w:r w:rsidR="0066495D" w:rsidRPr="007A682B">
        <w:rPr>
          <w:rFonts w:ascii="Arial" w:hAnsi="Arial" w:cs="Arial"/>
          <w:sz w:val="20"/>
          <w:szCs w:val="20"/>
        </w:rPr>
        <w:t>.</w:t>
      </w:r>
      <w:r w:rsidR="0066495D" w:rsidRPr="007A682B">
        <w:rPr>
          <w:rFonts w:ascii="Arial" w:hAnsi="Arial" w:cs="Arial"/>
          <w:sz w:val="20"/>
          <w:szCs w:val="20"/>
        </w:rPr>
        <w:fldChar w:fldCharType="begin"/>
      </w:r>
      <w:r w:rsidR="0066495D" w:rsidRPr="007A682B">
        <w:rPr>
          <w:rFonts w:ascii="Arial" w:hAnsi="Arial" w:cs="Arial"/>
          <w:sz w:val="20"/>
          <w:szCs w:val="20"/>
        </w:rPr>
        <w:instrText xml:space="preserve"> ADDIN ZOTERO_ITEM CSL_CITATION {"citationID":"jECDNUmJ","properties":{"unsorted":false,"formattedCitation":"(48\\uc0\\u8211{}53)","plainCitation":"(48–53)","dontUpdate":true,"noteIndex":0},"citationItems":[{"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66495D" w:rsidRPr="007A682B">
        <w:rPr>
          <w:rFonts w:ascii="Cambria Math" w:hAnsi="Cambria Math" w:cs="Cambria Math"/>
          <w:sz w:val="20"/>
          <w:szCs w:val="20"/>
        </w:rPr>
        <w:instrText>∼</w:instrText>
      </w:r>
      <w:r w:rsidR="0066495D" w:rsidRPr="007A682B">
        <w:rPr>
          <w:rFonts w:ascii="Arial" w:hAnsi="Arial" w:cs="Arial"/>
          <w:sz w:val="20"/>
          <w:szCs w:val="20"/>
        </w:rPr>
        <w:instrText xml:space="preserve">20 stimulatory and </w:instrText>
      </w:r>
      <w:r w:rsidR="0066495D" w:rsidRPr="007A682B">
        <w:rPr>
          <w:rFonts w:ascii="Cambria Math" w:hAnsi="Cambria Math" w:cs="Cambria Math"/>
          <w:sz w:val="20"/>
          <w:szCs w:val="20"/>
        </w:rPr>
        <w:instrText>∼</w:instrText>
      </w:r>
      <w:r w:rsidR="0066495D" w:rsidRPr="007A682B">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L."}],"issued":{"date-parts":[["2022",2,15]]}}},{"id":6296,"uris":["http://zotero.org/users/11313215/items/LRP8QAL2"],"itemData":{"id":6296,"type":"article-journal","abstract":"Neurokinin B (NKB) and its cognate receptor (NK3R) are emerging as important components of the neuroendocrine regulation of reproduction. Unlike mammalian tac3, which encodes only one mature peptide (namely NKB), two mature peptides are predicted for each tac3 gene in fish and frogs. Therefore, it was designated as Neurokinin F (NKF). Hormone analogs with high and long-lasting biological activity are important tools for physiological and biological research; however, the availability of piscine-specific analogs is very limited. Therefore, we have developed specific NKB and NKF analogs based on the structure of the mammalian NKB analog–senktide. These analogs, specifically designed for longer half-lives by methylation of proteolysis sites, exhibited activity equal to those of the native NKB and NKF in short-term signal-transduction assays of tilapia NKB receptors. However, the analogs were found to be able to significantly increase the release of luteinizing hormone (LH), follicle stimulating hormone (FSH) and growth hormone (GH) in tilapia, as fast as 1 h after intraperitoneal (IP) injection. The impact of the analogs on LH and FSH secretion lasted longer compared to the effect of native peptides and salmon GnRH analog (sGnRHa). In addition, we harvested pituitaries 24 h post injection and measured LH, FSH and GH mRNA synthesis. Both analogs elevated mRNA levels of LH and GH, but only NKB analog increased FSH mRNA levels in the pituitary and all GnRH forms in the brain. NKB receptors were co-localized with all three types the GnRH neurons in tilapia brain in situ. We previously showed a direct effect of NKB at the pituitary level, and these new results suggest that the stronger impact of the NKB analog on GTH release is also due to an indirect effect through the activation of GnRH neurons. These results suggest that novel synthetic NKB analogs may serve as a tool for both research and agricultural purposes. Finally, the biological activity and regulatory role of NKB in tilapia brain and pituitary suggest that the NKB/NKBR system in fish is an important reproductive regulator in a similar way to the kisspeptin system in mammals.","container-title":"Frontiers in Endocrinology","DOI":"10.3389/fendo.2019.00469","ISSN":"1664-2392","journalAbbreviation":"Front Endocrinol (Lausanne)","page":"469","PMID":"31354632","PMCID":"PMC6639853","source":"PubMed Central","title":"Deciphering Direct and Indirect Effects of Neurokinin B and GnRH in the Brain-Pituitary Axis of Tilapia","volume":"10","author":[{"family":"Mizrahi","given":"Naama"},{"family":"Gilon","given":"Chaim"},{"family":"Atre","given":"Ishwar"},{"family":"Ogawa","given":"Satoshi"},{"family":"Parhar","given":"Ishwar S."},{"family":"Levavi-Sivan","given":"Berta"}],"issued":{"date-parts":[["2019",7,12]]}}},{"id":6350,"uris":["http://zotero.org/users/11313215/items/KGG4YTRQ"],"itemData":{"id":6350,"type":"article-journal","abstract":"In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id":6352,"uris":["http://zotero.org/users/11313215/items/CFRWVNG9"],"itemData":{"id":6352,"type":"article-journal","abstract":"The neurokinin B (NKB) system acts as a crucial modulator in the regulation of reproduction and feeding in mammals, however limited information is available in teleosts regarding its potential role in reproductive functions. Herein, we have identified its encoding gene, namely tachykinin 3 (tac3), in the yellowtail kingfish. The full-length tac3 cDNA sequence was 372 bp in size and encoded a 123-aa preprohormone, including two mature peptides, NKB and NKF. Tissue distribution analysis showed that tac3 was primarily expressed in the intestine of yellowtail kingfish. During embryonic development, the highest mRNA levels of tac3 were observed at stage 4 (16-cell) and stage 14 (newly-hatched larva). The peak of tac3 transcript levels was also noticed at 30 days post-hatching during early ontogeny. The physiological effects of NKB and NKF on expression of brain and pituitary genes along with plasma hormones levels were further analyzed by intraperitoneal injection. NKB exerted a stimulatory effect on gnrh1, gnrh2, gnih, and kiss2r mRNA levels, but suppressed kiss1r, gnihr, gal, gh, lhβ, and fshβ mRNA levels. An evident increase was observed on transcript levels of gnrh1, gnrh2, kiss1, kiss2, gnih, and gnihr after NKF treatment, whereas kiss1r, kiss2r, gh, lhβ, and fshβ mRNA levels were down-regulated. Moreover, NKF, but not NKB, reduced serum estradiol levels, and both of these two peptides suppressed serum 11-keto testosterone levels. Taken together, our results provide preliminary evidence that the NKB system participates in the control of reproduction in yellowtail kingfish via acting on brain, pituitary and gonadal hormones.","container-title":"Aquaculture Reports","DOI":"10.1016/j.aqrep.2024.102167","ISSN":"2352-5134","journalAbbreviation":"Aquaculture Reports","page":"102167","source":"ScienceDirect","title":"Neurokinin B in the yellowtail kingfish (&lt;i&gt;Seriola lalandi&lt;/i&gt;) and its potential role in controlling reproduction","volume":"36","author":[{"family":"Tian","given":"Zhenfang"},{"family":"Yu","given":"Zhihua"},{"family":"Xu","given":"Yongjiang"},{"family":"Cui","given":"Aijun"},{"family":"Jiang","given":"Yan"},{"family":"Wang","given":"Bin"}],"issued":{"date-parts":[["2024",6,1]]}}},{"id":6355,"uris":["http://zotero.org/users/11313215/items/C9WSQG4B"],"itemData":{"id":6355,"type":"article-journal","abstract":"This review highlights the recent developments regarding neuroendocrine mechanisms controlling teleost reproduction. In teleosts, the pituitary gland receives major neuronal innervations from Gnrh neurons as well as minor innervations from small population of neurons that will secrete neurotransmitters and/or neuropeptides. The diversity of Kiss/Kissr system in various teleost species and their actions in the context of HPG axis and reproduction has been extensively covered. In teleost model systems, zebrafish and medaka, mutant lines for key components of the HPG axis have been generated through targeted mutagenesis but surprisingly most of the mutants developed normally without major defects in reproduction; these mutant phenotypes are described. In the last decade, complex role of diverse neuropeptides in teleost reproduction is being revealed. A brief overview about the reproductive functions of neuropeptides is presented. Finally, the effects of environmental factors namely photoperiodism and temperature on the functions of HPG axis is summarised.","collection-title":"Neuroendocrine facets of behavior and toxicology","container-title":"Aquaculture and Fisheries","DOI":"10.1016/j.aaf.2023.09.001","ISSN":"2468-550X","issue":"3","journalAbbreviation":"Aquaculture and Fisheries","page":"437-446","source":"ScienceDirect","title":"Neuroendocrine regulation of reproduction in fish – Mini review","volume":"9","author":[{"family":"Santhakumar","given":"Kirankumar"}],"issued":{"date-parts":[["2024",5,1]]}}},{"id":3702,"uris":["http://zotero.org/users/11313215/items/P2XAW2FJ"],"itemData":{"id":3702,"type":"article-journal","abstract":"Female-to-male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66495D" w:rsidRPr="007A682B">
        <w:rPr>
          <w:rFonts w:ascii="Cambria Math" w:hAnsi="Cambria Math" w:cs="Cambria Math"/>
          <w:sz w:val="20"/>
          <w:szCs w:val="20"/>
        </w:rPr>
        <w:instrText>∼</w:instrText>
      </w:r>
      <w:r w:rsidR="0066495D" w:rsidRPr="007A682B">
        <w:rPr>
          <w:rFonts w:ascii="Arial" w:hAnsi="Arial" w:cs="Arial"/>
          <w:sz w:val="20"/>
          <w:szCs w:val="20"/>
        </w:rPr>
        <w:instrText xml:space="preserve">20 stimulatory and </w:instrText>
      </w:r>
      <w:r w:rsidR="0066495D" w:rsidRPr="007A682B">
        <w:rPr>
          <w:rFonts w:ascii="Cambria Math" w:hAnsi="Cambria Math" w:cs="Cambria Math"/>
          <w:sz w:val="20"/>
          <w:szCs w:val="20"/>
        </w:rPr>
        <w:instrText>∼</w:instrText>
      </w:r>
      <w:r w:rsidR="0066495D" w:rsidRPr="007A682B">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L."}],"issued":{"date-parts":[["2022",2,15]]}}},{"id":6296,"uris":["http://zotero.org/users/11313215/items/LRP8QAL2"],"itemData":{"id":6296,"type":"article-journal","abstract":"Neurokinin B (NKB) and its cognate receptor (NK3R) are emerging as important components of the neuroendocrine regulation of reproduction. Unlike mammalian tac3, which encodes only one mature peptide (namely NKB), two mature peptides are predicted for each tac3 gene in fish and frogs. Therefore, it was designated as Neurokinin F (NKF). Hormone analogs with high and long-lasting biological activity are important tools for physiological and biological research; however, the availability of piscine-specific analogs is very limited. Therefore, we have developed specific NKB and NKF analogs based on the structure of the mammalian NKB analog–senktide. These analogs, specifically designed for longer half-lives by methylation of proteolysis sites, exhibited activity equal to those of the native NKB and NKF in short-term signal-transduction assays of tilapia NKB receptors. However, the analogs were found to be able to significantly increase the release of luteinizing hormone (LH), follicle stimulating hormone (FSH) and growth hormone (GH) in tilapia, as fast as 1 h after intraperitoneal (IP) injection. The impact of the analogs on LH and FSH secretion lasted longer compared to the effect of native peptides and salmon GnRH analog (sGnRHa). In addition, we harvested pituitaries 24 h post injection and measured LH, FSH and GH mRNA synthesis. Both analogs elevated mRNA levels of LH and GH, but only NKB analog increased FSH mRNA levels in the pituitary and all GnRH forms in the brain. NKB receptors were co-localized with all three types the GnRH neurons in tilapia brain in situ. We previously showed a direct effect of NKB at the pituitary level, and these new results suggest that the stronger impact of the NKB analog on GTH release is also due to an indirect effect through the activation of GnRH neurons. These results suggest that novel synthetic NKB analogs may serve as a tool for both research and agricultural purposes. Finally, the biological activity and regulatory role of NKB in tilapia brain and pituitary suggest that the NKB/NKBR system in fish is an important reproductive regulator in a similar way to the kisspeptin system in mammals.","container-title":"Frontiers in Endocrinology","DOI":"10.3389/fendo.2019.00469","ISSN":"1664-2392","journalAbbreviation":"Front Endocrinol (Lausanne)","page":"469","PMID":"31354632","PMCID":"PMC6639853","source":"PubMed Central","title":"Deciphering Direct and Indirect Effects of Neurokinin B and GnRH in the Brain-Pituitary Axis of Tilapia","volume":"10","author":[{"family":"Mizrahi","given":"Naama"},{"family":"Gilon","given":"Chaim"},{"family":"Atre","given":"Ishwar"},{"family":"Ogawa","given":"Satoshi"},{"family":"Parhar","given":"Ishwar S."},{"family":"Levavi-Sivan","given":"Berta"}],"issued":{"date-parts":[["2019",7,12]]}}},{"id":6350,"uris":["http://zotero.org/users/11313215/items/KGG4YTRQ"],"itemData":{"id":6350,"type":"article-journal","abstract":"In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id":6352,"uris":["http://zotero.org/users/11313215/items/CFRWVNG9"],"itemData":{"id":6352,"type":"article-journal","abstract":"The neurokinin B (NKB) system acts as a crucial modulator in the regulation of reproduction and feeding in mammals, however limited information is available in teleosts regarding its potential role in reproductive functions. Herein, we have identified its encoding gene, namely tachykinin 3 (tac3), in the yellowtail kingfish. The full-length tac3 cDNA sequence was 372 bp in size and encoded a 123-aa preprohormone, including two mature peptides, NKB and NKF. Tissue distribution analysis showed that tac3 was primarily expressed in the intestine of yellowtail kingfish. During embryonic development, the highest mRNA levels of tac3 were observed at stage 4 (16-cell) and stage 14 (newly-hatched larva). The peak of tac3 transcript levels was also noticed at 30 days post-hatching during early ontogeny. The physiological effects of NKB and NKF on expression of brain and pituitary genes along with plasma hormones levels were further analyzed by intraperitoneal injection. NKB exerted a stimulatory effect on gnrh1, gnrh2, gnih, and kiss2r mRNA levels, but suppressed kiss1r, gnihr, gal, gh, lhβ, and fshβ mRNA levels. An evident increase was observed on transcript levels of gnrh1, gnrh2, kiss1, kiss2, gnih, and gnihr after NKF treatment, whereas kiss1r, kiss2r, gh, lhβ, and fshβ mRNA levels were down-regulated. Moreover, NKF, but not NKB, reduced serum estradiol levels, and both of these two peptides suppressed serum 11-keto testosterone levels. Taken together, our results provide preliminary evidence that the NKB system participates in the control of reproduction in yellowtail kingfish via acting on brain, pituitary and gonadal hormones.","container-title":"Aquaculture Reports","DOI":"10.1016/j.aqrep.2024.102167","ISSN":"2352-5134","journalAbbreviation":"Aquaculture Reports","page":"102167","source":"ScienceDirect","title":"Neurokinin B in the yellowtail kingfish (&lt;i&gt;Seriola lalandi&lt;/i&gt;) and its potential role in controlling reproduction","volume":"36","author":[{"family":"Tian","given":"Zhenfang"},{"family":"Yu","given":"Zhihua"},{"family":"Xu","given":"Yongjiang"},{"family":"Cui","given":"Aijun"},{"family":"Jiang","given":"Yan"},{"family":"Wang","given":"Bin"}],"issued":{"date-parts":[["2024",6,1]]}}},{"id":6355,"uris":["http://zotero.org/users/11313215/items/C9WSQG4B"],"itemData":{"id":6355,"type":"article-journal","abstract":"This review highlights the recent developments regarding neuroendocrine mechanisms controlling teleost reproduction. In teleosts, the pituitary gland receives major neuronal innervations from Gnrh neurons as well as minor innervations from small population of neurons that will secrete neurotransmitters and/or neuropeptides. The diversity of Kiss/Kissr system in various teleost species and their actions in the context of HPG axis and reproduction has been extensively covered. In teleost model systems, zebrafish and medaka, mutant lines for key components of the HPG axis have been generated through targeted mutagenesis but surprisingly most of the mutants developed normally without major defects in reproduction; these mutant phenotypes are described. In the last decade, complex role of diverse neuropeptides in teleost reproduction is being revealed. A brief overview about the reproductive functions of neuropeptides is presented. Finally, the effects of environmental factors namely photoperiodism and temperature on the functions of HPG axis is summarised.","collection-title":"Neuroendocrine facets of behavior and toxicology","container-title":"Aquaculture and Fisheries","DOI":"10.1016/j.aaf.2023.09.001","ISSN":"2468-550X","issue":"3","journalAbbreviation":"Aquaculture and Fisheries","page":"437-446","source":"ScienceDirect","title":"Neuroendocrine regulation of reproduction in fish – Mini review","volume":"9","author":[{"family":"Santhakumar","given":"Kirankumar"}],"issued":{"date-parts":[["2024",5,1]]}}},{"id":3702,"uris":["http://zotero.org/users/11313215/items/P2XAW2FJ"],"itemData":{"id":3702,"type":"article-journal","abstract":"Female-to-male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instrText>
      </w:r>
      <w:r w:rsidR="0066495D" w:rsidRPr="007A682B">
        <w:rPr>
          <w:rFonts w:ascii="Arial" w:hAnsi="Arial" w:cs="Arial"/>
          <w:sz w:val="20"/>
          <w:szCs w:val="20"/>
        </w:rPr>
        <w:fldChar w:fldCharType="separate"/>
      </w:r>
      <w:r w:rsidR="0066495D" w:rsidRPr="007A682B">
        <w:rPr>
          <w:rFonts w:ascii="Arial" w:hAnsi="Arial" w:cs="Arial"/>
          <w:sz w:val="20"/>
          <w:szCs w:val="20"/>
        </w:rPr>
        <w:fldChar w:fldCharType="end"/>
      </w:r>
      <w:r w:rsidR="0066495D" w:rsidRPr="007A682B">
        <w:rPr>
          <w:rFonts w:ascii="Arial" w:hAnsi="Arial" w:cs="Arial"/>
          <w:i/>
          <w:iCs/>
          <w:sz w:val="20"/>
          <w:szCs w:val="20"/>
        </w:rPr>
        <w:t xml:space="preserve"> </w:t>
      </w:r>
      <w:r w:rsidR="0066495D" w:rsidRPr="007A682B">
        <w:rPr>
          <w:rFonts w:ascii="Arial" w:hAnsi="Arial" w:cs="Arial"/>
          <w:sz w:val="20"/>
          <w:szCs w:val="20"/>
        </w:rPr>
        <w:t xml:space="preserve">Conversely, dopamine is known to inhibit LH release </w:t>
      </w:r>
      <w:r w:rsidR="0066495D" w:rsidRPr="007A682B">
        <w:rPr>
          <w:rFonts w:ascii="Arial" w:hAnsi="Arial" w:cs="Arial"/>
          <w:sz w:val="20"/>
          <w:szCs w:val="20"/>
        </w:rPr>
        <w:fldChar w:fldCharType="begin"/>
      </w:r>
      <w:r w:rsidR="00704475" w:rsidRPr="007A682B">
        <w:rPr>
          <w:rFonts w:ascii="Arial" w:hAnsi="Arial" w:cs="Arial"/>
          <w:sz w:val="20"/>
          <w:szCs w:val="20"/>
        </w:rPr>
        <w:instrText xml:space="preserve"> ADDIN ZOTERO_ITEM CSL_CITATION {"citationID":"1tpKhXJD","properties":{"unsorted":false,"formattedCitation":"(34)","plainCitation":"(34)","noteIndex":0},"citationItems":[{"id":6345,"uris":["http://zotero.org/users/11313215/items/3PT68SU6"],"itemData":{"id":6345,"type":"article-journal","abstract":"During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704475" w:rsidRPr="007A682B">
        <w:rPr>
          <w:rFonts w:ascii="Cambria Math" w:hAnsi="Cambria Math" w:cs="Cambria Math"/>
          <w:sz w:val="20"/>
          <w:szCs w:val="20"/>
        </w:rPr>
        <w:instrText>∼</w:instrText>
      </w:r>
      <w:r w:rsidR="00704475" w:rsidRPr="007A682B">
        <w:rPr>
          <w:rFonts w:ascii="Arial" w:hAnsi="Arial" w:cs="Arial"/>
          <w:sz w:val="20"/>
          <w:szCs w:val="20"/>
        </w:rPr>
        <w:instrText xml:space="preserve">20 stimulatory and </w:instrText>
      </w:r>
      <w:r w:rsidR="00704475" w:rsidRPr="007A682B">
        <w:rPr>
          <w:rFonts w:ascii="Cambria Math" w:hAnsi="Cambria Math" w:cs="Cambria Math"/>
          <w:sz w:val="20"/>
          <w:szCs w:val="20"/>
        </w:rPr>
        <w:instrText>∼</w:instrText>
      </w:r>
      <w:r w:rsidR="00704475" w:rsidRPr="007A682B">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L."}],"issued":{"date-parts":[["2022",2,15]]}}}],"schema":"https://github.com/citation-style-language/schema/raw/master/csl-citation.json"} </w:instrText>
      </w:r>
      <w:r w:rsidR="0066495D" w:rsidRPr="007A682B">
        <w:rPr>
          <w:rFonts w:ascii="Arial" w:hAnsi="Arial" w:cs="Arial"/>
          <w:sz w:val="20"/>
          <w:szCs w:val="20"/>
        </w:rPr>
        <w:fldChar w:fldCharType="separate"/>
      </w:r>
      <w:r w:rsidR="00704475" w:rsidRPr="007A682B">
        <w:rPr>
          <w:rFonts w:ascii="Arial" w:hAnsi="Arial" w:cs="Arial"/>
          <w:noProof/>
          <w:sz w:val="20"/>
          <w:szCs w:val="20"/>
        </w:rPr>
        <w:t>(34)</w:t>
      </w:r>
      <w:r w:rsidR="0066495D" w:rsidRPr="007A682B">
        <w:rPr>
          <w:rFonts w:ascii="Arial" w:hAnsi="Arial" w:cs="Arial"/>
          <w:sz w:val="20"/>
          <w:szCs w:val="20"/>
        </w:rPr>
        <w:fldChar w:fldCharType="end"/>
      </w:r>
      <w:r w:rsidR="0066495D" w:rsidRPr="007A682B">
        <w:rPr>
          <w:rFonts w:ascii="Arial" w:hAnsi="Arial" w:cs="Arial"/>
          <w:sz w:val="20"/>
          <w:szCs w:val="20"/>
        </w:rPr>
        <w:t xml:space="preserve">. We saw significant reductions in </w:t>
      </w:r>
      <w:r w:rsidR="0066495D" w:rsidRPr="007A682B">
        <w:rPr>
          <w:rFonts w:ascii="Arial" w:hAnsi="Arial" w:cs="Arial"/>
          <w:i/>
          <w:iCs/>
          <w:sz w:val="20"/>
          <w:szCs w:val="20"/>
        </w:rPr>
        <w:t xml:space="preserve">npy7r, nmbr, </w:t>
      </w:r>
      <w:r w:rsidR="0066495D" w:rsidRPr="007A682B">
        <w:rPr>
          <w:rFonts w:ascii="Arial" w:hAnsi="Arial" w:cs="Arial"/>
          <w:sz w:val="20"/>
          <w:szCs w:val="20"/>
        </w:rPr>
        <w:t xml:space="preserve">and </w:t>
      </w:r>
      <w:r w:rsidR="0066495D" w:rsidRPr="007A682B">
        <w:rPr>
          <w:rFonts w:ascii="Arial" w:hAnsi="Arial" w:cs="Arial"/>
          <w:i/>
          <w:iCs/>
          <w:sz w:val="20"/>
          <w:szCs w:val="20"/>
        </w:rPr>
        <w:t xml:space="preserve">tacr3a, </w:t>
      </w:r>
      <w:r w:rsidR="0066495D" w:rsidRPr="007A682B">
        <w:rPr>
          <w:rFonts w:ascii="Arial" w:hAnsi="Arial" w:cs="Arial"/>
          <w:sz w:val="20"/>
          <w:szCs w:val="20"/>
        </w:rPr>
        <w:t xml:space="preserve">and a significant increase in </w:t>
      </w:r>
      <w:r w:rsidR="0066495D" w:rsidRPr="007A682B">
        <w:rPr>
          <w:rFonts w:ascii="Arial" w:hAnsi="Arial" w:cs="Arial"/>
          <w:i/>
          <w:iCs/>
          <w:sz w:val="20"/>
          <w:szCs w:val="20"/>
        </w:rPr>
        <w:t xml:space="preserve">drd3 </w:t>
      </w:r>
      <w:r w:rsidR="0066495D" w:rsidRPr="007A682B">
        <w:rPr>
          <w:rFonts w:ascii="Arial" w:hAnsi="Arial" w:cs="Arial"/>
          <w:sz w:val="20"/>
          <w:szCs w:val="20"/>
        </w:rPr>
        <w:t xml:space="preserve">in 6_POA_Mixed. </w:t>
      </w:r>
    </w:p>
    <w:p w14:paraId="38EFFD9D" w14:textId="74B29B97" w:rsidR="0066495D" w:rsidRPr="007A682B" w:rsidRDefault="001960C6" w:rsidP="00675A71">
      <w:pPr>
        <w:ind w:firstLine="720"/>
        <w:rPr>
          <w:rFonts w:ascii="Arial" w:hAnsi="Arial" w:cs="Arial"/>
          <w:sz w:val="20"/>
          <w:szCs w:val="20"/>
        </w:rPr>
      </w:pPr>
      <w:r w:rsidRPr="007A682B">
        <w:rPr>
          <w:rFonts w:ascii="Arial" w:hAnsi="Arial" w:cs="Arial"/>
          <w:sz w:val="20"/>
          <w:szCs w:val="20"/>
        </w:rPr>
        <w:t>Our model of</w:t>
      </w:r>
      <w:r w:rsidR="00F653BE" w:rsidRPr="007A682B">
        <w:rPr>
          <w:rFonts w:ascii="Arial" w:hAnsi="Arial" w:cs="Arial"/>
          <w:sz w:val="20"/>
          <w:szCs w:val="20"/>
        </w:rPr>
        <w:t xml:space="preserve"> changes in the POA driving</w:t>
      </w:r>
      <w:r w:rsidRPr="007A682B">
        <w:rPr>
          <w:rFonts w:ascii="Arial" w:hAnsi="Arial" w:cs="Arial"/>
          <w:sz w:val="20"/>
          <w:szCs w:val="20"/>
        </w:rPr>
        <w:t xml:space="preserve"> </w:t>
      </w:r>
      <w:r w:rsidR="009C1A9D" w:rsidRPr="007A682B">
        <w:rPr>
          <w:rFonts w:ascii="Arial" w:hAnsi="Arial" w:cs="Arial"/>
          <w:sz w:val="20"/>
          <w:szCs w:val="20"/>
        </w:rPr>
        <w:t>a hypothesized decrease in</w:t>
      </w:r>
      <w:r w:rsidRPr="007A682B">
        <w:rPr>
          <w:rFonts w:ascii="Arial" w:hAnsi="Arial" w:cs="Arial"/>
          <w:sz w:val="20"/>
          <w:szCs w:val="20"/>
        </w:rPr>
        <w:t xml:space="preserve"> LH production and </w:t>
      </w:r>
      <w:r w:rsidR="009C1A9D" w:rsidRPr="007A682B">
        <w:rPr>
          <w:rFonts w:ascii="Arial" w:hAnsi="Arial" w:cs="Arial"/>
          <w:sz w:val="20"/>
          <w:szCs w:val="20"/>
        </w:rPr>
        <w:t>increase in</w:t>
      </w:r>
      <w:r w:rsidRPr="007A682B">
        <w:rPr>
          <w:rFonts w:ascii="Arial" w:hAnsi="Arial" w:cs="Arial"/>
          <w:sz w:val="20"/>
          <w:szCs w:val="20"/>
        </w:rPr>
        <w:t xml:space="preserve"> FSH production is consistent with other models of sex change and sex determination. </w:t>
      </w:r>
      <w:r w:rsidR="00040572" w:rsidRPr="007A682B">
        <w:rPr>
          <w:rFonts w:ascii="Arial" w:hAnsi="Arial" w:cs="Arial"/>
          <w:sz w:val="20"/>
          <w:szCs w:val="20"/>
        </w:rPr>
        <w:t>I</w:t>
      </w:r>
      <w:r w:rsidR="00527BCA" w:rsidRPr="007A682B">
        <w:rPr>
          <w:rFonts w:ascii="Arial" w:hAnsi="Arial" w:cs="Arial"/>
          <w:sz w:val="20"/>
          <w:szCs w:val="20"/>
        </w:rPr>
        <w:t>n the protogynous tiger grouper (</w:t>
      </w:r>
      <w:r w:rsidR="00527BCA" w:rsidRPr="007A682B">
        <w:rPr>
          <w:rFonts w:ascii="Arial" w:hAnsi="Arial" w:cs="Arial"/>
          <w:i/>
          <w:iCs/>
          <w:sz w:val="20"/>
          <w:szCs w:val="20"/>
        </w:rPr>
        <w:t>Mycteroperca tigris</w:t>
      </w:r>
      <w:r w:rsidR="00527BCA" w:rsidRPr="007A682B">
        <w:rPr>
          <w:rFonts w:ascii="Arial" w:hAnsi="Arial" w:cs="Arial"/>
          <w:sz w:val="20"/>
          <w:szCs w:val="20"/>
        </w:rPr>
        <w:t xml:space="preserve">) FSH administration induces ovarian development </w:t>
      </w:r>
      <w:r w:rsidR="00527BCA" w:rsidRPr="007A682B">
        <w:rPr>
          <w:rFonts w:ascii="Arial" w:hAnsi="Arial" w:cs="Arial"/>
          <w:sz w:val="20"/>
          <w:szCs w:val="20"/>
        </w:rPr>
        <w:fldChar w:fldCharType="begin"/>
      </w:r>
      <w:r w:rsidR="00527BCA" w:rsidRPr="007A682B">
        <w:rPr>
          <w:rFonts w:ascii="Arial" w:hAnsi="Arial" w:cs="Arial"/>
          <w:sz w:val="20"/>
          <w:szCs w:val="20"/>
        </w:rPr>
        <w:instrText xml:space="preserve"> ADDIN ZOTERO_ITEM CSL_CITATION {"citationID":"8Pqqzngs","properties":{"unsorted":false,"formattedCitation":"(49)","plainCitation":"(49)","noteIndex":0},"citationItems":[{"id":6650,"uris":["http://zotero.org/users/11313215/items/9PYLHCVC"],"itemData":{"id":6650,"type":"article-journal","abstract":"The availability of sexually mature fish often dictates the success of its captive breeding. In this study, we induced reproductive development in juvenile protogynous tiger grouper through oral administration of a plasmid (p) containing an engineered follicle-stimulating hormone (FSH). An expression construct (pcDNA3.1) was designed to express a single-chain FSH consisting of giant grouper FSH β-subunit and glycoprotein subunit-α (CGα), linked by the carboxy-terminal peptide (CTP) sequence from the human chorionic gonadotropin (hCG). Single oral delivery of pFSH encapsulated in liposome and chitosan to tiger grouper yielded a significant increase in plasma FSH protein level after 4 days. Weekly pFSH feeding of juvenile tiger groupers for 8 weeks stimulated ovarian development as indicated by a significant increase in oocyte diameter and progression of oocytes to cortical alveolar stage. As the pFSH treatment progressed from 20 to 38 weeks, female to male sex change was initiated, characterized by oocyte regression, proliferation of spermatogonial cells, and occurrence of spermatogenic cysts. It was also associated with significantly lower mRNA expression of steroidogenic genes (cyp11b, cyp19a1a, and foxl2) and basal plasma levels of sex steroid hormones 17β-estradiol (E2), testosterone (T), and 11-ketotestosterone (11KT). Results suggest that pFSH stimulates ovarian development up to cortical alveolar stage and then initiates sex change in tiger grouper. These findings significantly contribute to our knowledge on the role of FSH in the development of protogynous hermaphroditic fish. This study is the first to demonstrate induction of reproductive development in fish through oral delivery of plasmid gonadotropin.","container-title":"Marine Biotechnology","DOI":"10.1007/s10126-019-09914-w","ISSN":"1436-2236","issue":"5","journalAbbreviation":"Mar Biotechnol","language":"en","page":"697-706","source":"Springer Link","title":"Induction of Gonadal Development in Protogynous Grouper with Orally Delivered FSH DNA","volume":"21","author":[{"family":"Palma","given":"Peter"},{"family":"Nocillado","given":"Josephine"},{"family":"Superio","given":"Joshua"},{"family":"Jesus-Ayson","given":"Evelyn Grace","non-dropping-particle":"de"},{"family":"Ayson","given":"Felix"},{"family":"Takemura","given":"Akihiro"},{"family":"Lu","given":"Ming Wei"},{"family":"Elizur","given":"Abigail"}],"issued":{"date-parts":[["2019",10,1]]}}}],"schema":"https://github.com/citation-style-language/schema/raw/master/csl-citation.json"} </w:instrText>
      </w:r>
      <w:r w:rsidR="00527BCA" w:rsidRPr="007A682B">
        <w:rPr>
          <w:rFonts w:ascii="Arial" w:hAnsi="Arial" w:cs="Arial"/>
          <w:sz w:val="20"/>
          <w:szCs w:val="20"/>
        </w:rPr>
        <w:fldChar w:fldCharType="separate"/>
      </w:r>
      <w:r w:rsidR="00527BCA" w:rsidRPr="007A682B">
        <w:rPr>
          <w:rFonts w:ascii="Arial" w:hAnsi="Arial" w:cs="Arial"/>
          <w:noProof/>
          <w:sz w:val="20"/>
          <w:szCs w:val="20"/>
        </w:rPr>
        <w:t>(49)</w:t>
      </w:r>
      <w:r w:rsidR="00527BCA" w:rsidRPr="007A682B">
        <w:rPr>
          <w:rFonts w:ascii="Arial" w:hAnsi="Arial" w:cs="Arial"/>
          <w:sz w:val="20"/>
          <w:szCs w:val="20"/>
        </w:rPr>
        <w:fldChar w:fldCharType="end"/>
      </w:r>
      <w:r w:rsidR="00527BCA" w:rsidRPr="007A682B">
        <w:rPr>
          <w:rFonts w:ascii="Arial" w:hAnsi="Arial" w:cs="Arial"/>
          <w:sz w:val="20"/>
          <w:szCs w:val="20"/>
        </w:rPr>
        <w:t xml:space="preserve"> </w:t>
      </w:r>
      <w:r w:rsidRPr="007A682B">
        <w:rPr>
          <w:rFonts w:ascii="Arial" w:hAnsi="Arial" w:cs="Arial"/>
          <w:sz w:val="20"/>
          <w:szCs w:val="20"/>
        </w:rPr>
        <w:t>. Similarly in gonochoristic species like zebrafish and medaka (</w:t>
      </w:r>
      <w:r w:rsidRPr="007A682B">
        <w:rPr>
          <w:rFonts w:ascii="Arial" w:hAnsi="Arial" w:cs="Arial"/>
          <w:i/>
          <w:iCs/>
          <w:sz w:val="20"/>
          <w:szCs w:val="20"/>
        </w:rPr>
        <w:t>Oryzias latipes</w:t>
      </w:r>
      <w:r w:rsidRPr="007A682B">
        <w:rPr>
          <w:rFonts w:ascii="Arial" w:hAnsi="Arial" w:cs="Arial"/>
          <w:sz w:val="20"/>
          <w:szCs w:val="20"/>
        </w:rPr>
        <w:t xml:space="preserve">), </w:t>
      </w:r>
      <w:r w:rsidR="008C3B03" w:rsidRPr="007A682B">
        <w:rPr>
          <w:rFonts w:ascii="Arial" w:hAnsi="Arial" w:cs="Arial"/>
          <w:sz w:val="20"/>
          <w:szCs w:val="20"/>
        </w:rPr>
        <w:t xml:space="preserve">individuals deficient in FSH receptor do not develop ovaries, and FSH receptor knockout results in female-to-male sex reversal </w:t>
      </w:r>
      <w:r w:rsidR="008C3B03" w:rsidRPr="007A682B">
        <w:rPr>
          <w:rFonts w:ascii="Arial" w:hAnsi="Arial" w:cs="Arial"/>
          <w:sz w:val="20"/>
          <w:szCs w:val="20"/>
        </w:rPr>
        <w:fldChar w:fldCharType="begin"/>
      </w:r>
      <w:r w:rsidR="00527BCA" w:rsidRPr="007A682B">
        <w:rPr>
          <w:rFonts w:ascii="Arial" w:hAnsi="Arial" w:cs="Arial"/>
          <w:sz w:val="20"/>
          <w:szCs w:val="20"/>
        </w:rPr>
        <w:instrText xml:space="preserve"> ADDIN ZOTERO_ITEM CSL_CITATION {"citationID":"Cj8Yhg3S","properties":{"unsorted":false,"formattedCitation":"(50, 51)","plainCitation":"(50, 51)","noteIndex":0},"citationItems":[{"id":6644,"uris":["http://zotero.org/users/11313215/items/KXTFEG6W"],"itemData":{"id":6644,"type":"article-journal","abstract":"FSH, a glycoprotein hormone, is circulated from the pituitary and functions by binding to a specific FSH receptor (FSHR). FSHR is a G protein-coupled, seven-transmembrane receptor linked to the adenylyl cyclase or other pathways and is expressed in gonadal somatic cells. In some nonmammalian species, fshr expression is much higher in the ovary than in the testis during gonadal sex differentiation, suggesting that FSHR is involved in ovarian development in nonmammalian vertebrates. However, little is known of FSHR knockout phenotypes in these species. Here we screened for fshr mutations by a medaka (Oryzias latipes) target-induced local lesion in the genomes and identified one nonsense mutation located in the BXXBB motif, which is involved in G protein activation. Next, we used an in vitro reporter gene assay to demonstrate that this mutation prevents FSHR function. We then analyzed the phenotypes of fshr mutant medaka. The fshr mutant male medaka displayed normal testes and were fertile, whereas the mutant female fish displayed small ovaries and were infertile because vitellogenesis was inhibited. The mutant females also have suppressed expression of ovary-type aromatase (cyp19a1a), a steroidogenic enzyme responsible for the conversion of androgens to estrogens, resulting in decreased 17β-estradiol levels. Moreover, loss of FSHR function caused female-to-male sex reversal in some cases. In addition, the transgenic overexpression of fshr in fshr mutants rescued FSHR function. These findings strongly suggest that in the medaka, FSH regulates the ovarian development and the maintenance mainly by the elevation of estrogen levels. We present the first FSHR knockout phenotype in a nonmammalian species.","container-title":"Endocrinology","DOI":"10.1210/en.2013-2060","ISSN":"0013-7227","issue":"8","journalAbbreviation":"Endocrinology","page":"3136-3145","source":"Silverchair","title":"Loss of Follicle-Stimulating Hormone Receptor Function Causes Masculinization and Suppression of Ovarian Development in Genetically Female Medaka","volume":"155","author":[{"family":"Murozumi","given":"Norikazu"},{"family":"Nakashima","given":"Ryo"},{"family":"Hirai","given":"Toshiaki"},{"family":"Kamei","given":"Yasuhiro"},{"family":"Ishikawa-Fujiwara","given":"Tomoko"},{"family":"Todo","given":"Takeshi"},{"family":"Kitano","given":"Takeshi"}],"issued":{"date-parts":[["2014",8,1]]}}},{"id":6647,"uris":["http://zotero.org/users/11313215/items/32RKHC5T"],"itemData":{"id":6647,"type":"article-journal","abstract":"Using the transcription activator-like effectors nucleases-mediated gene knockout technology, we have previously demonstrated that LH signaling is required for oocyte maturation and ovulation but is dispensable for testis development in zebrafish. Here, we have further established the fshb and fshr knockout zebrafish lines. In females, fshb mutant is subfertile, whereas fshr mutant is infertile. Folliculogenesis is partially affected in the fshb mutant but is completely arrested at the primary growth stage in the fshr mutant. In males, fshb and fshr mutant are fertile. The fertilization rate and histological structure of the testis is not affected. However, double knockout of fshb;lhb or fshr;lhr leads to all infertile male offspring. The key steroid hormones and steroidogenic genes are dramatically decreased in double knockout mutant (fshb;lhb and fshr;lhr) but not in single knockout mutant (fshb, lhb, fshr, and lhr) males. Furthermore, we have also demonstrated the constitutive activities of both FSH receptor (FSHR) and LH receptor in zebrafish and the compensatory role of LH by cross-reacting with FSHR in the fshb;lhr double mutant, thus explaining the phenotypic discrepancy observed among the ligand/receptor mutant lines. Taken together, our data established the following models on the roles of gonadotropin signaling in zebrafish gonad development. In females, FSH signaling is mainly responsible for promoting follicular growth, whereas LH signaling is mainly responsible for stimulating oocyte maturation and ovulation. In males, the functions of FSH and LH signaling overlap, and only disruption of both FSH and LH signaling could lead to the infertile phenotype. In the absence of FSH, LH could play a compensatory role by cross-reacting with FSHR in both male and female.","container-title":"Molecular Endocrinology","DOI":"10.1210/me.2015-1126","ISSN":"0888-8809","issue":"12","journalAbbreviation":"Mol Endocrinol","page":"1743-1758","source":"Silverchair","title":"Gonadotropin Signaling in Zebrafish Ovary and Testis Development: Insights From Gene Knockout Study","title-short":"Gonadotropin Signaling in Zebrafish Ovary and Testis Development","volume":"29","author":[{"family":"Chu","given":"Lianhe"},{"family":"Li","given":"Jianzhen"},{"family":"Liu","given":"Yun"},{"family":"Cheng","given":"Christopher H. K."}],"issued":{"date-parts":[["2015",12,1]]}}}],"schema":"https://github.com/citation-style-language/schema/raw/master/csl-citation.json"} </w:instrText>
      </w:r>
      <w:r w:rsidR="008C3B03" w:rsidRPr="007A682B">
        <w:rPr>
          <w:rFonts w:ascii="Arial" w:hAnsi="Arial" w:cs="Arial"/>
          <w:sz w:val="20"/>
          <w:szCs w:val="20"/>
        </w:rPr>
        <w:fldChar w:fldCharType="separate"/>
      </w:r>
      <w:r w:rsidR="00527BCA" w:rsidRPr="007A682B">
        <w:rPr>
          <w:rFonts w:ascii="Arial" w:hAnsi="Arial" w:cs="Arial"/>
          <w:kern w:val="0"/>
          <w:sz w:val="20"/>
          <w:szCs w:val="24"/>
        </w:rPr>
        <w:t>(50, 51)</w:t>
      </w:r>
      <w:r w:rsidR="008C3B03" w:rsidRPr="007A682B">
        <w:rPr>
          <w:rFonts w:ascii="Arial" w:hAnsi="Arial" w:cs="Arial"/>
          <w:sz w:val="20"/>
          <w:szCs w:val="20"/>
        </w:rPr>
        <w:fldChar w:fldCharType="end"/>
      </w:r>
      <w:r w:rsidRPr="007A682B">
        <w:rPr>
          <w:rFonts w:ascii="Arial" w:hAnsi="Arial" w:cs="Arial"/>
          <w:sz w:val="20"/>
          <w:szCs w:val="20"/>
        </w:rPr>
        <w:t>.</w:t>
      </w:r>
      <w:r w:rsidR="002A568F" w:rsidRPr="007A682B">
        <w:rPr>
          <w:rFonts w:ascii="Arial" w:hAnsi="Arial" w:cs="Arial"/>
          <w:sz w:val="20"/>
          <w:szCs w:val="20"/>
        </w:rPr>
        <w:t xml:space="preserve"> Likewise with LH, it has been shown that in the</w:t>
      </w:r>
      <w:r w:rsidR="00F653BE" w:rsidRPr="007A682B">
        <w:rPr>
          <w:rFonts w:ascii="Arial" w:hAnsi="Arial" w:cs="Arial"/>
          <w:sz w:val="20"/>
          <w:szCs w:val="20"/>
        </w:rPr>
        <w:t xml:space="preserve"> protogynous bluehead wrasse (</w:t>
      </w:r>
      <w:r w:rsidR="00F653BE" w:rsidRPr="007A682B">
        <w:rPr>
          <w:rFonts w:ascii="Arial" w:hAnsi="Arial" w:cs="Arial"/>
          <w:i/>
          <w:iCs/>
          <w:sz w:val="20"/>
          <w:szCs w:val="20"/>
        </w:rPr>
        <w:t>Thalassoma bifasciatum)</w:t>
      </w:r>
      <w:r w:rsidR="00F653BE" w:rsidRPr="007A682B">
        <w:rPr>
          <w:rFonts w:ascii="Arial" w:hAnsi="Arial" w:cs="Arial"/>
          <w:sz w:val="20"/>
          <w:szCs w:val="20"/>
        </w:rPr>
        <w:t xml:space="preserve"> and </w:t>
      </w:r>
      <w:r w:rsidR="00F653BE" w:rsidRPr="007A682B">
        <w:rPr>
          <w:rFonts w:ascii="Arial" w:hAnsi="Arial" w:cs="Arial"/>
          <w:i/>
          <w:iCs/>
          <w:sz w:val="20"/>
          <w:szCs w:val="20"/>
        </w:rPr>
        <w:t>Coris julis</w:t>
      </w:r>
      <w:r w:rsidR="00F653BE" w:rsidRPr="007A682B">
        <w:rPr>
          <w:rFonts w:ascii="Arial" w:hAnsi="Arial" w:cs="Arial"/>
          <w:sz w:val="20"/>
          <w:szCs w:val="20"/>
        </w:rPr>
        <w:t>, administration of human chorionic gonadotropin, an analog of LH, induce</w:t>
      </w:r>
      <w:r w:rsidR="002A568F" w:rsidRPr="007A682B">
        <w:rPr>
          <w:rFonts w:ascii="Arial" w:hAnsi="Arial" w:cs="Arial"/>
          <w:sz w:val="20"/>
          <w:szCs w:val="20"/>
        </w:rPr>
        <w:t>s</w:t>
      </w:r>
      <w:r w:rsidR="00F653BE" w:rsidRPr="007A682B">
        <w:rPr>
          <w:rFonts w:ascii="Arial" w:hAnsi="Arial" w:cs="Arial"/>
          <w:sz w:val="20"/>
          <w:szCs w:val="20"/>
        </w:rPr>
        <w:t xml:space="preserve"> gonadal sex change </w:t>
      </w:r>
      <w:r w:rsidR="00F653BE" w:rsidRPr="007A682B">
        <w:rPr>
          <w:rFonts w:ascii="Arial" w:hAnsi="Arial" w:cs="Arial"/>
          <w:sz w:val="20"/>
          <w:szCs w:val="20"/>
        </w:rPr>
        <w:fldChar w:fldCharType="begin"/>
      </w:r>
      <w:r w:rsidR="009613F6" w:rsidRPr="007A682B">
        <w:rPr>
          <w:rFonts w:ascii="Arial" w:hAnsi="Arial" w:cs="Arial"/>
          <w:sz w:val="20"/>
          <w:szCs w:val="20"/>
        </w:rPr>
        <w:instrText xml:space="preserve"> ADDIN ZOTERO_ITEM CSL_CITATION {"citationID":"APDjg0EA","properties":{"unsorted":false,"formattedCitation":"(52, 53)","plainCitation":"(52, 53)","noteIndex":0},"citationItems":[{"id":6655,"uris":["http://zotero.org/users/11313215/items/QE37E4QC"],"itemData":{"id":6655,"type":"article-journal","abstract":"Female to male successive hermaphroditism (protogyny) is common in several groups of marine fish. Thalassoma bifasciatum, the bluehead wrasse (Labridae), found in the reefs of the Caribbean normally undergoes sex reversal after receiving behavioral cues. This report deals with the successful use of human chorionic gonadotropin (hCG) in inducing gonad reversal in this species. Eighty percent (n = 40) of the treated fish showed signs of reversal in 1–6 weeks; only 11% (n = 54) of the control (nontreated) group showed signs of reversal during the same period. The number of fish undergoing reversal increased with the length of the treatment period, 55% after 1 week, 100% after 6 weeks. A bluehead color pattern, typical of the terminal male phase, also appeared more frequently in the longer treated groups. To determine the efficacy of hCG in inducing gonad reversal, morphological criteria for reversal had to be established. For the majority of treated fish, the presence of both spermatogenic cysts and degenerating oocytes was sufficient to label these gonads unambiguously as undergoing reversal. However, at the extremes of this process, i.e., onset (early) and endpoint (late) stages, ambiguity could arise in identifying a gonad as undergoing reversal, and, therefore, key criteria were established for these stages. In our hands, the most consistent and reliable criterion for the early stage reversal was appearance of male germ line cells, clusters of “spermatogonial-like” cells. For the late stage, recognizable remnants of late-state oocytes had to be present. Some details of the histological changes that occur during early, middle, and late stages of reversal are also described. It is suggested that these results with hCG shed new light on the endocrine control of gonad reversal in T. bifasciatum.","container-title":"Journal of Experimental Zoology","DOI":"10.1002/jez.1402520207","ISSN":"1097-010X","issue":"2","language":"en","license":"Copyright © 1989 Wiley-Liss, Inc., A Wiley Company","page":"156-168","source":"Wiley Online Library","title":"Human chorionic gonadotropin (hCG) induces gonad reversal in a protogynous fish, the bluehead wrasse, Thalassoma bifasciatum (teleostei, labridae)","volume":"252","author":[{"family":"Koulish","given":"S."},{"family":"Kramer","given":"C. R."}],"issued":{"date-parts":[["1989"]]}}},{"id":6658,"uris":["http://zotero.org/users/11313215/items/GT4X4AKN"],"itemData":{"id":6658,"type":"article-journal","abstract":"In the protogynous diandric teleost Coris julis, sex inversion can be induced by injection of human chorionic gonadotropin (hCG). The histological changes of the gonad are accompanied by a transformation of the female livery to that of secondary males. At the ultrastructural level, the presence of intragonadal primordial germ cells in spermatogonial nests and within the newly forming seminiferous lobules is shown. Leydig cells and granulocytes appear in the inverting gonads. The results support the assumption that gonadotropic hormone has a key role in protogynous sex change.","container-title":"Journal of Fish Biology","DOI":"10.1111/j.1095-8649.1997.tb01995.x","ISSN":"1095-8649","issue":"4","language":"en","page":"738-749","source":"Wiley Online Library","title":"Histological and ultrastructural studies on the effects of hCG on sex inversion in the protogynous teleost Coris julis","volume":"51","author":[{"family":"Reinboth","given":"R."},{"family":"Bnrusle-Sicard","given":"S."}],"issued":{"date-parts":[["1997"]]}}}],"schema":"https://github.com/citation-style-language/schema/raw/master/csl-citation.json"} </w:instrText>
      </w:r>
      <w:r w:rsidR="00F653BE" w:rsidRPr="007A682B">
        <w:rPr>
          <w:rFonts w:ascii="Arial" w:hAnsi="Arial" w:cs="Arial"/>
          <w:sz w:val="20"/>
          <w:szCs w:val="20"/>
        </w:rPr>
        <w:fldChar w:fldCharType="separate"/>
      </w:r>
      <w:r w:rsidR="009613F6" w:rsidRPr="007A682B">
        <w:rPr>
          <w:rFonts w:ascii="Arial" w:hAnsi="Arial" w:cs="Arial"/>
          <w:noProof/>
          <w:sz w:val="20"/>
          <w:szCs w:val="20"/>
        </w:rPr>
        <w:t>(52, 53)</w:t>
      </w:r>
      <w:r w:rsidR="00F653BE" w:rsidRPr="007A682B">
        <w:rPr>
          <w:rFonts w:ascii="Arial" w:hAnsi="Arial" w:cs="Arial"/>
          <w:sz w:val="20"/>
          <w:szCs w:val="20"/>
        </w:rPr>
        <w:fldChar w:fldCharType="end"/>
      </w:r>
      <w:r w:rsidR="002A568F" w:rsidRPr="007A682B">
        <w:rPr>
          <w:rFonts w:ascii="Arial" w:hAnsi="Arial" w:cs="Arial"/>
          <w:sz w:val="20"/>
          <w:szCs w:val="20"/>
        </w:rPr>
        <w:t xml:space="preserve">. </w:t>
      </w:r>
      <w:r w:rsidR="00F653BE" w:rsidRPr="007A682B">
        <w:rPr>
          <w:rFonts w:ascii="Arial" w:hAnsi="Arial" w:cs="Arial"/>
          <w:sz w:val="20"/>
          <w:szCs w:val="20"/>
        </w:rPr>
        <w:t xml:space="preserve">Thus, a decrease in LH production and increase in FSH production during protandrous sex change in </w:t>
      </w:r>
      <w:r w:rsidR="00F653BE" w:rsidRPr="007A682B">
        <w:rPr>
          <w:rFonts w:ascii="Arial" w:hAnsi="Arial" w:cs="Arial"/>
          <w:i/>
          <w:iCs/>
          <w:sz w:val="20"/>
          <w:szCs w:val="20"/>
        </w:rPr>
        <w:t>A. ocellaris</w:t>
      </w:r>
      <w:r w:rsidR="00F653BE" w:rsidRPr="007A682B">
        <w:rPr>
          <w:rFonts w:ascii="Arial" w:hAnsi="Arial" w:cs="Arial"/>
          <w:sz w:val="20"/>
          <w:szCs w:val="20"/>
        </w:rPr>
        <w:t xml:space="preserve"> fits with broader patterns regarding sex change and gonadal differentiation. </w:t>
      </w:r>
    </w:p>
    <w:p w14:paraId="01EA72EA" w14:textId="48B8356E" w:rsidR="0066495D" w:rsidRPr="007A682B" w:rsidRDefault="00513C00" w:rsidP="00675A71">
      <w:pPr>
        <w:ind w:firstLine="720"/>
        <w:rPr>
          <w:rFonts w:ascii="Arial" w:hAnsi="Arial" w:cs="Arial"/>
          <w:sz w:val="20"/>
          <w:szCs w:val="20"/>
        </w:rPr>
      </w:pPr>
      <w:r w:rsidRPr="007A682B">
        <w:rPr>
          <w:rFonts w:ascii="Arial" w:hAnsi="Arial" w:cs="Arial"/>
          <w:sz w:val="20"/>
          <w:szCs w:val="20"/>
        </w:rPr>
        <w:t xml:space="preserve">Of the neuropeptides implicated in regulating sex change in 6_POA_Mixed, </w:t>
      </w:r>
      <w:r w:rsidR="0066495D" w:rsidRPr="007A682B">
        <w:rPr>
          <w:rFonts w:ascii="Arial" w:hAnsi="Arial" w:cs="Arial"/>
          <w:sz w:val="20"/>
          <w:szCs w:val="20"/>
        </w:rPr>
        <w:t xml:space="preserve">NPY is of particular interest for two reasons. First, </w:t>
      </w:r>
      <w:r w:rsidR="0066495D" w:rsidRPr="007A682B">
        <w:rPr>
          <w:rFonts w:ascii="Arial" w:hAnsi="Arial" w:cs="Arial"/>
          <w:i/>
          <w:iCs/>
          <w:sz w:val="20"/>
          <w:szCs w:val="20"/>
        </w:rPr>
        <w:t>npy7r</w:t>
      </w:r>
      <w:r w:rsidR="0066495D" w:rsidRPr="007A682B">
        <w:rPr>
          <w:rFonts w:ascii="Arial" w:hAnsi="Arial" w:cs="Arial"/>
          <w:sz w:val="20"/>
          <w:szCs w:val="20"/>
        </w:rPr>
        <w:t xml:space="preserve"> is strongly downregulated during the male-intermediate transition, a time when we hypothesize the groundwork for gonadal sex change is being laid. Second, our GRN analysis indicates that </w:t>
      </w:r>
      <w:r w:rsidR="0066495D" w:rsidRPr="007A682B">
        <w:rPr>
          <w:rFonts w:ascii="Arial" w:hAnsi="Arial" w:cs="Arial"/>
          <w:i/>
          <w:iCs/>
          <w:sz w:val="20"/>
          <w:szCs w:val="20"/>
        </w:rPr>
        <w:t>npy7r</w:t>
      </w:r>
      <w:r w:rsidR="0066495D" w:rsidRPr="007A682B">
        <w:rPr>
          <w:rFonts w:ascii="Arial" w:hAnsi="Arial" w:cs="Arial"/>
          <w:sz w:val="20"/>
          <w:szCs w:val="20"/>
        </w:rPr>
        <w:t xml:space="preserve"> is under positive regulation </w:t>
      </w:r>
      <w:r w:rsidR="00675A71" w:rsidRPr="007A682B">
        <w:rPr>
          <w:rFonts w:ascii="Arial" w:hAnsi="Arial" w:cs="Arial"/>
          <w:sz w:val="20"/>
          <w:szCs w:val="20"/>
        </w:rPr>
        <w:t>from</w:t>
      </w:r>
      <w:r w:rsidR="0066495D" w:rsidRPr="007A682B">
        <w:rPr>
          <w:rFonts w:ascii="Arial" w:hAnsi="Arial" w:cs="Arial"/>
          <w:sz w:val="20"/>
          <w:szCs w:val="20"/>
        </w:rPr>
        <w:t xml:space="preserve"> the activity dependent immediate early gene </w:t>
      </w:r>
      <w:r w:rsidR="0066495D" w:rsidRPr="007A682B">
        <w:rPr>
          <w:rFonts w:ascii="Arial" w:hAnsi="Arial" w:cs="Arial"/>
          <w:i/>
          <w:iCs/>
          <w:sz w:val="20"/>
          <w:szCs w:val="20"/>
        </w:rPr>
        <w:t>egr1</w:t>
      </w:r>
      <w:r w:rsidR="0066495D" w:rsidRPr="007A682B">
        <w:rPr>
          <w:rFonts w:ascii="Arial" w:hAnsi="Arial" w:cs="Arial"/>
          <w:sz w:val="20"/>
          <w:szCs w:val="20"/>
        </w:rPr>
        <w:t>. This provides a plausible connection by which changes in neural activity</w:t>
      </w:r>
      <w:r w:rsidR="00C742E7" w:rsidRPr="007A682B">
        <w:rPr>
          <w:rFonts w:ascii="Arial" w:hAnsi="Arial" w:cs="Arial"/>
          <w:sz w:val="20"/>
          <w:szCs w:val="20"/>
        </w:rPr>
        <w:t xml:space="preserve"> during social ascent</w:t>
      </w:r>
      <w:r w:rsidR="0066495D" w:rsidRPr="007A682B">
        <w:rPr>
          <w:rFonts w:ascii="Arial" w:hAnsi="Arial" w:cs="Arial"/>
          <w:sz w:val="20"/>
          <w:szCs w:val="20"/>
        </w:rPr>
        <w:t xml:space="preserve"> are transduced to changes in gonadotroph regulation.</w:t>
      </w:r>
    </w:p>
    <w:p w14:paraId="37E05BF2" w14:textId="3C10B60D" w:rsidR="0066495D" w:rsidRPr="007A682B" w:rsidRDefault="00675A71" w:rsidP="00675A71">
      <w:pPr>
        <w:ind w:firstLine="720"/>
        <w:rPr>
          <w:rFonts w:ascii="Arial" w:hAnsi="Arial" w:cs="Arial"/>
          <w:sz w:val="20"/>
          <w:szCs w:val="20"/>
        </w:rPr>
      </w:pPr>
      <w:r w:rsidRPr="007A682B">
        <w:rPr>
          <w:rFonts w:ascii="Arial" w:hAnsi="Arial" w:cs="Arial"/>
          <w:sz w:val="20"/>
          <w:szCs w:val="20"/>
        </w:rPr>
        <w:t>Given the data</w:t>
      </w:r>
      <w:r w:rsidR="0013116C" w:rsidRPr="007A682B">
        <w:rPr>
          <w:rFonts w:ascii="Arial" w:hAnsi="Arial" w:cs="Arial"/>
          <w:sz w:val="20"/>
          <w:szCs w:val="20"/>
        </w:rPr>
        <w:t xml:space="preserve"> and results from our previous papers</w:t>
      </w:r>
      <w:r w:rsidRPr="007A682B">
        <w:rPr>
          <w:rFonts w:ascii="Arial" w:hAnsi="Arial" w:cs="Arial"/>
          <w:sz w:val="20"/>
          <w:szCs w:val="20"/>
        </w:rPr>
        <w:t xml:space="preserve">, we </w:t>
      </w:r>
      <w:r w:rsidR="00C742E7" w:rsidRPr="007A682B">
        <w:rPr>
          <w:rFonts w:ascii="Arial" w:hAnsi="Arial" w:cs="Arial"/>
          <w:sz w:val="20"/>
          <w:szCs w:val="20"/>
        </w:rPr>
        <w:t xml:space="preserve">hypothesize </w:t>
      </w:r>
      <w:r w:rsidRPr="007A682B">
        <w:rPr>
          <w:rFonts w:ascii="Arial" w:hAnsi="Arial" w:cs="Arial"/>
          <w:sz w:val="20"/>
          <w:szCs w:val="20"/>
        </w:rPr>
        <w:t>p</w:t>
      </w:r>
      <w:r w:rsidR="0066495D" w:rsidRPr="007A682B">
        <w:rPr>
          <w:rFonts w:ascii="Arial" w:hAnsi="Arial" w:cs="Arial"/>
          <w:sz w:val="20"/>
          <w:szCs w:val="20"/>
        </w:rPr>
        <w:t xml:space="preserve">rotandrous sex change proceeds as follows. First, a male ascends to the dominant position of its </w:t>
      </w:r>
      <w:r w:rsidRPr="007A682B">
        <w:rPr>
          <w:rFonts w:ascii="Arial" w:hAnsi="Arial" w:cs="Arial"/>
          <w:sz w:val="20"/>
          <w:szCs w:val="20"/>
        </w:rPr>
        <w:t xml:space="preserve">social </w:t>
      </w:r>
      <w:r w:rsidR="0066495D" w:rsidRPr="007A682B">
        <w:rPr>
          <w:rFonts w:ascii="Arial" w:hAnsi="Arial" w:cs="Arial"/>
          <w:sz w:val="20"/>
          <w:szCs w:val="20"/>
        </w:rPr>
        <w:t>dominance hierarchy. Sensory cues indicating this ascension are integrated by higher brain regions like the dorsomedial telencephalon (Dm) and result in change</w:t>
      </w:r>
      <w:r w:rsidR="00C742E7" w:rsidRPr="007A682B">
        <w:rPr>
          <w:rFonts w:ascii="Arial" w:hAnsi="Arial" w:cs="Arial"/>
          <w:sz w:val="20"/>
          <w:szCs w:val="20"/>
        </w:rPr>
        <w:t>s</w:t>
      </w:r>
      <w:r w:rsidR="0066495D" w:rsidRPr="007A682B">
        <w:rPr>
          <w:rFonts w:ascii="Arial" w:hAnsi="Arial" w:cs="Arial"/>
          <w:sz w:val="20"/>
          <w:szCs w:val="20"/>
        </w:rPr>
        <w:t xml:space="preserve"> in neural activity </w:t>
      </w:r>
      <w:r w:rsidR="0066495D"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{"citationID":"OYHVm371","properties":{"unsorted":false,"formattedCitation":"(5)","plainCitation":"(5)","noteIndex":0},"citationItems":[{"id":3227,"uris":["http://zotero.org/users/11313215/items/RWMZ9QFA"],"itemData":{"id":3227,"type":"article-journal","abstract":"BACKGROUND: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66495D" w:rsidRPr="007A682B">
        <w:rPr>
          <w:rFonts w:ascii="Arial" w:hAnsi="Arial" w:cs="Arial"/>
          <w:sz w:val="20"/>
          <w:szCs w:val="20"/>
        </w:rPr>
        <w:fldChar w:fldCharType="separate"/>
      </w:r>
      <w:r w:rsidR="0072390C" w:rsidRPr="007A682B">
        <w:rPr>
          <w:rFonts w:ascii="Arial" w:hAnsi="Arial" w:cs="Arial"/>
          <w:noProof/>
          <w:sz w:val="20"/>
          <w:szCs w:val="20"/>
        </w:rPr>
        <w:t>(5)</w:t>
      </w:r>
      <w:r w:rsidR="0066495D" w:rsidRPr="007A682B">
        <w:rPr>
          <w:rFonts w:ascii="Arial" w:hAnsi="Arial" w:cs="Arial"/>
          <w:sz w:val="20"/>
          <w:szCs w:val="20"/>
        </w:rPr>
        <w:fldChar w:fldCharType="end"/>
      </w:r>
      <w:r w:rsidR="0066495D" w:rsidRPr="007A682B">
        <w:rPr>
          <w:rFonts w:ascii="Arial" w:hAnsi="Arial" w:cs="Arial"/>
          <w:sz w:val="20"/>
          <w:szCs w:val="20"/>
        </w:rPr>
        <w:t xml:space="preserve">. Via Dm’s connections with the POA </w:t>
      </w:r>
      <w:r w:rsidR="0066495D"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{"citationID":"3KTVaRuH","properties":{"unsorted":false,"formattedCitation":"(5)","plainCitation":"(5)","noteIndex":0},"citationItems":[{"id":3227,"uris":["http://zotero.org/users/11313215/items/RWMZ9QFA"],"itemData":{"id":3227,"type":"article-journal","abstract":"BACKGROUND: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66495D" w:rsidRPr="007A682B">
        <w:rPr>
          <w:rFonts w:ascii="Arial" w:hAnsi="Arial" w:cs="Arial"/>
          <w:sz w:val="20"/>
          <w:szCs w:val="20"/>
        </w:rPr>
        <w:fldChar w:fldCharType="separate"/>
      </w:r>
      <w:r w:rsidR="0072390C" w:rsidRPr="007A682B">
        <w:rPr>
          <w:rFonts w:ascii="Arial" w:hAnsi="Arial" w:cs="Arial"/>
          <w:noProof/>
          <w:sz w:val="20"/>
          <w:szCs w:val="20"/>
        </w:rPr>
        <w:t>(5)</w:t>
      </w:r>
      <w:r w:rsidR="0066495D" w:rsidRPr="007A682B">
        <w:rPr>
          <w:rFonts w:ascii="Arial" w:hAnsi="Arial" w:cs="Arial"/>
          <w:sz w:val="20"/>
          <w:szCs w:val="20"/>
        </w:rPr>
        <w:fldChar w:fldCharType="end"/>
      </w:r>
      <w:r w:rsidR="0066495D" w:rsidRPr="007A682B">
        <w:rPr>
          <w:rFonts w:ascii="Arial" w:hAnsi="Arial" w:cs="Arial"/>
          <w:sz w:val="20"/>
          <w:szCs w:val="20"/>
        </w:rPr>
        <w:t xml:space="preserve">, </w:t>
      </w:r>
      <w:r w:rsidR="00FF7760" w:rsidRPr="007A682B">
        <w:rPr>
          <w:rFonts w:ascii="Arial" w:hAnsi="Arial" w:cs="Arial"/>
          <w:sz w:val="20"/>
          <w:szCs w:val="20"/>
        </w:rPr>
        <w:t xml:space="preserve">activity of </w:t>
      </w:r>
      <w:r w:rsidR="004B7996" w:rsidRPr="007A682B">
        <w:rPr>
          <w:rFonts w:ascii="Arial" w:hAnsi="Arial" w:cs="Arial"/>
          <w:sz w:val="20"/>
          <w:szCs w:val="20"/>
        </w:rPr>
        <w:t>the immediate early gene</w:t>
      </w:r>
      <w:r w:rsidR="0066495D" w:rsidRPr="007A682B">
        <w:rPr>
          <w:rFonts w:ascii="Arial" w:hAnsi="Arial" w:cs="Arial"/>
          <w:sz w:val="20"/>
          <w:szCs w:val="20"/>
        </w:rPr>
        <w:t xml:space="preserve"> </w:t>
      </w:r>
      <w:r w:rsidR="0066495D" w:rsidRPr="007A682B">
        <w:rPr>
          <w:rFonts w:ascii="Arial" w:hAnsi="Arial" w:cs="Arial"/>
          <w:i/>
          <w:iCs/>
          <w:sz w:val="20"/>
          <w:szCs w:val="20"/>
        </w:rPr>
        <w:t>egr1</w:t>
      </w:r>
      <w:r w:rsidR="0066495D" w:rsidRPr="007A682B">
        <w:rPr>
          <w:rFonts w:ascii="Arial" w:hAnsi="Arial" w:cs="Arial"/>
          <w:sz w:val="20"/>
          <w:szCs w:val="20"/>
        </w:rPr>
        <w:t xml:space="preserve"> </w:t>
      </w:r>
      <w:r w:rsidR="004B7996" w:rsidRPr="007A682B">
        <w:rPr>
          <w:rFonts w:ascii="Arial" w:hAnsi="Arial" w:cs="Arial"/>
          <w:sz w:val="20"/>
          <w:szCs w:val="20"/>
        </w:rPr>
        <w:t xml:space="preserve">is reduced </w:t>
      </w:r>
      <w:r w:rsidR="0066495D" w:rsidRPr="007A682B">
        <w:rPr>
          <w:rFonts w:ascii="Arial" w:hAnsi="Arial" w:cs="Arial"/>
          <w:sz w:val="20"/>
          <w:szCs w:val="20"/>
        </w:rPr>
        <w:t xml:space="preserve">leading to reduced </w:t>
      </w:r>
      <w:r w:rsidR="004B7996" w:rsidRPr="007A682B">
        <w:rPr>
          <w:rFonts w:ascii="Arial" w:hAnsi="Arial" w:cs="Arial"/>
          <w:sz w:val="20"/>
          <w:szCs w:val="20"/>
        </w:rPr>
        <w:t xml:space="preserve">transcription </w:t>
      </w:r>
      <w:r w:rsidR="0066495D" w:rsidRPr="007A682B">
        <w:rPr>
          <w:rFonts w:ascii="Arial" w:hAnsi="Arial" w:cs="Arial"/>
          <w:sz w:val="20"/>
          <w:szCs w:val="20"/>
        </w:rPr>
        <w:t xml:space="preserve">of </w:t>
      </w:r>
      <w:r w:rsidR="0066495D" w:rsidRPr="007A682B">
        <w:rPr>
          <w:rFonts w:ascii="Arial" w:hAnsi="Arial" w:cs="Arial"/>
          <w:i/>
          <w:iCs/>
          <w:sz w:val="20"/>
          <w:szCs w:val="20"/>
        </w:rPr>
        <w:t xml:space="preserve">npy7r. </w:t>
      </w:r>
      <w:r w:rsidR="0066495D" w:rsidRPr="007A682B">
        <w:rPr>
          <w:rFonts w:ascii="Arial" w:hAnsi="Arial" w:cs="Arial"/>
          <w:sz w:val="20"/>
          <w:szCs w:val="20"/>
        </w:rPr>
        <w:t xml:space="preserve">This reduction of </w:t>
      </w:r>
      <w:r w:rsidR="0066495D" w:rsidRPr="007A682B">
        <w:rPr>
          <w:rFonts w:ascii="Arial" w:hAnsi="Arial" w:cs="Arial"/>
          <w:i/>
          <w:iCs/>
          <w:sz w:val="20"/>
          <w:szCs w:val="20"/>
        </w:rPr>
        <w:t>npy7r</w:t>
      </w:r>
      <w:r w:rsidR="0066495D" w:rsidRPr="007A682B">
        <w:rPr>
          <w:rFonts w:ascii="Arial" w:hAnsi="Arial" w:cs="Arial"/>
          <w:sz w:val="20"/>
          <w:szCs w:val="20"/>
        </w:rPr>
        <w:t xml:space="preserve"> initiates </w:t>
      </w:r>
      <w:r w:rsidR="00604C38" w:rsidRPr="007A682B">
        <w:rPr>
          <w:rFonts w:ascii="Arial" w:hAnsi="Arial" w:cs="Arial"/>
          <w:sz w:val="20"/>
          <w:szCs w:val="20"/>
        </w:rPr>
        <w:t>a</w:t>
      </w:r>
      <w:r w:rsidR="0066495D" w:rsidRPr="007A682B">
        <w:rPr>
          <w:rFonts w:ascii="Arial" w:hAnsi="Arial" w:cs="Arial"/>
          <w:sz w:val="20"/>
          <w:szCs w:val="20"/>
        </w:rPr>
        <w:t xml:space="preserve"> </w:t>
      </w:r>
      <w:r w:rsidR="00604C38" w:rsidRPr="007A682B">
        <w:rPr>
          <w:rFonts w:ascii="Arial" w:hAnsi="Arial" w:cs="Arial"/>
          <w:sz w:val="20"/>
          <w:szCs w:val="20"/>
        </w:rPr>
        <w:t>reduction</w:t>
      </w:r>
      <w:r w:rsidR="0066495D" w:rsidRPr="007A682B">
        <w:rPr>
          <w:rFonts w:ascii="Arial" w:hAnsi="Arial" w:cs="Arial"/>
          <w:sz w:val="20"/>
          <w:szCs w:val="20"/>
        </w:rPr>
        <w:t xml:space="preserve"> of LH production from the pituitary</w:t>
      </w:r>
      <w:r w:rsidR="00604C38" w:rsidRPr="007A682B">
        <w:rPr>
          <w:rFonts w:ascii="Arial" w:hAnsi="Arial" w:cs="Arial"/>
          <w:sz w:val="20"/>
          <w:szCs w:val="20"/>
        </w:rPr>
        <w:t xml:space="preserve"> </w:t>
      </w:r>
      <w:r w:rsidR="00604C38" w:rsidRPr="007A682B">
        <w:rPr>
          <w:rFonts w:ascii="Arial" w:hAnsi="Arial" w:cs="Arial"/>
          <w:sz w:val="20"/>
          <w:szCs w:val="20"/>
        </w:rPr>
        <w:fldChar w:fldCharType="begin"/>
      </w:r>
      <w:r w:rsidR="009613F6" w:rsidRPr="007A682B">
        <w:rPr>
          <w:rFonts w:ascii="Arial" w:hAnsi="Arial" w:cs="Arial"/>
          <w:sz w:val="20"/>
          <w:szCs w:val="20"/>
        </w:rPr>
        <w:instrText xml:space="preserve"> ADDIN ZOTERO_ITEM CSL_CITATION {"citationID":"PQWej5F1","properties":{"unsorted":false,"formattedCitation":"(54, 55)","plainCitation":"(54, 55)","noteIndex":0},"citationItems":[{"id":6620,"uris":["http://zotero.org/users/11313215/items/SXBS8CGG"],"itemData":{"id":6620,"type":"article-journal","abstract":"Energy balance plays an important role in the control of reproduction. However, the cellular and molecular mechanisms connecting the two systems are not well understood especially in teleosts. The hypothalamus plays a crucial role in the regulation of both energy balance and reproduction, and contains a number of neuropeptides, including gonadotropin-releasing hormone (GnRH), orexin, neuropeptide-Y (NPY), ghrelin, pituitary adenylate cyclase-activating polypeptide (PACAP), α-melanocyte stimulating hormone (α-MSH), melanin-concentrating hormone (MCH), cholecystokinin (CCK), 26RFa, nesfatin, kisspeptin, and gonadotropin-inhibitory hormone (GnIH). These neuropeptides are involved in the control of energy balance and reproduction either directly or indirectly. On the other hand, synthesis and release of these hypothalamic neuropeptides are regulated by metabolic signals from the gut and the adipose tissue. Furthermore, neurons producing these neuropeptides interact with each other, providing neuronal basis of the link between energy balance and reproduction. This review summarizes the advances made in our understanding of the physiological roles of the hypothalamic neuropeptides in energy balance and reproduction in teleosts, and discusses how they interact with GnRH, kisspeptin, and pituitary gonadotropins to control reproduction in teleosts.","container-title":"Frontiers in Endocrinology","DOI":"10.3389/fendo.2014.00036","ISSN":"1664-2392","journalAbbreviation":"Front. Endocrinol.","language":"English","publisher":"Frontiers","source":"Frontiers","title":"Central Pathways Integrating Metabolism and Reproduction in Teleosts","URL":"https://www.frontiersin.org/journals/endocrinology/articles/10.3389/fendo.2014.00036/full","volume":"5","author":[{"family":"Shahjahan","given":"Md"},{"family":"Kitahashi","given":"Takashi"},{"family":"Parhar","given":"Ishwar S."}],"accessed":{"date-parts":[["2026",9,10]]},"issued":{"date-parts":[["2014",3,25]]}}},{"id":6622,"uris":["http://zotero.org/users/11313215/items/76JIAY5X"],"itemData":{"id":6622,"type":"article-journal","abstract":"The purpose of this work was to examine the role of energetic status in neuropeptide Y (NPY)-induced luteinizing hormone (LH) secretion and glucose metabolism in fish. Fasted juvenile sea bass (Dicentrarchus labrax) were injected intraperitoneally with pig (p) NPY or pNPY + glucose, whereas fed animals were injected with pNPY alone and plasma glucose, insulin, and LH levels were examined. pNPY alone or in combination with glucose was found to induce a dose-dependent increase in LH secretion in fasted animals. Similar LH responses to pNPY were observed in vitro in dispersed pituitary cells isolated from fed and fasted animals incubated in L-15 and restricted media. Injection of pNPY + glucose in fasted animals resulted in depletion of glucose. Insulin plasma levels decreased in fasted animals coinjected with pNPY + glucose but remained stable when NPY was administrated alone to fed and fasted animals. Results suggest that 1) NPY-induced LH secretion in fish is dependent on energetic status and 2) NPY is capable of modifying glucose metabolism.","container-title":"American Journal of Physiology-Regulatory, Integrative and Comparative Physiology","DOI":"10.1152/ajpregu.1999.277.6.R1627","ISSN":"0363-6119","issue":"6","page":"R1627-R1634","publisher":"American Physiological Society","source":"journals.physiology.org (Atypon)","title":"Energetic dependence of NPY-induced LH secretion in a teleost fish (Dicentrarchus labrax)","volume":"277","author":[{"family":"Cerdá-Reverter","given":"José Miguel"},{"family":"Sorbera","given":"Lisa Ann"},{"family":"Carrillo","given":"Manuel"},{"family":"Zanuy","given":"Silvia"}],"issued":{"date-parts":[["1999",12]]}}}],"schema":"https://github.com/citation-style-language/schema/raw/master/csl-citation.json"} </w:instrText>
      </w:r>
      <w:r w:rsidR="00604C38" w:rsidRPr="007A682B">
        <w:rPr>
          <w:rFonts w:ascii="Arial" w:hAnsi="Arial" w:cs="Arial"/>
          <w:sz w:val="20"/>
          <w:szCs w:val="20"/>
        </w:rPr>
        <w:fldChar w:fldCharType="separate"/>
      </w:r>
      <w:r w:rsidR="009613F6" w:rsidRPr="007A682B">
        <w:rPr>
          <w:rFonts w:ascii="Arial" w:hAnsi="Arial" w:cs="Arial"/>
          <w:noProof/>
          <w:sz w:val="20"/>
          <w:szCs w:val="20"/>
        </w:rPr>
        <w:t>(54, 55)</w:t>
      </w:r>
      <w:r w:rsidR="00604C38" w:rsidRPr="007A682B">
        <w:rPr>
          <w:rFonts w:ascii="Arial" w:hAnsi="Arial" w:cs="Arial"/>
          <w:sz w:val="20"/>
          <w:szCs w:val="20"/>
        </w:rPr>
        <w:fldChar w:fldCharType="end"/>
      </w:r>
      <w:r w:rsidR="0066495D" w:rsidRPr="007A682B">
        <w:rPr>
          <w:rFonts w:ascii="Arial" w:hAnsi="Arial" w:cs="Arial"/>
          <w:sz w:val="20"/>
          <w:szCs w:val="20"/>
        </w:rPr>
        <w:t xml:space="preserve">, leading to losses in testicular tissue and androgen production late in sex change. In parallel, </w:t>
      </w:r>
      <w:r w:rsidRPr="007A682B">
        <w:rPr>
          <w:rFonts w:ascii="Arial" w:hAnsi="Arial" w:cs="Arial"/>
          <w:i/>
          <w:iCs/>
          <w:sz w:val="20"/>
          <w:szCs w:val="20"/>
        </w:rPr>
        <w:t>uncx</w:t>
      </w:r>
      <w:r w:rsidR="0066495D" w:rsidRPr="007A682B">
        <w:rPr>
          <w:rFonts w:ascii="Arial" w:hAnsi="Arial" w:cs="Arial"/>
          <w:sz w:val="20"/>
          <w:szCs w:val="20"/>
        </w:rPr>
        <w:t xml:space="preserve"> </w:t>
      </w:r>
      <w:r w:rsidR="00922C5D" w:rsidRPr="007A682B">
        <w:rPr>
          <w:rFonts w:ascii="Arial" w:hAnsi="Arial" w:cs="Arial"/>
          <w:sz w:val="20"/>
          <w:szCs w:val="20"/>
        </w:rPr>
        <w:t xml:space="preserve">mediates </w:t>
      </w:r>
      <w:r w:rsidR="0066495D" w:rsidRPr="007A682B">
        <w:rPr>
          <w:rFonts w:ascii="Arial" w:hAnsi="Arial" w:cs="Arial"/>
          <w:sz w:val="20"/>
          <w:szCs w:val="20"/>
        </w:rPr>
        <w:t xml:space="preserve">decreased production of </w:t>
      </w:r>
      <w:r w:rsidR="0066495D" w:rsidRPr="007A682B">
        <w:rPr>
          <w:rFonts w:ascii="Arial" w:hAnsi="Arial" w:cs="Arial"/>
          <w:i/>
          <w:iCs/>
          <w:sz w:val="20"/>
          <w:szCs w:val="20"/>
        </w:rPr>
        <w:t>cyp19a1b</w:t>
      </w:r>
      <w:r w:rsidR="0066495D" w:rsidRPr="007A682B">
        <w:rPr>
          <w:rFonts w:ascii="Arial" w:hAnsi="Arial" w:cs="Arial"/>
          <w:sz w:val="20"/>
          <w:szCs w:val="20"/>
        </w:rPr>
        <w:t>.</w:t>
      </w:r>
      <w:r w:rsidR="00922C5D" w:rsidRPr="007A682B">
        <w:rPr>
          <w:rFonts w:ascii="Arial" w:hAnsi="Arial" w:cs="Arial"/>
          <w:sz w:val="20"/>
          <w:szCs w:val="20"/>
        </w:rPr>
        <w:t xml:space="preserve"> Until the intermediate-female transition, </w:t>
      </w:r>
      <w:r w:rsidR="00922C5D" w:rsidRPr="007A682B">
        <w:rPr>
          <w:rFonts w:ascii="Arial" w:hAnsi="Arial" w:cs="Arial"/>
          <w:i/>
          <w:iCs/>
          <w:sz w:val="20"/>
          <w:szCs w:val="20"/>
        </w:rPr>
        <w:t>gli1</w:t>
      </w:r>
      <w:r w:rsidR="00922C5D" w:rsidRPr="007A682B">
        <w:rPr>
          <w:rFonts w:ascii="Arial" w:hAnsi="Arial" w:cs="Arial"/>
          <w:sz w:val="20"/>
          <w:szCs w:val="20"/>
        </w:rPr>
        <w:t xml:space="preserve"> production remains high and the rate of neurogenesis is high. In intermediates, these neurons begin to differentiate, expressing genes related to axon guidance and brain development. During the intermediate-female</w:t>
      </w:r>
      <w:r w:rsidR="005A7B72" w:rsidRPr="007A682B">
        <w:rPr>
          <w:rFonts w:ascii="Arial" w:hAnsi="Arial" w:cs="Arial"/>
          <w:sz w:val="20"/>
          <w:szCs w:val="20"/>
        </w:rPr>
        <w:t xml:space="preserve"> transition</w:t>
      </w:r>
      <w:r w:rsidR="006E6A73" w:rsidRPr="007A682B">
        <w:rPr>
          <w:rFonts w:ascii="Arial" w:hAnsi="Arial" w:cs="Arial"/>
          <w:sz w:val="20"/>
          <w:szCs w:val="20"/>
        </w:rPr>
        <w:t xml:space="preserve">, changes in the sex steroid milieu </w:t>
      </w:r>
      <w:r w:rsidR="00922C5D" w:rsidRPr="007A682B">
        <w:rPr>
          <w:rFonts w:ascii="Arial" w:hAnsi="Arial" w:cs="Arial"/>
          <w:sz w:val="20"/>
          <w:szCs w:val="20"/>
        </w:rPr>
        <w:t xml:space="preserve">increase </w:t>
      </w:r>
      <w:r w:rsidR="00513C00" w:rsidRPr="007A682B">
        <w:rPr>
          <w:rFonts w:ascii="Arial" w:hAnsi="Arial" w:cs="Arial"/>
          <w:sz w:val="20"/>
          <w:szCs w:val="20"/>
        </w:rPr>
        <w:t xml:space="preserve">synaptic plasticity </w:t>
      </w:r>
      <w:r w:rsidR="0066495D" w:rsidRPr="007A682B">
        <w:rPr>
          <w:rFonts w:ascii="Arial" w:hAnsi="Arial" w:cs="Arial"/>
          <w:sz w:val="20"/>
          <w:szCs w:val="20"/>
        </w:rPr>
        <w:t xml:space="preserve">in the POA via </w:t>
      </w:r>
      <w:r w:rsidR="006E6A73" w:rsidRPr="007A682B">
        <w:rPr>
          <w:rFonts w:ascii="Arial" w:hAnsi="Arial" w:cs="Arial"/>
          <w:sz w:val="20"/>
          <w:szCs w:val="20"/>
        </w:rPr>
        <w:t xml:space="preserve">differential activation of the sex steroid hormone receptors which </w:t>
      </w:r>
      <w:r w:rsidR="001277A8" w:rsidRPr="007A682B">
        <w:rPr>
          <w:rFonts w:ascii="Arial" w:hAnsi="Arial" w:cs="Arial"/>
          <w:sz w:val="20"/>
          <w:szCs w:val="20"/>
        </w:rPr>
        <w:t xml:space="preserve">regulate </w:t>
      </w:r>
      <w:r w:rsidR="006E6A73" w:rsidRPr="007A682B">
        <w:rPr>
          <w:rFonts w:ascii="Arial" w:hAnsi="Arial" w:cs="Arial"/>
          <w:sz w:val="20"/>
          <w:szCs w:val="20"/>
        </w:rPr>
        <w:t xml:space="preserve">genes associated with synaptic </w:t>
      </w:r>
      <w:r w:rsidR="00922C5D" w:rsidRPr="007A682B">
        <w:rPr>
          <w:rFonts w:ascii="Arial" w:hAnsi="Arial" w:cs="Arial"/>
          <w:sz w:val="20"/>
          <w:szCs w:val="20"/>
        </w:rPr>
        <w:t>contact</w:t>
      </w:r>
      <w:r w:rsidR="006E6A73" w:rsidRPr="007A682B">
        <w:rPr>
          <w:rFonts w:ascii="Arial" w:hAnsi="Arial" w:cs="Arial"/>
          <w:sz w:val="20"/>
          <w:szCs w:val="20"/>
        </w:rPr>
        <w:t xml:space="preserve">, </w:t>
      </w:r>
      <w:r w:rsidR="005A7B72" w:rsidRPr="007A682B">
        <w:rPr>
          <w:rFonts w:ascii="Arial" w:hAnsi="Arial" w:cs="Arial"/>
          <w:sz w:val="20"/>
          <w:szCs w:val="20"/>
        </w:rPr>
        <w:t>the extracellular matrix</w:t>
      </w:r>
      <w:r w:rsidR="006E6A73" w:rsidRPr="007A682B">
        <w:rPr>
          <w:rFonts w:ascii="Arial" w:hAnsi="Arial" w:cs="Arial"/>
          <w:sz w:val="20"/>
          <w:szCs w:val="20"/>
        </w:rPr>
        <w:t>, and neuronal excitability</w:t>
      </w:r>
      <w:r w:rsidR="0066495D" w:rsidRPr="007A682B">
        <w:rPr>
          <w:rFonts w:ascii="Arial" w:hAnsi="Arial" w:cs="Arial"/>
          <w:sz w:val="20"/>
          <w:szCs w:val="20"/>
        </w:rPr>
        <w:t xml:space="preserve">. This results in a reduction of </w:t>
      </w:r>
      <w:r w:rsidR="0066495D" w:rsidRPr="007A682B">
        <w:rPr>
          <w:rFonts w:ascii="Arial" w:hAnsi="Arial" w:cs="Arial"/>
          <w:i/>
          <w:iCs/>
          <w:sz w:val="20"/>
          <w:szCs w:val="20"/>
        </w:rPr>
        <w:t>tacr3a</w:t>
      </w:r>
      <w:r w:rsidR="0066495D" w:rsidRPr="007A682B">
        <w:rPr>
          <w:rFonts w:ascii="Arial" w:hAnsi="Arial" w:cs="Arial"/>
          <w:sz w:val="20"/>
          <w:szCs w:val="20"/>
        </w:rPr>
        <w:t xml:space="preserve"> and an increase in </w:t>
      </w:r>
      <w:r w:rsidR="0066495D" w:rsidRPr="007A682B">
        <w:rPr>
          <w:rFonts w:ascii="Arial" w:hAnsi="Arial" w:cs="Arial"/>
          <w:i/>
          <w:iCs/>
          <w:sz w:val="20"/>
          <w:szCs w:val="20"/>
        </w:rPr>
        <w:t xml:space="preserve">drd3 </w:t>
      </w:r>
      <w:r w:rsidR="0066495D" w:rsidRPr="007A682B">
        <w:rPr>
          <w:rFonts w:ascii="Arial" w:hAnsi="Arial" w:cs="Arial"/>
          <w:sz w:val="20"/>
          <w:szCs w:val="20"/>
        </w:rPr>
        <w:t>production which f</w:t>
      </w:r>
      <w:r w:rsidR="00C742E7" w:rsidRPr="007A682B">
        <w:rPr>
          <w:rFonts w:ascii="Arial" w:hAnsi="Arial" w:cs="Arial"/>
          <w:sz w:val="20"/>
          <w:szCs w:val="20"/>
        </w:rPr>
        <w:t>u</w:t>
      </w:r>
      <w:r w:rsidR="0066495D" w:rsidRPr="007A682B">
        <w:rPr>
          <w:rFonts w:ascii="Arial" w:hAnsi="Arial" w:cs="Arial"/>
          <w:sz w:val="20"/>
          <w:szCs w:val="20"/>
        </w:rPr>
        <w:t xml:space="preserve">rther reinforce </w:t>
      </w:r>
      <w:r w:rsidR="00922C5D" w:rsidRPr="007A682B">
        <w:rPr>
          <w:rFonts w:ascii="Arial" w:hAnsi="Arial" w:cs="Arial"/>
          <w:sz w:val="20"/>
          <w:szCs w:val="20"/>
        </w:rPr>
        <w:t xml:space="preserve">a </w:t>
      </w:r>
      <w:r w:rsidR="001277A8" w:rsidRPr="007A682B">
        <w:rPr>
          <w:rFonts w:ascii="Arial" w:hAnsi="Arial" w:cs="Arial"/>
          <w:sz w:val="20"/>
          <w:szCs w:val="20"/>
        </w:rPr>
        <w:t>reduction</w:t>
      </w:r>
      <w:r w:rsidR="0066495D" w:rsidRPr="007A682B">
        <w:rPr>
          <w:rFonts w:ascii="Arial" w:hAnsi="Arial" w:cs="Arial"/>
          <w:sz w:val="20"/>
          <w:szCs w:val="20"/>
        </w:rPr>
        <w:t xml:space="preserve"> of LH signaling and </w:t>
      </w:r>
      <w:r w:rsidR="0013116C" w:rsidRPr="007A682B">
        <w:rPr>
          <w:rFonts w:ascii="Arial" w:hAnsi="Arial" w:cs="Arial"/>
          <w:sz w:val="20"/>
          <w:szCs w:val="20"/>
        </w:rPr>
        <w:t xml:space="preserve">reduction of </w:t>
      </w:r>
      <w:r w:rsidR="0066495D" w:rsidRPr="007A682B">
        <w:rPr>
          <w:rFonts w:ascii="Arial" w:hAnsi="Arial" w:cs="Arial"/>
          <w:sz w:val="20"/>
          <w:szCs w:val="20"/>
        </w:rPr>
        <w:t xml:space="preserve">testicular tissue. In RGCs, the </w:t>
      </w:r>
      <w:r w:rsidR="00922C5D" w:rsidRPr="007A682B">
        <w:rPr>
          <w:rFonts w:ascii="Arial" w:hAnsi="Arial" w:cs="Arial"/>
          <w:sz w:val="20"/>
          <w:szCs w:val="20"/>
        </w:rPr>
        <w:t xml:space="preserve">new neurons that were produced during the period of high </w:t>
      </w:r>
      <w:r w:rsidR="00922C5D" w:rsidRPr="007A682B">
        <w:rPr>
          <w:rFonts w:ascii="Arial" w:hAnsi="Arial" w:cs="Arial"/>
          <w:i/>
          <w:iCs/>
          <w:sz w:val="20"/>
          <w:szCs w:val="20"/>
        </w:rPr>
        <w:t>gli1</w:t>
      </w:r>
      <w:r w:rsidR="0066495D" w:rsidRPr="007A682B">
        <w:rPr>
          <w:rFonts w:ascii="Arial" w:hAnsi="Arial" w:cs="Arial"/>
          <w:sz w:val="20"/>
          <w:szCs w:val="20"/>
        </w:rPr>
        <w:t xml:space="preserve"> </w:t>
      </w:r>
      <w:r w:rsidR="00922C5D" w:rsidRPr="007A682B">
        <w:rPr>
          <w:rFonts w:ascii="Arial" w:hAnsi="Arial" w:cs="Arial"/>
          <w:sz w:val="20"/>
          <w:szCs w:val="20"/>
        </w:rPr>
        <w:t xml:space="preserve">activity complete their differentiation into </w:t>
      </w:r>
      <w:r w:rsidR="0066495D" w:rsidRPr="007A682B">
        <w:rPr>
          <w:rFonts w:ascii="Arial" w:hAnsi="Arial" w:cs="Arial"/>
          <w:i/>
          <w:iCs/>
          <w:sz w:val="20"/>
          <w:szCs w:val="20"/>
        </w:rPr>
        <w:t xml:space="preserve">cckb+ </w:t>
      </w:r>
      <w:r w:rsidR="0066495D" w:rsidRPr="007A682B">
        <w:rPr>
          <w:rFonts w:ascii="Arial" w:hAnsi="Arial" w:cs="Arial"/>
          <w:sz w:val="20"/>
          <w:szCs w:val="20"/>
        </w:rPr>
        <w:t xml:space="preserve">neurons in the POA. </w:t>
      </w:r>
      <w:r w:rsidR="00922C5D" w:rsidRPr="007A682B">
        <w:rPr>
          <w:rFonts w:ascii="Arial" w:hAnsi="Arial" w:cs="Arial"/>
          <w:sz w:val="20"/>
          <w:szCs w:val="20"/>
        </w:rPr>
        <w:t>T</w:t>
      </w:r>
      <w:r w:rsidR="0066495D" w:rsidRPr="007A682B">
        <w:rPr>
          <w:rFonts w:ascii="Arial" w:hAnsi="Arial" w:cs="Arial"/>
          <w:sz w:val="20"/>
          <w:szCs w:val="20"/>
        </w:rPr>
        <w:t xml:space="preserve">heir </w:t>
      </w:r>
      <w:r w:rsidR="0066495D" w:rsidRPr="007A682B">
        <w:rPr>
          <w:rFonts w:ascii="Arial" w:hAnsi="Arial" w:cs="Arial"/>
          <w:i/>
          <w:iCs/>
          <w:sz w:val="20"/>
          <w:szCs w:val="20"/>
        </w:rPr>
        <w:t>cckb</w:t>
      </w:r>
      <w:r w:rsidR="0066495D" w:rsidRPr="007A682B">
        <w:rPr>
          <w:rFonts w:ascii="Arial" w:hAnsi="Arial" w:cs="Arial"/>
          <w:sz w:val="20"/>
          <w:szCs w:val="20"/>
        </w:rPr>
        <w:t xml:space="preserve"> </w:t>
      </w:r>
      <w:r w:rsidR="00922C5D" w:rsidRPr="007A682B">
        <w:rPr>
          <w:rFonts w:ascii="Arial" w:hAnsi="Arial" w:cs="Arial"/>
          <w:sz w:val="20"/>
          <w:szCs w:val="20"/>
        </w:rPr>
        <w:t xml:space="preserve">signal </w:t>
      </w:r>
      <w:r w:rsidR="0066495D" w:rsidRPr="007A682B">
        <w:rPr>
          <w:rFonts w:ascii="Arial" w:hAnsi="Arial" w:cs="Arial"/>
          <w:sz w:val="20"/>
          <w:szCs w:val="20"/>
        </w:rPr>
        <w:t xml:space="preserve">increases FSH release from the pituitary and this drives ovarian development and E2 production. The elevated E2 then completes the rest of neural sex change. A schematic outlining our process is shown in </w:t>
      </w:r>
      <w:r w:rsidR="0066495D" w:rsidRPr="007A682B">
        <w:rPr>
          <w:rFonts w:ascii="Arial" w:hAnsi="Arial" w:cs="Arial"/>
          <w:sz w:val="20"/>
          <w:szCs w:val="20"/>
          <w:highlight w:val="yellow"/>
        </w:rPr>
        <w:t xml:space="preserve">Fig </w:t>
      </w:r>
      <w:r w:rsidR="003C6D7C" w:rsidRPr="007A682B">
        <w:rPr>
          <w:rFonts w:ascii="Arial" w:hAnsi="Arial" w:cs="Arial"/>
          <w:sz w:val="20"/>
          <w:szCs w:val="20"/>
          <w:highlight w:val="yellow"/>
        </w:rPr>
        <w:t>7</w:t>
      </w:r>
      <w:r w:rsidR="0066495D" w:rsidRPr="007A682B">
        <w:rPr>
          <w:rFonts w:ascii="Arial" w:hAnsi="Arial" w:cs="Arial"/>
          <w:sz w:val="20"/>
          <w:szCs w:val="20"/>
        </w:rPr>
        <w:t>.</w:t>
      </w:r>
    </w:p>
    <w:p w14:paraId="4BDB2E94" w14:textId="763D080E" w:rsidR="0066495D" w:rsidRPr="007A682B" w:rsidRDefault="0066495D" w:rsidP="0066495D">
      <w:pPr>
        <w:ind w:firstLine="720"/>
        <w:rPr>
          <w:rFonts w:ascii="Arial" w:hAnsi="Arial" w:cs="Arial"/>
          <w:sz w:val="20"/>
          <w:szCs w:val="20"/>
        </w:rPr>
      </w:pPr>
      <w:r w:rsidRPr="007A682B">
        <w:rPr>
          <w:rFonts w:ascii="Arial" w:hAnsi="Arial" w:cs="Arial"/>
          <w:sz w:val="20"/>
          <w:szCs w:val="20"/>
        </w:rPr>
        <w:t>More broadly, our findings suggest that socially induced sex change is not accomplished through the direct conversion of existing neural circuits but through a temporally ordered program of developmental remodeling. Rather than functioning solely as support cells, RGCs emerge as central integrators of social information, initiating a cascade of neurogenesis that ultimately reshapes reproductive physiology. This framework raises the possibility that prolonged intermediate states, observed in many sequentially hermaphroditic teleosts, represent active developmental phases during which new neural circuits are assembled before they are functionally incorporated into the mature reproductive network. Understanding how social cues initiate this developmental program and how gonadal feedback subsequently stabilizes these newly formed circuits will provide important insights into the mechanisms by which the adult vertebrate brain reorganizes in response to changing social environments.</w:t>
      </w:r>
    </w:p>
    <w:p w14:paraId="65ECE055" w14:textId="77777777" w:rsidR="003A3E1A" w:rsidRPr="007A682B" w:rsidRDefault="003A3E1A" w:rsidP="0066495D">
      <w:pPr>
        <w:ind w:firstLine="720"/>
        <w:rPr>
          <w:rFonts w:ascii="Arial" w:hAnsi="Arial" w:cs="Arial"/>
          <w:sz w:val="20"/>
          <w:szCs w:val="20"/>
        </w:rPr>
      </w:pPr>
    </w:p>
    <w:p w14:paraId="48165713" w14:textId="39D192FE" w:rsidR="004816FA" w:rsidRPr="007A682B" w:rsidRDefault="00551E7E" w:rsidP="00753C87">
      <w:pPr>
        <w:rPr>
          <w:rFonts w:ascii="Arial" w:hAnsi="Arial" w:cs="Arial"/>
          <w:b/>
          <w:bCs/>
          <w:sz w:val="20"/>
          <w:szCs w:val="20"/>
        </w:rPr>
      </w:pPr>
      <w:r w:rsidRPr="007A682B">
        <w:rPr>
          <w:rFonts w:ascii="Arial" w:hAnsi="Arial" w:cs="Arial"/>
          <w:b/>
          <w:bCs/>
          <w:sz w:val="20"/>
          <w:szCs w:val="20"/>
        </w:rPr>
        <w:t xml:space="preserve">Materials and </w:t>
      </w:r>
      <w:r w:rsidR="004816FA" w:rsidRPr="007A682B">
        <w:rPr>
          <w:rFonts w:ascii="Arial" w:hAnsi="Arial" w:cs="Arial"/>
          <w:b/>
          <w:bCs/>
          <w:sz w:val="20"/>
          <w:szCs w:val="20"/>
        </w:rPr>
        <w:t>Methods</w:t>
      </w:r>
    </w:p>
    <w:p w14:paraId="1F5E420A" w14:textId="77777777" w:rsidR="003341ED" w:rsidRPr="007A682B" w:rsidRDefault="003341ED" w:rsidP="003341ED">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Animals and Husbandry</w:t>
      </w:r>
    </w:p>
    <w:p w14:paraId="19774D13" w14:textId="23D0888E" w:rsidR="00953BF7" w:rsidRPr="007A682B" w:rsidRDefault="00953BF7" w:rsidP="003341ED">
      <w:pPr>
        <w:spacing w:after="16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ab/>
        <w:t>Anemonefish (</w:t>
      </w:r>
      <w:r w:rsidRPr="007A682B">
        <w:rPr>
          <w:rFonts w:ascii="Arial" w:eastAsia="Malgun Gothic" w:hAnsi="Arial" w:cs="Arial"/>
          <w:i/>
          <w:iCs/>
          <w:kern w:val="0"/>
          <w:sz w:val="20"/>
          <w:szCs w:val="20"/>
          <w:lang w:eastAsia="ja-JP"/>
          <w14:ligatures w14:val="none"/>
        </w:rPr>
        <w:t>Amphiprion ocellaris</w:t>
      </w:r>
      <w:r w:rsidRPr="007A682B">
        <w:rPr>
          <w:rFonts w:ascii="Arial" w:eastAsia="Malgun Gothic" w:hAnsi="Arial" w:cs="Arial"/>
          <w:kern w:val="0"/>
          <w:sz w:val="20"/>
          <w:szCs w:val="20"/>
          <w:lang w:eastAsia="ja-JP"/>
          <w14:ligatures w14:val="none"/>
        </w:rPr>
        <w:t xml:space="preserve">) used in this study were first- or second-generation descendants of fish obtained from Oceans, Reefs, and Aquariums (Fort Pierce, FL). Fish were housed in </w:t>
      </w:r>
      <w:r w:rsidRPr="007A682B">
        <w:rPr>
          <w:rFonts w:ascii="Arial" w:eastAsia="Malgun Gothic" w:hAnsi="Arial" w:cs="Arial"/>
          <w:kern w:val="0"/>
          <w:sz w:val="20"/>
          <w:szCs w:val="20"/>
          <w:lang w:eastAsia="ja-JP"/>
          <w14:ligatures w14:val="none"/>
        </w:rPr>
        <w:lastRenderedPageBreak/>
        <w:t>either 20-gallon tall (24 × 12 × 16 in.) or 25-gallon cube (18 × 18 × 18 in.) centrally filtered aquariums, each containing a 6-in. terra cotta pot that served as a nest site and spawning substrate. Salinity was maintained at a specific gravity of 1.026, temperature at 26–28°C, and pH between 8.0 and 8.4. Tanks were illuminated with fluorescent and LED lighting on a 12:12 h light cycle (lights on at 07:00 h and off at 19:00 h). Fish were fed twice daily with Reef Nutrition TDO Chroma Boost pellets (Reed Mariculture Inc., Campbell, CA).</w:t>
      </w:r>
    </w:p>
    <w:p w14:paraId="7FFD630C" w14:textId="201324CB" w:rsidR="003341ED" w:rsidRPr="007A682B" w:rsidRDefault="003341ED" w:rsidP="003341ED">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Initiation of Sex Change</w:t>
      </w:r>
    </w:p>
    <w:p w14:paraId="643A682D" w14:textId="77777777" w:rsidR="006A5E9A" w:rsidRPr="007A682B" w:rsidRDefault="006A5E9A" w:rsidP="00555CB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We induced sex change by creating 10 male–male pairs (n = 20). Eight pairs were formed by pairing two known males, with one male notably larger than the other. Two additional pairs were created by removing the dominant female from established social triads, leaving the β and γ males together. In each pair, the larger or socially dominant male (hereafter, “intermediate”) was expected to undergo protandrous sex change and become female, whereas the subordinate male (hereafter, “intermediate partner”) was expected to remain male.</w:t>
      </w:r>
    </w:p>
    <w:p w14:paraId="0FAEB33C" w14:textId="5EBADBE4" w:rsidR="003341ED" w:rsidRPr="007A682B" w:rsidRDefault="006A5E9A" w:rsidP="00555CB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On the day of pairing or female removal, intermediates and subordinates were weighed and measured. Pairs were then given six months to undergo sex change. We selected this time point because previous work from our lab showed that approximately 10% of intermediates complete sex change within six months, as indicated by the presence of vitellogenic oocytes, while the remainder are distributed across various intermediate stages of sex change </w:t>
      </w:r>
      <w:r w:rsidR="003341ED" w:rsidRPr="007A682B">
        <w:rPr>
          <w:rFonts w:ascii="Arial" w:eastAsia="Malgun Gothic" w:hAnsi="Arial" w:cs="Arial"/>
          <w:kern w:val="0"/>
          <w:sz w:val="20"/>
          <w:szCs w:val="20"/>
          <w:lang w:eastAsia="ja-JP"/>
          <w14:ligatures w14:val="none"/>
        </w:rPr>
        <w:fldChar w:fldCharType="begin"/>
      </w:r>
      <w:r w:rsidR="0072390C" w:rsidRPr="007A682B">
        <w:rPr>
          <w:rFonts w:ascii="Arial" w:eastAsia="Malgun Gothic" w:hAnsi="Arial" w:cs="Arial"/>
          <w:kern w:val="0"/>
          <w:sz w:val="20"/>
          <w:szCs w:val="20"/>
          <w:lang w:eastAsia="ja-JP"/>
          <w14:ligatures w14:val="none"/>
        </w:rPr>
        <w:instrText xml:space="preserve"> ADDIN ZOTERO_ITEM CSL_CITATION {"citationID":"vYZRKGmD","properties":{"formattedCitation":"(7)","plainCitation":"(7)","noteIndex":0},"citationItems":[{"id":43,"uris":["http://zotero.org/users/11313215/items/TBICN8KA"],"itemData":{"id":43,"type":"article-journal","abstract":"Many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003341ED" w:rsidRPr="007A682B">
        <w:rPr>
          <w:rFonts w:ascii="Arial" w:eastAsia="Malgun Gothic" w:hAnsi="Arial" w:cs="Arial"/>
          <w:kern w:val="0"/>
          <w:sz w:val="20"/>
          <w:szCs w:val="20"/>
          <w:lang w:eastAsia="ja-JP"/>
          <w14:ligatures w14:val="none"/>
        </w:rPr>
        <w:fldChar w:fldCharType="separate"/>
      </w:r>
      <w:r w:rsidR="0072390C" w:rsidRPr="007A682B">
        <w:rPr>
          <w:rFonts w:ascii="Arial" w:hAnsi="Arial" w:cs="Arial"/>
          <w:sz w:val="20"/>
          <w:szCs w:val="20"/>
          <w:lang w:eastAsia="ja-JP"/>
        </w:rPr>
        <w:t>(7)</w:t>
      </w:r>
      <w:r w:rsidR="003341ED" w:rsidRPr="007A682B">
        <w:rPr>
          <w:rFonts w:ascii="Arial" w:eastAsia="Malgun Gothic" w:hAnsi="Arial" w:cs="Arial"/>
          <w:kern w:val="0"/>
          <w:sz w:val="20"/>
          <w:szCs w:val="20"/>
          <w:lang w:eastAsia="ja-JP"/>
          <w14:ligatures w14:val="none"/>
        </w:rPr>
        <w:fldChar w:fldCharType="end"/>
      </w:r>
      <w:r w:rsidR="003341ED" w:rsidRPr="007A682B">
        <w:rPr>
          <w:rFonts w:ascii="Arial" w:eastAsia="Malgun Gothic" w:hAnsi="Arial" w:cs="Arial"/>
          <w:kern w:val="0"/>
          <w:sz w:val="20"/>
          <w:szCs w:val="20"/>
          <w:lang w:eastAsia="ja-JP"/>
          <w14:ligatures w14:val="none"/>
        </w:rPr>
        <w:t>.</w:t>
      </w:r>
    </w:p>
    <w:p w14:paraId="3C1EB87F" w14:textId="77777777" w:rsidR="003341ED" w:rsidRPr="007A682B" w:rsidRDefault="003341ED" w:rsidP="003341ED">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Phases</w:t>
      </w:r>
    </w:p>
    <w:p w14:paraId="43BBC0EF" w14:textId="13A49D28" w:rsidR="00953BF7" w:rsidRPr="007A682B" w:rsidRDefault="00953BF7" w:rsidP="00953BF7">
      <w:pPr>
        <w:spacing w:after="16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ab/>
        <w:t>At the end of the experiment, one intermediate had fully completed sex change, while two had distinctly enlarged gonads containing only non-vitellogenic oocytes and no testicular tissue. We therefore reclassified these fish as a “New Female” and two “Late Intermediates,” respectively, and their partners as a “New Male” and two “Late Intermediate Partners.” Throughout the manuscript, we refer to these classifications as phases of sex change.</w:t>
      </w:r>
    </w:p>
    <w:p w14:paraId="517D4D02" w14:textId="77777777" w:rsidR="00953BF7" w:rsidRPr="007A682B" w:rsidRDefault="00953BF7" w:rsidP="00953BF7">
      <w:pPr>
        <w:spacing w:after="16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ab/>
        <w:t>Because the New Female, Late Intermediate, and corresponding partner groups contained too few individuals for meaningful group-level statistical comparisons, statistical analyses comparing sex-change phases were restricted to males (M), females (F), and intermediates (I). However, analyses examining relationships among variables across individual fish, such as correlations between gene expression and chromatin accessibility, included individuals from all phases. In all experiments, the same six established male–female pairs (n = 12) served as male and female controls.</w:t>
      </w:r>
    </w:p>
    <w:p w14:paraId="5D0C2781" w14:textId="3AA11A5E" w:rsidR="003341ED" w:rsidRPr="007A682B" w:rsidRDefault="003341ED" w:rsidP="00953BF7">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Computation</w:t>
      </w:r>
    </w:p>
    <w:p w14:paraId="36547594" w14:textId="5325C202" w:rsidR="003341ED" w:rsidRPr="00F0028A" w:rsidRDefault="003341ED" w:rsidP="00555CB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All computational analyses described below were performed in R 4.4.2 or Python 3.12.4. In all cases unless otherwise stated, we considered a </w:t>
      </w:r>
      <w:r w:rsidRPr="007A682B">
        <w:rPr>
          <w:rFonts w:ascii="Arial" w:eastAsia="Malgun Gothic" w:hAnsi="Arial" w:cs="Arial"/>
          <w:i/>
          <w:kern w:val="0"/>
          <w:sz w:val="20"/>
          <w:szCs w:val="20"/>
          <w:lang w:eastAsia="ja-JP"/>
          <w14:ligatures w14:val="none"/>
        </w:rPr>
        <w:t>p-</w:t>
      </w:r>
      <w:r w:rsidRPr="007A682B">
        <w:rPr>
          <w:rFonts w:ascii="Arial" w:eastAsia="Malgun Gothic" w:hAnsi="Arial" w:cs="Arial"/>
          <w:kern w:val="0"/>
          <w:sz w:val="20"/>
          <w:szCs w:val="20"/>
          <w:lang w:eastAsia="ja-JP"/>
          <w14:ligatures w14:val="none"/>
        </w:rPr>
        <w:t xml:space="preserve">value of &lt;0.05 (or false discovery rate </w:t>
      </w:r>
      <w:r w:rsidRPr="007A682B">
        <w:rPr>
          <w:rFonts w:ascii="Arial" w:eastAsia="Malgun Gothic" w:hAnsi="Arial" w:cs="Arial"/>
          <w:i/>
          <w:kern w:val="0"/>
          <w:sz w:val="20"/>
          <w:szCs w:val="20"/>
          <w:lang w:eastAsia="ja-JP"/>
          <w14:ligatures w14:val="none"/>
        </w:rPr>
        <w:t>q-</w:t>
      </w:r>
      <w:r w:rsidRPr="007A682B">
        <w:rPr>
          <w:rFonts w:ascii="Arial" w:eastAsia="Malgun Gothic" w:hAnsi="Arial" w:cs="Arial"/>
          <w:kern w:val="0"/>
          <w:sz w:val="20"/>
          <w:szCs w:val="20"/>
          <w:lang w:eastAsia="ja-JP"/>
          <w14:ligatures w14:val="none"/>
        </w:rPr>
        <w:t xml:space="preserve">value </w:t>
      </w:r>
      <w:r w:rsidRPr="007A682B">
        <w:rPr>
          <w:rFonts w:ascii="Arial" w:eastAsia="Malgun Gothic" w:hAnsi="Arial" w:cs="Arial"/>
          <w:kern w:val="0"/>
          <w:sz w:val="20"/>
          <w:szCs w:val="20"/>
          <w:lang w:eastAsia="ja-JP"/>
          <w14:ligatures w14:val="none"/>
        </w:rPr>
        <w:fldChar w:fldCharType="begin"/>
      </w:r>
      <w:r w:rsidR="009613F6" w:rsidRPr="007A682B">
        <w:rPr>
          <w:rFonts w:ascii="Arial" w:eastAsia="Malgun Gothic" w:hAnsi="Arial" w:cs="Arial"/>
          <w:kern w:val="0"/>
          <w:sz w:val="20"/>
          <w:szCs w:val="20"/>
          <w:lang w:eastAsia="ja-JP"/>
          <w14:ligatures w14:val="none"/>
        </w:rPr>
        <w:instrText xml:space="preserve"> ADDIN ZOTERO_ITEM CSL_CITATION {"citationID":"hepfyYRE","properties":{"formattedCitation":"(56)","plainCitation":"(56)","noteIndex":0},"citationItems":[{"id":2523,"uris":["http://zotero.org/users/11313215/items/VFIVI5RB"],"itemData":{"id":2523,"type":"article-journal","abstract":"The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9613F6" w:rsidRPr="007A682B">
        <w:rPr>
          <w:rFonts w:ascii="Arial" w:hAnsi="Arial" w:cs="Arial"/>
          <w:sz w:val="20"/>
          <w:szCs w:val="20"/>
          <w:lang w:eastAsia="ja-JP"/>
        </w:rPr>
        <w:t>(56)</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xml:space="preserve">  where relevant) to be statistically significant. For pairwise comparisons, we used the “emmeans” package </w:t>
      </w:r>
      <w:r w:rsidRPr="00F0028A">
        <w:rPr>
          <w:rFonts w:ascii="Arial" w:eastAsia="Malgun Gothic" w:hAnsi="Arial" w:cs="Arial"/>
          <w:kern w:val="0"/>
          <w:sz w:val="20"/>
          <w:szCs w:val="20"/>
          <w:lang w:eastAsia="ja-JP"/>
          <w14:ligatures w14:val="none"/>
        </w:rPr>
        <w:t xml:space="preserve">with no </w:t>
      </w:r>
      <w:r w:rsidRPr="00F0028A">
        <w:rPr>
          <w:rFonts w:ascii="Arial" w:eastAsia="Malgun Gothic" w:hAnsi="Arial" w:cs="Arial"/>
          <w:i/>
          <w:kern w:val="0"/>
          <w:sz w:val="20"/>
          <w:szCs w:val="20"/>
          <w:lang w:eastAsia="ja-JP"/>
          <w14:ligatures w14:val="none"/>
        </w:rPr>
        <w:t>p-</w:t>
      </w:r>
      <w:r w:rsidRPr="00F0028A">
        <w:rPr>
          <w:rFonts w:ascii="Arial" w:eastAsia="Malgun Gothic" w:hAnsi="Arial" w:cs="Arial"/>
          <w:kern w:val="0"/>
          <w:sz w:val="20"/>
          <w:szCs w:val="20"/>
          <w:lang w:eastAsia="ja-JP"/>
          <w14:ligatures w14:val="none"/>
        </w:rPr>
        <w:t>value adjustment specified</w:t>
      </w:r>
      <w:r w:rsidR="008D0F6D" w:rsidRPr="00F0028A">
        <w:rPr>
          <w:rFonts w:ascii="Arial" w:eastAsia="Malgun Gothic" w:hAnsi="Arial" w:cs="Arial"/>
          <w:kern w:val="0"/>
          <w:sz w:val="20"/>
          <w:szCs w:val="20"/>
          <w:lang w:eastAsia="ja-JP"/>
          <w14:ligatures w14:val="none"/>
        </w:rPr>
        <w:t xml:space="preserve"> </w:t>
      </w:r>
      <w:r w:rsidRPr="00F0028A">
        <w:rPr>
          <w:rFonts w:ascii="Arial" w:eastAsia="Malgun Gothic" w:hAnsi="Arial" w:cs="Arial"/>
          <w:kern w:val="0"/>
          <w:sz w:val="20"/>
          <w:szCs w:val="20"/>
          <w:lang w:eastAsia="ja-JP"/>
          <w14:ligatures w14:val="none"/>
        </w:rPr>
        <w:fldChar w:fldCharType="begin"/>
      </w:r>
      <w:r w:rsidR="009613F6" w:rsidRPr="00F0028A">
        <w:rPr>
          <w:rFonts w:ascii="Arial" w:eastAsia="Malgun Gothic" w:hAnsi="Arial" w:cs="Arial"/>
          <w:kern w:val="0"/>
          <w:sz w:val="20"/>
          <w:szCs w:val="20"/>
          <w:lang w:eastAsia="ja-JP"/>
          <w14:ligatures w14:val="none"/>
        </w:rPr>
        <w:instrText xml:space="preserve"> ADDIN ZOTERO_ITEM CSL_CITATION {"citationID":"z9QRuDUO","properties":{"formattedCitation":"(57)","plainCitation":"(57)","noteIndex":0},"citationItems":[{"id":2512,"uris":["http://zotero.org/users/11313215/items/XGHQM7ML"],"itemData":{"id":2512,"type":"software","abstract":"Obtain estimated marginal means (EMMs) for many linear, generalized linear, and mixed models. Compute contrasts or linear functions of EMMs, trends, and comparisons of slopes. Plots and other displays. Least-squares means are discussed, and the term \"estimated marginal means\" is suggested, in Searle, Speed, and Milliken (1980) Population marginal means in the linear model: An alternative to least squares means, The American Statistician 34(4), 216-221 &lt;doi:10.1080/00031305.1980.10483031&gt;.","license":"GPL-2 | GPL-3","source":"R-Packages","title":"emmeans: Estimated Marginal Means, aka Least-Squares Means","title-short":"emmeans","URL":"https://cran.r-project.org/web/packages/emmeans/index.html","version":"1.10.4","author":[{"family":"Lenth","given":"Russell V."},{"family":"Bolker","given":"Ben"},{"family":"Buerkner","given":"Paul"},{"family":"Giné-Vázquez","given":"Iago"},{"family":"Herve","given":"Maxime"},{"family":"Jung","given":"Maarten"},{"family":"Love","given":"Jonathon"},{"family":"Miguez","given":"Fernando"},{"family":"Piaskowski","given":"Julia"},{"family":"Riebl","given":"Hannes"},{"family":"Singmann","given":"Henrik"}],"accessed":{"date-parts":[["2024",9,15]]},"issued":{"date-parts":[["2024",8,21]]}}}],"schema":"https://github.com/citation-style-language/schema/raw/master/csl-citation.json"} </w:instrText>
      </w:r>
      <w:r w:rsidRPr="00F0028A">
        <w:rPr>
          <w:rFonts w:ascii="Arial" w:eastAsia="Malgun Gothic" w:hAnsi="Arial" w:cs="Arial"/>
          <w:kern w:val="0"/>
          <w:sz w:val="20"/>
          <w:szCs w:val="20"/>
          <w:lang w:eastAsia="ja-JP"/>
          <w14:ligatures w14:val="none"/>
        </w:rPr>
        <w:fldChar w:fldCharType="separate"/>
      </w:r>
      <w:r w:rsidR="009613F6" w:rsidRPr="00F0028A">
        <w:rPr>
          <w:rFonts w:ascii="Arial" w:hAnsi="Arial" w:cs="Arial"/>
          <w:sz w:val="20"/>
          <w:szCs w:val="20"/>
          <w:lang w:eastAsia="ja-JP"/>
        </w:rPr>
        <w:t>(57)</w:t>
      </w:r>
      <w:r w:rsidRPr="00F0028A">
        <w:rPr>
          <w:rFonts w:ascii="Arial" w:eastAsia="Malgun Gothic" w:hAnsi="Arial" w:cs="Arial"/>
          <w:kern w:val="0"/>
          <w:sz w:val="20"/>
          <w:szCs w:val="20"/>
          <w:lang w:eastAsia="ja-JP"/>
          <w14:ligatures w14:val="none"/>
        </w:rPr>
        <w:fldChar w:fldCharType="end"/>
      </w:r>
      <w:r w:rsidRPr="00F0028A">
        <w:rPr>
          <w:rFonts w:ascii="Arial" w:eastAsia="Malgun Gothic" w:hAnsi="Arial" w:cs="Arial"/>
          <w:kern w:val="0"/>
          <w:sz w:val="20"/>
          <w:szCs w:val="20"/>
          <w:lang w:eastAsia="ja-JP"/>
          <w14:ligatures w14:val="none"/>
        </w:rPr>
        <w:t xml:space="preserve">. </w:t>
      </w:r>
    </w:p>
    <w:p w14:paraId="12266D36" w14:textId="500D30DA" w:rsidR="00F0028A" w:rsidRPr="00F0028A" w:rsidRDefault="00F0028A" w:rsidP="00555CB5">
      <w:pPr>
        <w:spacing w:after="160"/>
        <w:ind w:firstLine="720"/>
        <w:rPr>
          <w:rFonts w:ascii="Arial" w:eastAsia="Malgun Gothic" w:hAnsi="Arial" w:cs="Arial"/>
          <w:kern w:val="0"/>
          <w:sz w:val="20"/>
          <w:szCs w:val="20"/>
          <w:lang w:eastAsia="ja-JP"/>
          <w14:ligatures w14:val="none"/>
        </w:rPr>
      </w:pPr>
      <w:r w:rsidRPr="00F0028A">
        <w:rPr>
          <w:rFonts w:ascii="Arial" w:hAnsi="Arial" w:cs="Arial"/>
          <w:sz w:val="20"/>
          <w:szCs w:val="20"/>
        </w:rPr>
        <w:t xml:space="preserve">Type-III tests were computed using the Anova function from the </w:t>
      </w:r>
      <w:r>
        <w:rPr>
          <w:rFonts w:ascii="Arial" w:hAnsi="Arial" w:cs="Arial"/>
          <w:sz w:val="20"/>
          <w:szCs w:val="20"/>
        </w:rPr>
        <w:t>“</w:t>
      </w:r>
      <w:r w:rsidRPr="00F0028A">
        <w:rPr>
          <w:rFonts w:ascii="Arial" w:hAnsi="Arial" w:cs="Arial"/>
          <w:sz w:val="20"/>
          <w:szCs w:val="20"/>
        </w:rPr>
        <w:t>car</w:t>
      </w:r>
      <w:r>
        <w:rPr>
          <w:rFonts w:ascii="Arial" w:hAnsi="Arial" w:cs="Arial"/>
          <w:sz w:val="20"/>
          <w:szCs w:val="20"/>
        </w:rPr>
        <w:t>”</w:t>
      </w:r>
      <w:r>
        <w:rPr>
          <w:rFonts w:ascii="Arial" w:hAnsi="Arial" w:cs="Arial"/>
          <w:sz w:val="20"/>
          <w:szCs w:val="20"/>
        </w:rPr>
        <w:fldChar w:fldCharType="begin"/>
      </w:r>
      <w:r w:rsidR="0075146E">
        <w:rPr>
          <w:rFonts w:ascii="Arial" w:hAnsi="Arial" w:cs="Arial"/>
          <w:sz w:val="20"/>
          <w:szCs w:val="20"/>
        </w:rPr>
        <w:instrText xml:space="preserve"> ADDIN ZOTERO_ITEM CSL_CITATION {"citationID":"YlzifCgJ","properties":{"unsorted":false,"formattedCitation":"(58)","plainCitation":"(58)","noteIndex":0},"citationItems":[{"id":2508,"uris":["http://zotero.org/users/11313215/items/A99QGJ4J"],"itemData":{"id":2508,"type":"software","abstract":"Functions to Accompany J. Fox and S. Weisberg, An R Companion to Applied Regression, Third Edition, Sage, 2019.","license":"GPL-2 | GPL-3 [expanded from: GPL (≥ 2)]","source":"R-Packages","title":"car: Companion to Applied Regression","title-short":"car","URL":"https://cran.r-project.org/web/packages/car/index.html","version":"3.1-2","author":[{"family":"Fox","given":"John"},{"family":"Weisberg","given":"Sanford"},{"family":"Price","given":"Brad"},{"family":"Adler","given":"Daniel"},{"family":"Bates","given":"Douglas"},{"family":"Baud-Bovy","given":"Gabriel"},{"family":"Bolker","given":"Ben"},{"family":"Ellison","given":"Steve"},{"family":"Firth","given":"David"},{"family":"Friendly","given":"Michael"},{"family":"Gorjanc","given":"Gregor"},{"family":"Graves","given":"Spencer"},{"family":"Heiberger","given":"Richard"},{"family":"Krivitsky","given":"Pavel"},{"family":"Laboissiere","given":"Rafael"},{"family":"Maechler","given":"Martin"},{"family":"Monette","given":"Georges"},{"family":"Murdoch","given":"Duncan"},{"family":"Nilsson","given":"Henric"},{"family":"Ogle","given":"Derek"},{"family":"Ripley","given":"Brian"},{"family":"Short","given":"Tom"},{"family":"Venables","given":"William"},{"family":"Walker","given":"Steve"},{"family":"Winsemius","given":"David"},{"family":"Zeileis","given":"Achim"},{"family":"R-Core","given":""}],"accessed":{"date-parts":[["2024",9,15]]},"issued":{"date-parts":[["2023",3,30]]}}}],"schema":"https://github.com/citation-style-language/schema/raw/master/csl-citation.json"} </w:instrText>
      </w:r>
      <w:r>
        <w:rPr>
          <w:rFonts w:ascii="Arial" w:hAnsi="Arial" w:cs="Arial"/>
          <w:sz w:val="20"/>
          <w:szCs w:val="20"/>
        </w:rPr>
        <w:fldChar w:fldCharType="separate"/>
      </w:r>
      <w:r w:rsidR="0075146E">
        <w:rPr>
          <w:rFonts w:ascii="Arial" w:hAnsi="Arial" w:cs="Arial"/>
          <w:noProof/>
          <w:sz w:val="20"/>
          <w:szCs w:val="20"/>
        </w:rPr>
        <w:t>(58)</w:t>
      </w:r>
      <w:r>
        <w:rPr>
          <w:rFonts w:ascii="Arial" w:hAnsi="Arial" w:cs="Arial"/>
          <w:sz w:val="20"/>
          <w:szCs w:val="20"/>
        </w:rPr>
        <w:fldChar w:fldCharType="end"/>
      </w:r>
      <w:r w:rsidRPr="00F0028A">
        <w:rPr>
          <w:rFonts w:ascii="Arial" w:hAnsi="Arial" w:cs="Arial"/>
          <w:sz w:val="20"/>
          <w:szCs w:val="20"/>
        </w:rPr>
        <w:t xml:space="preserve"> package, with F-tests for linear models, likelihood-ratio χ² tests for binomial GLMs, and Wald χ² tests for linear mixed-effects models.</w:t>
      </w:r>
    </w:p>
    <w:p w14:paraId="612F7B6A" w14:textId="77777777" w:rsidR="003341ED" w:rsidRPr="007A682B" w:rsidRDefault="003341ED" w:rsidP="003341ED">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Parental Care Assay</w:t>
      </w:r>
    </w:p>
    <w:p w14:paraId="5E3D70D1" w14:textId="096D70C8" w:rsidR="003341ED" w:rsidRPr="007A682B" w:rsidRDefault="003341ED" w:rsidP="00555CB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Six months following the initiation of sex change, we assessed male-like behaviors using a parental care assay known to produce robust and reproducible sex differences in anemonefish as described previously </w:t>
      </w:r>
      <w:r w:rsidRPr="007A682B">
        <w:rPr>
          <w:rFonts w:ascii="Arial" w:eastAsia="Malgun Gothic" w:hAnsi="Arial" w:cs="Arial"/>
          <w:kern w:val="0"/>
          <w:sz w:val="20"/>
          <w:szCs w:val="20"/>
          <w:lang w:eastAsia="ja-JP"/>
          <w14:ligatures w14:val="none"/>
        </w:rPr>
        <w:fldChar w:fldCharType="begin"/>
      </w:r>
      <w:r w:rsidR="0072390C" w:rsidRPr="007A682B">
        <w:rPr>
          <w:rFonts w:ascii="Arial" w:eastAsia="Malgun Gothic" w:hAnsi="Arial" w:cs="Arial"/>
          <w:kern w:val="0"/>
          <w:sz w:val="20"/>
          <w:szCs w:val="20"/>
          <w:lang w:eastAsia="ja-JP"/>
          <w14:ligatures w14:val="none"/>
        </w:rPr>
        <w:instrText xml:space="preserve"> ADDIN ZOTERO_ITEM CSL_CITATION {"citationID":"mComr0wk","properties":{"unsorted":false,"formattedCitation":"(7, 10\\uc0\\u8211{}14)","plainCitation":"(7, 10–14)","noteIndex":0},"citationItems":[{"id":43,"uris":["http://zotero.org/users/11313215/items/TBICN8KA"],"itemData":{"id":43,"type":"article-journal","abstract":"Many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S."}],"issued":{"date-parts":[["2022",9]]}}},{"id":28,"uris":["http://zotero.org/users/11313215/items/ISXWL2QW"],"itemData":{"id":28,"type":"article-journal","abstract":"Abstract\n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S."}],"issued":{"date-parts":[["2020",3,12]]}}},{"id":38,"uris":["http://zotero.org/users/11313215/items/KYBLED4Z"],"itemData":{"id":38,"type":"article-journal","container-title":"Copeia","DOI":"10.1643/CI-15-305","ISSN":"0045-8511, 1938-5110","issue":"2","journalAbbreviation":"Copeia","language":"en","page":"586-593","source":"DOI.org (Crossref)","title":"Sex Differences in Steroid Hormones and Parental Effort across the Breeding Cycle in &lt;i&gt;Amphiprion ocellaris&lt;/i&gt;","volume":"104","author":[{"family":"DeAngelis","given":"Ross"},{"family":"Rhodes","given":"Justin S."}],"issued":{"date-parts":[["2016",7]]}}},{"id":34,"uris":["http://zotero.org/users/11313215/items/HCQ99MMR"],"itemData":{"id":34,"type":"article-journal","abstract":"Fathering behavior is critical for o</w:instrText>
      </w:r>
      <w:r w:rsidR="0072390C" w:rsidRPr="007A682B">
        <w:rPr>
          <w:rFonts w:ascii="Cambria Math" w:eastAsia="Malgun Gothic" w:hAnsi="Cambria Math" w:cs="Cambria Math"/>
          <w:kern w:val="0"/>
          <w:sz w:val="20"/>
          <w:szCs w:val="20"/>
          <w:lang w:eastAsia="ja-JP"/>
          <w14:ligatures w14:val="none"/>
        </w:rPr>
        <w:instrText>ﬀ</w:instrText>
      </w:r>
      <w:r w:rsidR="0072390C" w:rsidRPr="007A682B">
        <w:rPr>
          <w:rFonts w:ascii="Arial" w:eastAsia="Malgun Gothic" w:hAnsi="Arial" w:cs="Arial"/>
          <w:kern w:val="0"/>
          <w:sz w:val="20"/>
          <w:szCs w:val="20"/>
          <w:lang w:eastAsia="ja-JP"/>
          <w14:ligatures w14:val="none"/>
        </w:rPr>
        <w:instrText>spring survival in many species across diverse taxa, but our understanding of the neuroendocrine mechanisms regulating paternal care is limited in part because of the few primarily paternal species among the common animal models. However, many teleosts display primarily paternal care, and among the teleosts, anemoneﬁsh species are particularly well suited for isolating molecular mechanisms of fathering as they perform parental care in isolation of many other typically competing behaviors such as territorial defense and nest building. The goal of this study was to determine the extent to which whole brain gene expression levels of isotocin receptors, arginine vasotocin receptors, and aromatase as well as circulating levels of the bioactive sex steroid hormones estradiol (E2) and 11-ketotestosterone (11KT) vary in association with parenting behavior in Amphiprion ocellaris. Brain aromatase and IT receptor gene expression were higher in both males and females that were parenting versus not. IT receptor expression was overall higher in males than females, which we interpret is a reﬂection of the greater parental e</w:instrText>
      </w:r>
      <w:r w:rsidR="0072390C" w:rsidRPr="007A682B">
        <w:rPr>
          <w:rFonts w:ascii="Cambria Math" w:eastAsia="Malgun Gothic" w:hAnsi="Cambria Math" w:cs="Cambria Math"/>
          <w:kern w:val="0"/>
          <w:sz w:val="20"/>
          <w:szCs w:val="20"/>
          <w:lang w:eastAsia="ja-JP"/>
          <w14:ligatures w14:val="none"/>
        </w:rPr>
        <w:instrText>ﬀ</w:instrText>
      </w:r>
      <w:r w:rsidR="0072390C" w:rsidRPr="007A682B">
        <w:rPr>
          <w:rFonts w:ascii="Arial" w:eastAsia="Malgun Gothic" w:hAnsi="Arial" w:cs="Arial"/>
          <w:kern w:val="0"/>
          <w:sz w:val="20"/>
          <w:szCs w:val="20"/>
          <w:lang w:eastAsia="ja-JP"/>
          <w14:ligatures w14:val="none"/>
        </w:rPr>
        <w:instrText>ort that males display. Aromatase was overall higher in females than males, which we conclude is related to the higher circulating E2, which crosses into the brain and increases aromatase transcription. Results suggest both aromatase and IT receptors are dynamically upregulated in the brains of A. ocellaris males and females to support high levels of parental e</w:instrText>
      </w:r>
      <w:r w:rsidR="0072390C" w:rsidRPr="007A682B">
        <w:rPr>
          <w:rFonts w:ascii="Cambria Math" w:eastAsia="Malgun Gothic" w:hAnsi="Cambria Math" w:cs="Cambria Math"/>
          <w:kern w:val="0"/>
          <w:sz w:val="20"/>
          <w:szCs w:val="20"/>
          <w:lang w:eastAsia="ja-JP"/>
          <w14:ligatures w14:val="none"/>
        </w:rPr>
        <w:instrText>ﬀ</w:instrText>
      </w:r>
      <w:r w:rsidR="0072390C" w:rsidRPr="007A682B">
        <w:rPr>
          <w:rFonts w:ascii="Arial" w:eastAsia="Malgun Gothic" w:hAnsi="Arial" w:cs="Arial"/>
          <w:kern w:val="0"/>
          <w:sz w:val="20"/>
          <w:szCs w:val="20"/>
          <w:lang w:eastAsia="ja-JP"/>
          <w14:ligatures w14:val="none"/>
        </w:rPr>
        <w:instrText>ort.","container-title":"Hormones and Behavior","DOI":"10.1016/j.yhbeh.2018.06.006","ISSN":"0018506X","journalAbbreviation":"Hormones and Behavior","language":"en","page":"62-70","source":"DOI.org (Crossref)","title":"Dynamic regulation of brain aromatase and isotocin receptor gene expression depends on parenting status","volume":"103","author":[{"family":"DeAngelis","given":"Ross"},{"family":"Dodd","given":"Logan"},{"family":"Snyder","given":"Amanda"},{"family":"Rhodes","given":"Justin S."}],"issued":{"date-parts":[["2018",7]]}}},{"id":26,"uris":["http://zotero.org/users/11313215/items/FDL58D2Z"],"itemData":{"id":26,"type":"article-journal","abstract":"Parental care represents a suite of distinct behaviors performed by parents to maximize ﬁtness. Dynamic shifts in parental care behaviors, such as between nest defense and direct provisioning of the o</w:instrText>
      </w:r>
      <w:r w:rsidR="0072390C" w:rsidRPr="007A682B">
        <w:rPr>
          <w:rFonts w:ascii="Cambria Math" w:eastAsia="Malgun Gothic" w:hAnsi="Cambria Math" w:cs="Cambria Math"/>
          <w:kern w:val="0"/>
          <w:sz w:val="20"/>
          <w:szCs w:val="20"/>
          <w:lang w:eastAsia="ja-JP"/>
          <w14:ligatures w14:val="none"/>
        </w:rPr>
        <w:instrText>ﬀ</w:instrText>
      </w:r>
      <w:r w:rsidR="0072390C" w:rsidRPr="007A682B">
        <w:rPr>
          <w:rFonts w:ascii="Arial" w:eastAsia="Malgun Gothic" w:hAnsi="Arial" w:cs="Arial"/>
          <w:kern w:val="0"/>
          <w:sz w:val="20"/>
          <w:szCs w:val="20"/>
          <w:lang w:eastAsia="ja-JP"/>
          <w14:ligatures w14:val="none"/>
        </w:rPr>
        <w:instrText xml:space="preserve">spring, are required in response to environmental variation. However, the neural mechanisms which mediate such behavioral shifts remain a mystery. The anemoneﬁsh, Amphiprion ocellaris, represents an experimentally valuable model in social neuroscience which is conducive to manipulating the environment while simultaneously measuring parental care. The goal of this study was to determine the extent to which arginine vasotocin (AVT) and isotocin (IT) signaling are necessary for males to shift between direct egg care and aggressive nest defense in the presence of intruders, Domino damselﬁsh (Dascyllus trimaculatus). The IT receptor antagonist desGly-NH2-d(CH2)5[DTyr2,Thr4]OVT, signiﬁcantly reduced direct egg care, while at the same time increased levels of aggressive nest defense relative to vehicle. Conversely, blockade of AVT using the antagonist d(CH2)5[Tyr(Me)2]AVP, reduced aggression and tended to increase egg care. Results demonstrate that male anemoneﬁsh alter their parental strategy in response to allospeciﬁc intruders, and that IT and AVT signaling oppositely regulate parental care displays of aggression versus egg care.","container-title":"Hormones and Behavior","DOI":"10.1016/j.yhbeh.2020.104717","ISSN":"0018506X","journalAbbreviation":"Hormones and Behavior","language":"en","page":"104717","source":"DOI.org (Crossref)","title":"Nonapeptides mediate trade-offs in parental care strategy","volume":"121","author":[{"family":"DeAngelis","given":"Ross"},{"family":"Dodd","given":"Logan"},{"family":"Rhodes","given":"Justin"}],"issued":{"date-parts":[["2020",5]]}}},{"id":5885,"uris":["http://zotero.org/users/11313215/items/5853CUE6"],"itemData":{"id":5885,"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72390C" w:rsidRPr="007A682B">
        <w:rPr>
          <w:rFonts w:ascii="Arial" w:hAnsi="Arial" w:cs="Arial"/>
          <w:kern w:val="0"/>
          <w:sz w:val="20"/>
          <w:szCs w:val="20"/>
        </w:rPr>
        <w:t>(7, 10–14)</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w:t>
      </w:r>
      <w:r w:rsidR="00467056" w:rsidRPr="007A682B">
        <w:rPr>
          <w:rFonts w:ascii="Arial" w:eastAsia="Malgun Gothic" w:hAnsi="Arial" w:cs="Arial"/>
          <w:kern w:val="0"/>
          <w:sz w:val="20"/>
          <w:szCs w:val="20"/>
          <w:lang w:eastAsia="ja-JP"/>
          <w14:ligatures w14:val="none"/>
        </w:rPr>
        <w:t xml:space="preserve"> </w:t>
      </w:r>
      <w:r w:rsidRPr="007A682B">
        <w:rPr>
          <w:rFonts w:ascii="Arial" w:eastAsia="Malgun Gothic" w:hAnsi="Arial" w:cs="Arial"/>
          <w:kern w:val="0"/>
          <w:sz w:val="20"/>
          <w:szCs w:val="20"/>
          <w:lang w:eastAsia="ja-JP"/>
          <w14:ligatures w14:val="none"/>
        </w:rPr>
        <w:t xml:space="preserve"> </w:t>
      </w:r>
      <w:r w:rsidR="00467056" w:rsidRPr="007A682B">
        <w:rPr>
          <w:rFonts w:ascii="Arial" w:eastAsia="Malgun Gothic" w:hAnsi="Arial" w:cs="Arial"/>
          <w:kern w:val="0"/>
          <w:sz w:val="20"/>
          <w:szCs w:val="20"/>
          <w:lang w:eastAsia="ja-JP"/>
          <w14:ligatures w14:val="none"/>
        </w:rPr>
        <w:t>To do this, w</w:t>
      </w:r>
      <w:r w:rsidRPr="007A682B">
        <w:rPr>
          <w:rFonts w:ascii="Arial" w:eastAsia="Malgun Gothic" w:hAnsi="Arial" w:cs="Arial"/>
          <w:kern w:val="0"/>
          <w:sz w:val="20"/>
          <w:szCs w:val="20"/>
          <w:lang w:eastAsia="ja-JP"/>
          <w14:ligatures w14:val="none"/>
        </w:rPr>
        <w:t xml:space="preserve">e replaced the terra cotta pot serving as the </w:t>
      </w:r>
      <w:r w:rsidR="00BA4CCE" w:rsidRPr="007A682B">
        <w:rPr>
          <w:rFonts w:ascii="Arial" w:eastAsia="Malgun Gothic" w:hAnsi="Arial" w:cs="Arial"/>
          <w:kern w:val="0"/>
          <w:sz w:val="20"/>
          <w:szCs w:val="20"/>
          <w:lang w:eastAsia="ja-JP"/>
          <w14:ligatures w14:val="none"/>
        </w:rPr>
        <w:t>pair’s</w:t>
      </w:r>
      <w:r w:rsidRPr="007A682B">
        <w:rPr>
          <w:rFonts w:ascii="Arial" w:eastAsia="Malgun Gothic" w:hAnsi="Arial" w:cs="Arial"/>
          <w:kern w:val="0"/>
          <w:sz w:val="20"/>
          <w:szCs w:val="20"/>
          <w:lang w:eastAsia="ja-JP"/>
          <w14:ligatures w14:val="none"/>
        </w:rPr>
        <w:t xml:space="preserve"> nest with a terra cotta pot containing eggs from another pair. Anemonefish do not discriminate between their own eggs and unrelated eggs, and parent them with similar vigor to their own</w:t>
      </w:r>
      <w:r w:rsidR="00953BF7" w:rsidRPr="007A682B">
        <w:rPr>
          <w:rFonts w:ascii="Arial" w:eastAsia="Malgun Gothic" w:hAnsi="Arial" w:cs="Arial"/>
          <w:kern w:val="0"/>
          <w:sz w:val="20"/>
          <w:szCs w:val="20"/>
          <w:lang w:eastAsia="ja-JP"/>
          <w14:ligatures w14:val="none"/>
        </w:rPr>
        <w:t xml:space="preserve"> </w:t>
      </w:r>
      <w:r w:rsidRPr="007A682B">
        <w:rPr>
          <w:rFonts w:ascii="Arial" w:eastAsia="Malgun Gothic" w:hAnsi="Arial" w:cs="Arial"/>
          <w:kern w:val="0"/>
          <w:sz w:val="20"/>
          <w:szCs w:val="20"/>
          <w:lang w:eastAsia="ja-JP"/>
          <w14:ligatures w14:val="none"/>
        </w:rPr>
        <w:fldChar w:fldCharType="begin"/>
      </w:r>
      <w:r w:rsidR="0072390C" w:rsidRPr="007A682B">
        <w:rPr>
          <w:rFonts w:ascii="Arial" w:eastAsia="Malgun Gothic" w:hAnsi="Arial" w:cs="Arial"/>
          <w:kern w:val="0"/>
          <w:sz w:val="20"/>
          <w:szCs w:val="20"/>
          <w:lang w:eastAsia="ja-JP"/>
          <w14:ligatures w14:val="none"/>
        </w:rPr>
        <w:instrText xml:space="preserve"> ADDIN ZOTERO_ITEM CSL_CITATION {"citationID":"dqMS0aXB","properties":{"unsorted":false,"formattedCitation":"(10, 14)","plainCitation":"(10, 14)","noteIndex":0},"citationItems":[{"id":28,"uris":["http://zotero.org/users/11313215/items/ISXWL2QW"],"itemData":{"id":28,"type":"article-journal","abstract":"Abstract\n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S."}],"issued":{"date-parts":[["2020",3,12]]}}},{"id":5885,"uris":["http://zotero.org/users/11313215/items/5853CUE6"],"itemData":{"id":5885,"type":"article-journal","abstract":"Individual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72390C" w:rsidRPr="007A682B">
        <w:rPr>
          <w:rFonts w:ascii="Arial" w:hAnsi="Arial" w:cs="Arial"/>
          <w:sz w:val="20"/>
          <w:szCs w:val="20"/>
          <w:lang w:eastAsia="ja-JP"/>
        </w:rPr>
        <w:t>(10, 14)</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We then allowed 24 hours for the fish to acclimate to the new pot. One hour prior to recording, we placed a camera in front of the tank to allow acclimation. We then recorded parental care behaviors</w:t>
      </w:r>
      <w:r w:rsidR="00467056" w:rsidRPr="007A682B">
        <w:rPr>
          <w:rFonts w:ascii="Arial" w:eastAsia="Malgun Gothic" w:hAnsi="Arial" w:cs="Arial"/>
          <w:kern w:val="0"/>
          <w:sz w:val="20"/>
          <w:szCs w:val="20"/>
          <w:lang w:eastAsia="ja-JP"/>
          <w14:ligatures w14:val="none"/>
        </w:rPr>
        <w:t xml:space="preserve"> (</w:t>
      </w:r>
      <w:r w:rsidR="009208CE" w:rsidRPr="007A682B">
        <w:rPr>
          <w:rFonts w:ascii="Arial" w:eastAsia="Malgun Gothic" w:hAnsi="Arial" w:cs="Arial"/>
          <w:kern w:val="0"/>
          <w:sz w:val="20"/>
          <w:szCs w:val="20"/>
          <w:lang w:eastAsia="ja-JP"/>
          <w14:ligatures w14:val="none"/>
        </w:rPr>
        <w:t>fanning, nipping, and wiggling) as well as the time spent in the nest</w:t>
      </w:r>
      <w:r w:rsidRPr="007A682B">
        <w:rPr>
          <w:rFonts w:ascii="Arial" w:eastAsia="Malgun Gothic" w:hAnsi="Arial" w:cs="Arial"/>
          <w:kern w:val="0"/>
          <w:sz w:val="20"/>
          <w:szCs w:val="20"/>
          <w:lang w:eastAsia="ja-JP"/>
          <w14:ligatures w14:val="none"/>
        </w:rPr>
        <w:t xml:space="preserve"> for 10 minutes</w:t>
      </w:r>
      <w:r w:rsidR="003A38D8" w:rsidRPr="007A682B">
        <w:rPr>
          <w:rFonts w:ascii="Arial" w:eastAsia="Malgun Gothic" w:hAnsi="Arial" w:cs="Arial"/>
          <w:kern w:val="0"/>
          <w:sz w:val="20"/>
          <w:szCs w:val="20"/>
          <w:lang w:eastAsia="ja-JP"/>
          <w14:ligatures w14:val="none"/>
        </w:rPr>
        <w:t xml:space="preserve"> (</w:t>
      </w:r>
      <w:r w:rsidR="003A38D8" w:rsidRPr="007A682B">
        <w:rPr>
          <w:rFonts w:ascii="Arial" w:eastAsia="Malgun Gothic" w:hAnsi="Arial" w:cs="Arial"/>
          <w:kern w:val="0"/>
          <w:sz w:val="20"/>
          <w:szCs w:val="20"/>
          <w:highlight w:val="yellow"/>
          <w:lang w:eastAsia="ja-JP"/>
          <w14:ligatures w14:val="none"/>
        </w:rPr>
        <w:t>Appendix S</w:t>
      </w:r>
      <w:r w:rsidR="00C538DF" w:rsidRPr="00913D54">
        <w:rPr>
          <w:rFonts w:ascii="Arial" w:eastAsia="Malgun Gothic" w:hAnsi="Arial" w:cs="Arial"/>
          <w:kern w:val="0"/>
          <w:sz w:val="20"/>
          <w:szCs w:val="20"/>
          <w:highlight w:val="yellow"/>
          <w:lang w:eastAsia="ja-JP"/>
          <w14:ligatures w14:val="none"/>
        </w:rPr>
        <w:t>1</w:t>
      </w:r>
      <w:r w:rsidR="00913D54" w:rsidRPr="00913D54">
        <w:rPr>
          <w:rFonts w:ascii="Arial" w:eastAsia="Malgun Gothic" w:hAnsi="Arial" w:cs="Arial"/>
          <w:kern w:val="0"/>
          <w:sz w:val="20"/>
          <w:szCs w:val="20"/>
          <w:highlight w:val="yellow"/>
          <w:lang w:eastAsia="ja-JP"/>
          <w14:ligatures w14:val="none"/>
        </w:rPr>
        <w:t>6</w:t>
      </w:r>
      <w:r w:rsidR="003A38D8" w:rsidRPr="007A682B">
        <w:rPr>
          <w:rFonts w:ascii="Arial" w:eastAsia="Malgun Gothic" w:hAnsi="Arial" w:cs="Arial"/>
          <w:kern w:val="0"/>
          <w:sz w:val="20"/>
          <w:szCs w:val="20"/>
          <w:lang w:eastAsia="ja-JP"/>
          <w14:ligatures w14:val="none"/>
        </w:rPr>
        <w:t>)</w:t>
      </w:r>
      <w:r w:rsidRPr="007A682B">
        <w:rPr>
          <w:rFonts w:ascii="Arial" w:eastAsia="Malgun Gothic" w:hAnsi="Arial" w:cs="Arial"/>
          <w:kern w:val="0"/>
          <w:sz w:val="20"/>
          <w:szCs w:val="20"/>
          <w:lang w:eastAsia="ja-JP"/>
          <w14:ligatures w14:val="none"/>
        </w:rPr>
        <w:t xml:space="preserve">. We analyzed these data using two </w:t>
      </w:r>
      <w:r w:rsidRPr="007A682B">
        <w:rPr>
          <w:rFonts w:ascii="Arial" w:eastAsia="Malgun Gothic" w:hAnsi="Arial" w:cs="Arial"/>
          <w:kern w:val="0"/>
          <w:sz w:val="20"/>
          <w:szCs w:val="20"/>
          <w:lang w:eastAsia="ja-JP"/>
          <w14:ligatures w14:val="none"/>
        </w:rPr>
        <w:lastRenderedPageBreak/>
        <w:t>linear regressions, one fitting the time spent in the nest to phase, and another fitting the sum of parental care behaviors to phase.</w:t>
      </w:r>
    </w:p>
    <w:p w14:paraId="761DDB03" w14:textId="77777777" w:rsidR="003341ED" w:rsidRPr="007A682B" w:rsidRDefault="003341ED" w:rsidP="003341ED">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Serum Hormone Analysis</w:t>
      </w:r>
    </w:p>
    <w:p w14:paraId="7268012A" w14:textId="77777777" w:rsidR="003341ED" w:rsidRPr="007A682B" w:rsidRDefault="003341ED" w:rsidP="00555CB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Following behavioral analysis, blood was drawn from individuals’ caudal veins using a 0.9% heparinized needle. Samples were stored on ice and then centrifuged at 1250 RCF at 4°C for 15 minutes. Plasma was stored at -80°C prior to analysis. We then assessed 11KT levels using a Cayman Chemical 11KT kit (Cayman Chemical, #582751). Plasma samples were diluted to 1:30 in assay buffer and analyzed following manufacturers guidelines using an Epoch Microplate Spectrophotometer (BioTek Instruments) at 412 nm. We analyzed all samples as duplicates.</w:t>
      </w:r>
    </w:p>
    <w:p w14:paraId="1B01AADC" w14:textId="0892BFDF" w:rsidR="003341ED" w:rsidRPr="007A682B" w:rsidRDefault="003341ED" w:rsidP="00555CB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We were unable to </w:t>
      </w:r>
      <w:r w:rsidR="00953BF7" w:rsidRPr="007A682B">
        <w:rPr>
          <w:rFonts w:ascii="Arial" w:eastAsia="Malgun Gothic" w:hAnsi="Arial" w:cs="Arial"/>
          <w:kern w:val="0"/>
          <w:sz w:val="20"/>
          <w:szCs w:val="20"/>
          <w:lang w:eastAsia="ja-JP"/>
          <w14:ligatures w14:val="none"/>
        </w:rPr>
        <w:t xml:space="preserve">collect sufficient blood to </w:t>
      </w:r>
      <w:r w:rsidRPr="007A682B">
        <w:rPr>
          <w:rFonts w:ascii="Arial" w:eastAsia="Malgun Gothic" w:hAnsi="Arial" w:cs="Arial"/>
          <w:kern w:val="0"/>
          <w:sz w:val="20"/>
          <w:szCs w:val="20"/>
          <w:lang w:eastAsia="ja-JP"/>
          <w14:ligatures w14:val="none"/>
        </w:rPr>
        <w:t xml:space="preserve">measure the plasma 11KT from two individuals, one male and one female; </w:t>
      </w:r>
      <w:r w:rsidR="00953BF7" w:rsidRPr="007A682B">
        <w:rPr>
          <w:rFonts w:ascii="Arial" w:eastAsia="Malgun Gothic" w:hAnsi="Arial" w:cs="Arial"/>
          <w:kern w:val="0"/>
          <w:sz w:val="20"/>
          <w:szCs w:val="20"/>
          <w:lang w:eastAsia="ja-JP"/>
          <w14:ligatures w14:val="none"/>
        </w:rPr>
        <w:t xml:space="preserve">thus </w:t>
      </w:r>
      <w:r w:rsidRPr="007A682B">
        <w:rPr>
          <w:rFonts w:ascii="Arial" w:eastAsia="Malgun Gothic" w:hAnsi="Arial" w:cs="Arial"/>
          <w:kern w:val="0"/>
          <w:sz w:val="20"/>
          <w:szCs w:val="20"/>
          <w:lang w:eastAsia="ja-JP"/>
          <w14:ligatures w14:val="none"/>
        </w:rPr>
        <w:t xml:space="preserve">these individuals were omitted </w:t>
      </w:r>
      <w:r w:rsidR="00094EA5" w:rsidRPr="007A682B">
        <w:rPr>
          <w:rFonts w:ascii="Arial" w:eastAsia="Malgun Gothic" w:hAnsi="Arial" w:cs="Arial"/>
          <w:kern w:val="0"/>
          <w:sz w:val="20"/>
          <w:szCs w:val="20"/>
          <w:lang w:eastAsia="ja-JP"/>
          <w14:ligatures w14:val="none"/>
        </w:rPr>
        <w:t>from the</w:t>
      </w:r>
      <w:r w:rsidRPr="007A682B">
        <w:rPr>
          <w:rFonts w:ascii="Arial" w:eastAsia="Malgun Gothic" w:hAnsi="Arial" w:cs="Arial"/>
          <w:kern w:val="0"/>
          <w:sz w:val="20"/>
          <w:szCs w:val="20"/>
          <w:lang w:eastAsia="ja-JP"/>
          <w14:ligatures w14:val="none"/>
        </w:rPr>
        <w:t xml:space="preserve"> 11KT </w:t>
      </w:r>
      <w:r w:rsidR="00094EA5" w:rsidRPr="007A682B">
        <w:rPr>
          <w:rFonts w:ascii="Arial" w:eastAsia="Malgun Gothic" w:hAnsi="Arial" w:cs="Arial"/>
          <w:kern w:val="0"/>
          <w:sz w:val="20"/>
          <w:szCs w:val="20"/>
          <w:lang w:eastAsia="ja-JP"/>
          <w14:ligatures w14:val="none"/>
        </w:rPr>
        <w:t>analysis</w:t>
      </w:r>
      <w:r w:rsidRPr="007A682B">
        <w:rPr>
          <w:rFonts w:ascii="Arial" w:eastAsia="Malgun Gothic" w:hAnsi="Arial" w:cs="Arial"/>
          <w:kern w:val="0"/>
          <w:sz w:val="20"/>
          <w:szCs w:val="20"/>
          <w:lang w:eastAsia="ja-JP"/>
          <w14:ligatures w14:val="none"/>
        </w:rPr>
        <w:t xml:space="preserve">. Phase differences in 11KT levels were analyzed using a linear regression fitting log10 transformed 11KT values by phase. </w:t>
      </w:r>
    </w:p>
    <w:p w14:paraId="2A04847A" w14:textId="77777777" w:rsidR="003341ED" w:rsidRPr="007A682B" w:rsidRDefault="003341ED" w:rsidP="003341ED">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Gonads</w:t>
      </w:r>
    </w:p>
    <w:p w14:paraId="7BB79D13" w14:textId="77777777" w:rsidR="00094EA5" w:rsidRPr="007A682B" w:rsidRDefault="00094EA5" w:rsidP="00094EA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After collecting blood and weighing and measuring, the fish were euthanized via decapitation, and the body was stored in 4% paraformaldehyde (PFA) at 2°C for 48 hours. Following PFA fixation, bodies were cryoprotected in 30% sucrose for 48 hours at 2°C. Bodies were then mounted in OCT (Tissue-Tek, Sakura Finetek) and stored at -80 °C. Gonads were then cryosectioned in the sagittal plane at 40μm (Microm HM 550, Thermo Scientific), mounted on charged slides, and stained with hematoxylin and eosin using standard procedures.</w:t>
      </w:r>
    </w:p>
    <w:p w14:paraId="4E11E866" w14:textId="2092F6F0" w:rsidR="00094EA5" w:rsidRPr="007A682B" w:rsidRDefault="00094EA5" w:rsidP="00094EA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To analyze the gonadal composition of individuals [excluding females and the new female which only have ovarian tissue </w:t>
      </w:r>
      <w:r w:rsidRPr="007A682B">
        <w:rPr>
          <w:rFonts w:ascii="Arial" w:eastAsia="Malgun Gothic" w:hAnsi="Arial" w:cs="Arial"/>
          <w:kern w:val="0"/>
          <w:sz w:val="20"/>
          <w:szCs w:val="20"/>
          <w:lang w:eastAsia="ja-JP"/>
          <w14:ligatures w14:val="none"/>
        </w:rPr>
        <w:fldChar w:fldCharType="begin"/>
      </w:r>
      <w:r w:rsidR="009613F6" w:rsidRPr="007A682B">
        <w:rPr>
          <w:rFonts w:ascii="Arial" w:eastAsia="Malgun Gothic" w:hAnsi="Arial" w:cs="Arial"/>
          <w:kern w:val="0"/>
          <w:sz w:val="20"/>
          <w:szCs w:val="20"/>
          <w:lang w:eastAsia="ja-JP"/>
          <w14:ligatures w14:val="none"/>
        </w:rPr>
        <w:instrText xml:space="preserve"> ADDIN ZOTERO_ITEM CSL_CITATION {"citationID":"fIZ9OmsB","properties":{"formattedCitation":"(59)","plainCitation":"(59)","noteIndex":0},"citationItems":[{"id":4965,"uris":["http://zotero.org/users/11313215/items/M6NB57BA"],"itemData":{"id":4965,"type":"article-journal","abstract":". Behavioural and endocrine differences between males and females, and during protandrous sex change were characterized in the anemonefish, Amphiprion melanopus. Females are the largest and behaviourally dominant members of social groups, displaying frequent aggression towards their smaller male mates and other smaller non-reproductive individuals. Sex change was stimulated experimentally through female removals in 1989 and 1991. Behavioural samples were taken prior to female removal and from 10 to 45 days after removal in 1989 and 1-20 days after removal in 1991. Sex-changing individuals showed striking increases in aggression within 1 day following female removal. While the frequency of aggressive acts initiated by sex-changing individuals decreased gradually over the 5-, 10- and 20-day samples, it remained significantly elevated over baseline male levels. A decrease in aggression was also observed from 20 to 45 days after female removal in 1989. Presentations of a model intruder to sex-changing individuals at various stages revealed changes to a pattern of territorial defence characteristic of females. Overall aggression increased and the ratio of attacks at the periphery of the territory to those at the centre increased with time after female removal. There was no convincing evidence of a relationship between plasma levels of the five steroids measured and (1) male/female behavioural differences or (2) behavioural changes with sex change.","container-title":"Animal Behaviour","DOI":"10.1006/anbe.1994.1275","ISSN":"0003-3472","issue":"3","journalAbbreviation":"Animal Behaviour","page":"551-567","source":"ScienceDirect","title":"Behavioural aspects of protandrous sex change in the anemonefish, &lt;i&gt;Amphiprion melanopus&lt;/i&gt;, and endocrine correlates","volume":"48","author":[{"family":"Godwin","given":"John"}],"issued":{"date-parts":[["1994",9,1]]}}}],"schema":"https://github.com/citation-style-language/schema/raw/master/csl-citation.json"}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9613F6" w:rsidRPr="007A682B">
        <w:rPr>
          <w:rFonts w:ascii="Arial" w:hAnsi="Arial" w:cs="Arial"/>
          <w:sz w:val="20"/>
          <w:szCs w:val="20"/>
          <w:lang w:eastAsia="ja-JP"/>
        </w:rPr>
        <w:t>(59)</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20 random sections from each individual were imaged using a Zeiss Axioskop 40 (Carl Zeiss Microscopy LLC, White Plains, NY) at 10x magnification. These images were analyzed in Photoshop by selecting regions of testicular tissue, ovarian tissue, connective tissue, and recording the number of pixels of each type. We then calculated the proportion of gonad that was testicular or ovarian by dividing the total respective area by the total recorded gonad area (gonadal + ovarian + connective) excluding empty space. Proportion of testicular or gonadal tissue was analyzed using a linear regression fitting the proportion of gonad made up of the associated tissue type by phase.</w:t>
      </w:r>
    </w:p>
    <w:p w14:paraId="6E8B9090" w14:textId="2B2DC44C" w:rsidR="00094EA5" w:rsidRPr="007A682B" w:rsidRDefault="00094EA5" w:rsidP="00555CB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To quantify gonadal volume, we also imaged a random 20 sections of gonad at 2.5x magnification using a Zeiss AxioScope A1 (Carl Zeiss Microscopy LLC, White Plains, NY) such that the entire gonad was within frame. If this was not the case, several images were taken. We then used Photoshop to measure the area of the gonad in each slide. From this sample, we were able to estimate the total volume of the entire gonad in pixels for each individual. Due to large differences between the phases, we log10 transformed this value in all analyses. Because, gonadal volume is correlated with body size, we analyzed gonadal volume with phase and body length as covariates. For the bottom panel in Figure 1B, we plot the residuals of a linear regression only including body length as a fixed effect such that the phases could be directly comparable.</w:t>
      </w:r>
    </w:p>
    <w:p w14:paraId="6028A39E" w14:textId="77777777" w:rsidR="003341ED" w:rsidRPr="007A682B" w:rsidRDefault="003341ED" w:rsidP="003341ED">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POA Dissection</w:t>
      </w:r>
    </w:p>
    <w:p w14:paraId="0ED95BC6" w14:textId="35F48710" w:rsidR="00094EA5" w:rsidRPr="007A682B" w:rsidRDefault="00094EA5" w:rsidP="00753C87">
      <w:pPr>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ab/>
        <w:t>Following decapitation, the brain was immediately treated with chilled dissection medium by pipetting a small volume over the dorsal surface. The dissection medium consisted of Hibernate AB Complete medium supplemented with 2% B27, 0.5 mM GlutaMAX (BrainBits, LLC, Springfield, IL), and 200 U/mL Protector RNase Inhibitor (Roche, Basel, Switzerland). The brain was then removed and transferred to a Petri dish containing chilled dissection medium. The ventrocaudal telencephalon was isolated (</w:t>
      </w:r>
      <w:r w:rsidRPr="007A682B">
        <w:rPr>
          <w:rFonts w:ascii="Arial" w:eastAsia="Malgun Gothic" w:hAnsi="Arial" w:cs="Arial"/>
          <w:kern w:val="0"/>
          <w:sz w:val="20"/>
          <w:szCs w:val="20"/>
          <w:highlight w:val="yellow"/>
          <w:lang w:eastAsia="ja-JP"/>
          <w14:ligatures w14:val="none"/>
        </w:rPr>
        <w:t>Fig. S2A,B</w:t>
      </w:r>
      <w:r w:rsidRPr="007A682B">
        <w:rPr>
          <w:rFonts w:ascii="Arial" w:eastAsia="Malgun Gothic" w:hAnsi="Arial" w:cs="Arial"/>
          <w:kern w:val="0"/>
          <w:sz w:val="20"/>
          <w:szCs w:val="20"/>
          <w:lang w:eastAsia="ja-JP"/>
          <w14:ligatures w14:val="none"/>
        </w:rPr>
        <w:t>), transferred to an RNase-free tube, and stored at −80°C.</w:t>
      </w:r>
    </w:p>
    <w:p w14:paraId="388C4FD3" w14:textId="77777777" w:rsidR="00094EA5" w:rsidRPr="007A682B" w:rsidRDefault="00094EA5" w:rsidP="00753C87">
      <w:pPr>
        <w:rPr>
          <w:rFonts w:ascii="Arial" w:eastAsia="Malgun Gothic" w:hAnsi="Arial" w:cs="Arial"/>
          <w:kern w:val="0"/>
          <w:sz w:val="20"/>
          <w:szCs w:val="20"/>
          <w:lang w:eastAsia="ja-JP"/>
          <w14:ligatures w14:val="none"/>
        </w:rPr>
      </w:pPr>
    </w:p>
    <w:p w14:paraId="43E1C64E" w14:textId="25E40B25" w:rsidR="003341ED" w:rsidRPr="007A682B" w:rsidRDefault="003341ED" w:rsidP="00753C87">
      <w:pPr>
        <w:rPr>
          <w:rFonts w:ascii="Arial" w:hAnsi="Arial" w:cs="Arial"/>
          <w:b/>
          <w:bCs/>
          <w:sz w:val="20"/>
          <w:szCs w:val="20"/>
        </w:rPr>
      </w:pPr>
      <w:r w:rsidRPr="007A682B">
        <w:rPr>
          <w:rFonts w:ascii="Arial" w:hAnsi="Arial" w:cs="Arial"/>
          <w:b/>
          <w:bCs/>
          <w:sz w:val="20"/>
          <w:szCs w:val="20"/>
        </w:rPr>
        <w:t xml:space="preserve">snMultiome </w:t>
      </w:r>
    </w:p>
    <w:p w14:paraId="2137BE15" w14:textId="77777777" w:rsidR="0013365A" w:rsidRPr="007A682B" w:rsidRDefault="0013365A" w:rsidP="00753C87">
      <w:pPr>
        <w:rPr>
          <w:rFonts w:ascii="Arial" w:hAnsi="Arial" w:cs="Arial"/>
          <w:b/>
          <w:bCs/>
          <w:sz w:val="20"/>
          <w:szCs w:val="20"/>
        </w:rPr>
      </w:pPr>
    </w:p>
    <w:p w14:paraId="1EA13558" w14:textId="77777777" w:rsidR="00771E24" w:rsidRPr="007A682B" w:rsidRDefault="00771E24" w:rsidP="00771E24">
      <w:pPr>
        <w:pStyle w:val="Default"/>
        <w:rPr>
          <w:rFonts w:ascii="Arial" w:hAnsi="Arial" w:cs="Arial"/>
          <w:color w:val="000000" w:themeColor="text1"/>
          <w:sz w:val="20"/>
          <w:szCs w:val="20"/>
          <w:u w:val="single"/>
        </w:rPr>
      </w:pPr>
      <w:r w:rsidRPr="007A682B">
        <w:rPr>
          <w:rFonts w:ascii="Arial" w:hAnsi="Arial" w:cs="Arial"/>
          <w:color w:val="000000" w:themeColor="text1"/>
          <w:sz w:val="20"/>
          <w:szCs w:val="20"/>
          <w:u w:val="single"/>
        </w:rPr>
        <w:t xml:space="preserve">Nuclei Isolation </w:t>
      </w:r>
    </w:p>
    <w:p w14:paraId="488FBCCF" w14:textId="77777777" w:rsidR="00C8659C" w:rsidRPr="007A682B" w:rsidRDefault="00935218" w:rsidP="00C8659C">
      <w:pPr>
        <w:pStyle w:val="Default"/>
        <w:rPr>
          <w:rFonts w:ascii="Arial" w:hAnsi="Arial" w:cs="Arial"/>
          <w:color w:val="000000" w:themeColor="text1"/>
          <w:sz w:val="20"/>
          <w:szCs w:val="20"/>
        </w:rPr>
      </w:pPr>
      <w:r w:rsidRPr="007A682B">
        <w:rPr>
          <w:rFonts w:ascii="Arial" w:hAnsi="Arial" w:cs="Arial"/>
          <w:color w:val="000000" w:themeColor="text1"/>
          <w:sz w:val="20"/>
          <w:szCs w:val="20"/>
        </w:rPr>
        <w:tab/>
      </w:r>
      <w:r w:rsidR="00C8659C" w:rsidRPr="007A682B">
        <w:rPr>
          <w:rFonts w:ascii="Arial" w:hAnsi="Arial" w:cs="Arial"/>
          <w:color w:val="000000" w:themeColor="text1"/>
          <w:sz w:val="20"/>
          <w:szCs w:val="20"/>
        </w:rPr>
        <w:t xml:space="preserve">Nuclei isolation was adapted from the 10x Genomics Isolation of Nuclei for Single Cell Multiome ATAC + Gene Expression Demonstrated Protocol. Frozen specimens were thawed in 500 μL of 0.1× Lysis Buffer, partially homogenized by pipetting, and incubated for 10 min on an orbital shaker at 4°C. </w:t>
      </w:r>
      <w:r w:rsidR="00C8659C" w:rsidRPr="007A682B">
        <w:rPr>
          <w:rFonts w:ascii="Arial" w:hAnsi="Arial" w:cs="Arial"/>
          <w:color w:val="000000" w:themeColor="text1"/>
          <w:sz w:val="20"/>
          <w:szCs w:val="20"/>
        </w:rPr>
        <w:lastRenderedPageBreak/>
        <w:t>Following incubation, 500 μL of wash buffer was added, and samples were aspirated using a fire-polished, silanized pipette and mixed until complete homogenization was achieved. Samples were passed through a 70 μm cell strainer and centrifuged at 500 × g for 8 min at 4°C. The supernatant was discarded, and the pellet was resuspended in 1 mL of wash buffer.</w:t>
      </w:r>
    </w:p>
    <w:p w14:paraId="4D4B3947" w14:textId="77777777" w:rsidR="00C8659C" w:rsidRPr="007A682B" w:rsidRDefault="00C8659C" w:rsidP="00C8659C">
      <w:pPr>
        <w:pStyle w:val="Default"/>
        <w:rPr>
          <w:rFonts w:ascii="Arial" w:hAnsi="Arial" w:cs="Arial"/>
          <w:color w:val="000000" w:themeColor="text1"/>
          <w:sz w:val="20"/>
          <w:szCs w:val="20"/>
        </w:rPr>
      </w:pPr>
    </w:p>
    <w:p w14:paraId="32E2587B" w14:textId="62E6F3AA" w:rsidR="00771E24" w:rsidRPr="007A682B" w:rsidRDefault="00C8659C" w:rsidP="00C8659C">
      <w:pPr>
        <w:pStyle w:val="Default"/>
        <w:rPr>
          <w:rFonts w:ascii="Arial" w:hAnsi="Arial" w:cs="Arial"/>
          <w:color w:val="000000" w:themeColor="text1"/>
          <w:sz w:val="20"/>
          <w:szCs w:val="20"/>
        </w:rPr>
      </w:pPr>
      <w:r w:rsidRPr="007A682B">
        <w:rPr>
          <w:rFonts w:ascii="Arial" w:hAnsi="Arial" w:cs="Arial"/>
          <w:color w:val="000000" w:themeColor="text1"/>
          <w:sz w:val="20"/>
          <w:szCs w:val="20"/>
        </w:rPr>
        <w:tab/>
        <w:t>All subsequent steps were performed at 4°C. Samples were mixed, passed through a 30 μm cell strainer, rinsed with 200 μL of wash buffer, and centrifuged at 500 × g for 5 min. The supernatant was discarded, and the pellet was resuspended in 1 mL of wash buffer. This wash and centrifugation step was repeated twice. Samples were then passed through a chilled 20 μm cell strainer and centrifuged at 500 × g for 5 min. The supernatant was discarded, and the pellet was resuspended in 500 μL of final resuspension buffer. Samples were filtered once more through a 20 μm cell strainer and gently mixed by repeated aspiration and dispensing. Ten microliters of each final nuclei suspension was mixed with 10 μL of 0.4% Trypan Blue. Nuclei were visualized using a hemocytometer at 10×, 20×, and 40× magnification and assessed for blebbing and debris. Final nuclei concentrations ranged from 3,230 to 8,060 nuclei/μL.</w:t>
      </w:r>
    </w:p>
    <w:p w14:paraId="0FC4A9C2" w14:textId="77777777" w:rsidR="00C8659C" w:rsidRPr="007A682B" w:rsidRDefault="00C8659C" w:rsidP="00C8659C">
      <w:pPr>
        <w:pStyle w:val="Default"/>
        <w:rPr>
          <w:rFonts w:ascii="Arial" w:hAnsi="Arial" w:cs="Arial"/>
          <w:color w:val="000000" w:themeColor="text1"/>
          <w:sz w:val="20"/>
          <w:szCs w:val="20"/>
        </w:rPr>
      </w:pPr>
    </w:p>
    <w:p w14:paraId="3AC4B378" w14:textId="77777777" w:rsidR="00771E24" w:rsidRPr="007A682B" w:rsidRDefault="00771E24" w:rsidP="00771E24">
      <w:pPr>
        <w:rPr>
          <w:rFonts w:ascii="Arial" w:hAnsi="Arial" w:cs="Arial"/>
          <w:sz w:val="20"/>
          <w:szCs w:val="20"/>
          <w:u w:val="single"/>
        </w:rPr>
      </w:pPr>
      <w:r w:rsidRPr="007A682B">
        <w:rPr>
          <w:rFonts w:ascii="Arial" w:hAnsi="Arial" w:cs="Arial"/>
          <w:sz w:val="20"/>
          <w:szCs w:val="20"/>
          <w:u w:val="single"/>
        </w:rPr>
        <w:t>Library Construction, Sequencing, and Demultiplexing</w:t>
      </w:r>
    </w:p>
    <w:p w14:paraId="3934BFC1" w14:textId="77777777" w:rsidR="00C8659C" w:rsidRPr="007A682B" w:rsidRDefault="00C8659C" w:rsidP="00C8659C">
      <w:pPr>
        <w:ind w:firstLine="720"/>
        <w:rPr>
          <w:rFonts w:ascii="Arial" w:hAnsi="Arial" w:cs="Arial"/>
          <w:sz w:val="20"/>
          <w:szCs w:val="20"/>
        </w:rPr>
      </w:pPr>
      <w:r w:rsidRPr="007A682B">
        <w:rPr>
          <w:rFonts w:ascii="Arial" w:hAnsi="Arial" w:cs="Arial"/>
          <w:sz w:val="20"/>
          <w:szCs w:val="20"/>
        </w:rPr>
        <w:t xml:space="preserve">Droplet-based barcoding, library preparation, and sequencing were performed at the Georgia Institute of Technology Parker H. Petit Institute for Bioengineering and Bioscience Genome Analysis Core using the 10x Genomics platform. Samples were sequenced on an Illumina NovaSeq 6000 S4 (Illumina Inc., San Diego, CA) to a depth of approximately 110,000 reads per nucleus for the GEX and ATAC modalities. Reads were aligned to the </w:t>
      </w:r>
      <w:r w:rsidRPr="007A682B">
        <w:rPr>
          <w:rFonts w:ascii="Arial" w:hAnsi="Arial" w:cs="Arial"/>
          <w:i/>
          <w:iCs/>
          <w:sz w:val="20"/>
          <w:szCs w:val="20"/>
        </w:rPr>
        <w:t>Amphiprion ocellaris</w:t>
      </w:r>
      <w:r w:rsidRPr="007A682B">
        <w:rPr>
          <w:rFonts w:ascii="Arial" w:hAnsi="Arial" w:cs="Arial"/>
          <w:sz w:val="20"/>
          <w:szCs w:val="20"/>
        </w:rPr>
        <w:t xml:space="preserve"> RefSeq genome assembly (GCF_022539595.1).</w:t>
      </w:r>
    </w:p>
    <w:p w14:paraId="37AD322B" w14:textId="77777777" w:rsidR="00C8659C" w:rsidRPr="007A682B" w:rsidRDefault="00C8659C" w:rsidP="00C8659C">
      <w:pPr>
        <w:ind w:firstLine="720"/>
        <w:rPr>
          <w:rFonts w:ascii="Arial" w:hAnsi="Arial" w:cs="Arial"/>
          <w:sz w:val="20"/>
          <w:szCs w:val="20"/>
        </w:rPr>
      </w:pPr>
    </w:p>
    <w:p w14:paraId="0A6A7A69" w14:textId="27837E83" w:rsidR="00C8659C" w:rsidRPr="007A682B" w:rsidRDefault="00C8659C" w:rsidP="00C8659C">
      <w:pPr>
        <w:ind w:firstLine="720"/>
        <w:rPr>
          <w:rFonts w:ascii="Arial" w:hAnsi="Arial" w:cs="Arial"/>
          <w:sz w:val="20"/>
          <w:szCs w:val="20"/>
        </w:rPr>
      </w:pPr>
      <w:r w:rsidRPr="007A682B">
        <w:rPr>
          <w:rFonts w:ascii="Arial" w:hAnsi="Arial" w:cs="Arial"/>
          <w:sz w:val="20"/>
          <w:szCs w:val="20"/>
        </w:rPr>
        <w:t>To enable assignment of nuclei to individual fish, we also sequenced genomic DNA from each individual. DNA was extracted from fin tissue using the DNeasy Blood &amp; Tissue Kit (Qiagen, catalog no. 69504; Qiagen, Valencia, CA) and sequenced at the University of Illinois Roy J. Carver Biotechnology Center using an Illumina NovaSeq X Plus (Illumina Inc., San Diego, CA) with a 10B flow cell. BAM files were generated from each individual’s genomic DNA sequence data, and variants identified from genomic DNA and nuclear RNA were used to assign nuclei to individuals using a combination of Demuxlet</w:t>
      </w:r>
      <w:r w:rsidR="009E60BC" w:rsidRPr="007A682B">
        <w:rPr>
          <w:rFonts w:ascii="Arial" w:hAnsi="Arial" w:cs="Arial"/>
          <w:sz w:val="20"/>
          <w:szCs w:val="20"/>
        </w:rPr>
        <w:t xml:space="preserve"> </w:t>
      </w:r>
      <w:r w:rsidR="009E60BC" w:rsidRPr="007A682B">
        <w:rPr>
          <w:rFonts w:ascii="Arial" w:hAnsi="Arial" w:cs="Arial"/>
          <w:sz w:val="20"/>
          <w:szCs w:val="20"/>
        </w:rPr>
        <w:fldChar w:fldCharType="begin"/>
      </w:r>
      <w:r w:rsidR="009613F6" w:rsidRPr="007A682B">
        <w:rPr>
          <w:rFonts w:ascii="Arial" w:hAnsi="Arial" w:cs="Arial"/>
          <w:sz w:val="20"/>
          <w:szCs w:val="20"/>
        </w:rPr>
        <w:instrText xml:space="preserve"> ADDIN ZOTERO_ITEM CSL_CITATION {"citationID":"xArGHkso","properties":{"unsorted":false,"formattedCitation":"(60)","plainCitation":"(60)","noteIndex":0},"citationItems":[{"id":3487,"uris":["http://zotero.org/users/11313215/items/68FTNPIR"],"itemData":{"id":3487,"type":"article-journal","abstract":"Droplet single-cell RNA-seq is applied to large numbers of pooled samples from unrelated individuals.","container-title":"Nature Biotechnology","DOI":"10.1038/nbt.4042","ISSN":"1546-1696","issue":"1","journalAbbreviation":"Nat Biotechnol","language":"en","license":"2017 Springer Nature America, Inc.","page":"89-94","publisher":"Nature Publishing Group","source":"www.nature.com","title":"Multiplexed droplet single-cell RNA-sequencing using natural genetic variation","volume":"36","author":[{"family":"Kang","given":"Hyun Min"},{"family":"Subramaniam","given":"Meena"},{"family":"Targ","given":"Sasha"},{"family":"Nguyen","given":"Michelle"},{"family":"Maliskova","given":"Lenka"},{"family":"McCarthy","given":"Elizabeth"},{"family":"Wan","given":"Eunice"},{"family":"Wong","given":"Simon"},{"family":"Byrnes","given":"Lauren"},{"family":"Lanata","given":"Cristina M."},{"family":"Gate","given":"Rachel E."},{"family":"Mostafavi","given":"Sara"},{"family":"Marson","given":"Alexander"},{"family":"Zaitlen","given":"Noah"},{"family":"Criswell","given":"Lindsey A."},{"family":"Ye","given":"Chun Jimmie"}],"issued":{"date-parts":[["2018",1]]}}}],"schema":"https://github.com/citation-style-language/schema/raw/master/csl-citation.json"} </w:instrText>
      </w:r>
      <w:r w:rsidR="009E60BC" w:rsidRPr="007A682B">
        <w:rPr>
          <w:rFonts w:ascii="Arial" w:hAnsi="Arial" w:cs="Arial"/>
          <w:sz w:val="20"/>
          <w:szCs w:val="20"/>
        </w:rPr>
        <w:fldChar w:fldCharType="separate"/>
      </w:r>
      <w:r w:rsidR="009613F6" w:rsidRPr="007A682B">
        <w:rPr>
          <w:rFonts w:ascii="Arial" w:hAnsi="Arial" w:cs="Arial"/>
          <w:noProof/>
          <w:sz w:val="20"/>
          <w:szCs w:val="20"/>
        </w:rPr>
        <w:t>(60)</w:t>
      </w:r>
      <w:r w:rsidR="009E60BC" w:rsidRPr="007A682B">
        <w:rPr>
          <w:rFonts w:ascii="Arial" w:hAnsi="Arial" w:cs="Arial"/>
          <w:sz w:val="20"/>
          <w:szCs w:val="20"/>
        </w:rPr>
        <w:fldChar w:fldCharType="end"/>
      </w:r>
      <w:r w:rsidR="009E60BC" w:rsidRPr="007A682B">
        <w:rPr>
          <w:rFonts w:ascii="Arial" w:hAnsi="Arial" w:cs="Arial"/>
          <w:sz w:val="20"/>
          <w:szCs w:val="20"/>
        </w:rPr>
        <w:t xml:space="preserve"> </w:t>
      </w:r>
      <w:r w:rsidRPr="007A682B">
        <w:rPr>
          <w:rFonts w:ascii="Arial" w:hAnsi="Arial" w:cs="Arial"/>
          <w:sz w:val="20"/>
          <w:szCs w:val="20"/>
        </w:rPr>
        <w:t>and Souporcell</w:t>
      </w:r>
      <w:r w:rsidR="009613F6" w:rsidRPr="007A682B">
        <w:rPr>
          <w:rFonts w:ascii="Arial" w:hAnsi="Arial" w:cs="Arial"/>
          <w:sz w:val="20"/>
          <w:szCs w:val="20"/>
        </w:rPr>
        <w:fldChar w:fldCharType="begin"/>
      </w:r>
      <w:r w:rsidR="009613F6" w:rsidRPr="007A682B">
        <w:rPr>
          <w:rFonts w:ascii="Arial" w:hAnsi="Arial" w:cs="Arial"/>
          <w:sz w:val="20"/>
          <w:szCs w:val="20"/>
        </w:rPr>
        <w:instrText xml:space="preserve"> ADDIN ZOTERO_ITEM CSL_CITATION {"citationID":"xBZXVSII","properties":{"unsorted":false,"formattedCitation":"(61)","plainCitation":"(61)","noteIndex":0},"citationItems":[{"id":3486,"uris":["http://zotero.org/users/11313215/items/SQPJSPNF"],"itemData":{"id":3486,"type":"article-journal","abstract":"Methods to deconvolve single-cell RNA-sequencing (scRNA-seq) data are necessary for samples containing a mixture of genotypes, whether they are natural or experimentally combined. Multiplexing across donors is a popular experimental design that can avoid batch effects, reduce costs and improve doublet detection. By using variants detected in scRNA-seq reads, it is possible to assign cells to their donor of origin and identify cross-genotype doublets that may have highly similar transcriptional profiles, precluding detection by transcriptional profile. More subtle cross-genotype variant contamination can be used to estimate the amount of ambient RNA. Ambient RNA is caused by cell lysis before droplet partitioning and is an important confounder of scRNA-seq analysis. Here we develop souporcell, a method to cluster cells using the genetic variants detected within the scRNA-seq reads. We show that it achieves high accuracy on genotype clustering, doublet detection and ambient RNA estimation, as demonstrated across a range of challenging scenarios.","container-title":"Nature Methods","DOI":"10.1038/s41592-020-0820-1","ISSN":"1548-7105","issue":"6","journalAbbreviation":"Nat Methods","language":"en","license":"2020 The Author(s), under exclusive licence to Springer Nature America, Inc.","page":"615-620","publisher":"Nature Publishing Group","source":"www.nature.com","title":"Souporcell: robust clustering of single-cell RNA-seq data by genotype without reference genotypes","title-short":"Souporcell","volume":"17","author":[{"family":"Heaton","given":"Haynes"},{"family":"Talman","given":"Arthur M."},{"family":"Knights","given":"Andrew"},{"family":"Imaz","given":"Maria"},{"family":"Gaffney","given":"Daniel J."},{"family":"Durbin","given":"Richard"},{"family":"Hemberg","given":"Martin"},{"family":"Lawniczak","given":"Mara K. N."}],"issued":{"date-parts":[["2020",6]]}}}],"schema":"https://github.com/citation-style-language/schema/raw/master/csl-citation.json"} </w:instrText>
      </w:r>
      <w:r w:rsidR="009613F6" w:rsidRPr="007A682B">
        <w:rPr>
          <w:rFonts w:ascii="Arial" w:hAnsi="Arial" w:cs="Arial"/>
          <w:sz w:val="20"/>
          <w:szCs w:val="20"/>
        </w:rPr>
        <w:fldChar w:fldCharType="separate"/>
      </w:r>
      <w:r w:rsidR="009613F6" w:rsidRPr="007A682B">
        <w:rPr>
          <w:rFonts w:ascii="Arial" w:hAnsi="Arial" w:cs="Arial"/>
          <w:noProof/>
          <w:sz w:val="20"/>
          <w:szCs w:val="20"/>
        </w:rPr>
        <w:t>(61)</w:t>
      </w:r>
      <w:r w:rsidR="009613F6" w:rsidRPr="007A682B">
        <w:rPr>
          <w:rFonts w:ascii="Arial" w:hAnsi="Arial" w:cs="Arial"/>
          <w:sz w:val="20"/>
          <w:szCs w:val="20"/>
        </w:rPr>
        <w:fldChar w:fldCharType="end"/>
      </w:r>
      <w:r w:rsidR="009613F6" w:rsidRPr="007A682B">
        <w:rPr>
          <w:rFonts w:ascii="Arial" w:hAnsi="Arial" w:cs="Arial"/>
          <w:sz w:val="20"/>
          <w:szCs w:val="20"/>
        </w:rPr>
        <w:t>.</w:t>
      </w:r>
    </w:p>
    <w:p w14:paraId="31E6B901" w14:textId="77777777" w:rsidR="00C8659C" w:rsidRPr="007A682B" w:rsidRDefault="00C8659C" w:rsidP="00C8659C">
      <w:pPr>
        <w:ind w:firstLine="720"/>
        <w:rPr>
          <w:rFonts w:ascii="Arial" w:hAnsi="Arial" w:cs="Arial"/>
          <w:sz w:val="20"/>
          <w:szCs w:val="20"/>
        </w:rPr>
      </w:pPr>
    </w:p>
    <w:p w14:paraId="7B54314E" w14:textId="50D2B477" w:rsidR="00C8659C" w:rsidRPr="007A682B" w:rsidRDefault="00C8659C" w:rsidP="00C8659C">
      <w:pPr>
        <w:ind w:firstLine="720"/>
        <w:rPr>
          <w:rFonts w:ascii="Arial" w:hAnsi="Arial" w:cs="Arial"/>
          <w:sz w:val="20"/>
          <w:szCs w:val="20"/>
        </w:rPr>
      </w:pPr>
      <w:r w:rsidRPr="007A682B">
        <w:rPr>
          <w:rFonts w:ascii="Arial" w:hAnsi="Arial" w:cs="Arial"/>
          <w:sz w:val="20"/>
          <w:szCs w:val="20"/>
        </w:rPr>
        <w:t>Cell Ranger ARC was used to demultiplex sequencing BCL files and generate FASTQ files for GEX and ATAC reads, create the reference genome package, perform cell calling for both modalities, and align reads to the reference genome. EmptyDropsMultiome</w:t>
      </w:r>
      <w:r w:rsidR="009E60BC" w:rsidRPr="007A682B">
        <w:rPr>
          <w:rFonts w:ascii="Arial" w:hAnsi="Arial" w:cs="Arial"/>
          <w:sz w:val="20"/>
          <w:szCs w:val="20"/>
        </w:rPr>
        <w:t xml:space="preserve"> </w:t>
      </w:r>
      <w:r w:rsidR="009E60BC" w:rsidRPr="007A682B">
        <w:rPr>
          <w:rFonts w:ascii="Arial" w:hAnsi="Arial" w:cs="Arial"/>
          <w:sz w:val="20"/>
          <w:szCs w:val="20"/>
        </w:rPr>
        <w:fldChar w:fldCharType="begin"/>
      </w:r>
      <w:r w:rsidR="009613F6" w:rsidRPr="007A682B">
        <w:rPr>
          <w:rFonts w:ascii="Arial" w:hAnsi="Arial" w:cs="Arial"/>
          <w:sz w:val="20"/>
          <w:szCs w:val="20"/>
        </w:rPr>
        <w:instrText xml:space="preserve"> ADDIN ZOTERO_ITEM CSL_CITATION {"citationID":"9TcRkEOW","properties":{"unsorted":false,"formattedCitation":"(62)","plainCitation":"(62)","noteIndex":0},"citationItems":[{"id":3471,"uris":["http://zotero.org/users/11313215/items/S6LZL9KP"],"itemData":{"id":3471,"type":"article-journal","abstract":"Multiomic droplet-based technologies allow different molecular modalities, such as chromatin accessibility and gene expression (scATAC-seq and scRNA-seq), to be probed in the same nucleus. We develop EmptyDropsMultiome, an approach that distinguishes true nuclei-containing droplets from background. Using simulations, we show that EmptyDropsMultiome has higher statistical power and accuracy than existing approaches, including CellRanger-arc and EmptyDrops. On real datasets, we observe that CellRanger-arc misses more than half of the nuclei identified by EmptyDropsMultiome and, moreover, is biased against certain cell types, some of which have a retrieval rate lower than 20%.","container-title":"Genome Biology","DOI":"10.1186/s13059-024-03259-x","ISSN":"1474-760X","issue":"1","journalAbbreviation":"Genome Biology","page":"121","source":"BioMed Central","title":"EmptyDropsMultiome discriminates real cells from background in single-cell multiomics assays","volume":"25","author":[{"family":"Megas","given":"Stathis"},{"family":"Lorenzi","given":"Valentina"},{"family":"Marioni","given":"John C."}],"issued":{"date-parts":[["2024",5,13]]}}}],"schema":"https://github.com/citation-style-language/schema/raw/master/csl-citation.json"} </w:instrText>
      </w:r>
      <w:r w:rsidR="009E60BC" w:rsidRPr="007A682B">
        <w:rPr>
          <w:rFonts w:ascii="Arial" w:hAnsi="Arial" w:cs="Arial"/>
          <w:sz w:val="20"/>
          <w:szCs w:val="20"/>
        </w:rPr>
        <w:fldChar w:fldCharType="separate"/>
      </w:r>
      <w:r w:rsidR="009613F6" w:rsidRPr="007A682B">
        <w:rPr>
          <w:rFonts w:ascii="Arial" w:hAnsi="Arial" w:cs="Arial"/>
          <w:noProof/>
          <w:sz w:val="20"/>
          <w:szCs w:val="20"/>
        </w:rPr>
        <w:t>(62)</w:t>
      </w:r>
      <w:r w:rsidR="009E60BC" w:rsidRPr="007A682B">
        <w:rPr>
          <w:rFonts w:ascii="Arial" w:hAnsi="Arial" w:cs="Arial"/>
          <w:sz w:val="20"/>
          <w:szCs w:val="20"/>
        </w:rPr>
        <w:fldChar w:fldCharType="end"/>
      </w:r>
      <w:r w:rsidRPr="007A682B">
        <w:rPr>
          <w:rFonts w:ascii="Arial" w:hAnsi="Arial" w:cs="Arial"/>
          <w:sz w:val="20"/>
          <w:szCs w:val="20"/>
        </w:rPr>
        <w:t xml:space="preserve"> was then used to distinguish nuclei-containing droplets from empty droplets and identify background, ambient RNA, and multiplets. Souporcell was additionally used to validate singlets and multiplets identified by EmptyDropsMultiome.</w:t>
      </w:r>
    </w:p>
    <w:p w14:paraId="67F46449" w14:textId="77777777" w:rsidR="00C8659C" w:rsidRPr="007A682B" w:rsidRDefault="00C8659C" w:rsidP="00C8659C">
      <w:pPr>
        <w:ind w:firstLine="720"/>
        <w:rPr>
          <w:rFonts w:ascii="Arial" w:hAnsi="Arial" w:cs="Arial"/>
          <w:sz w:val="20"/>
          <w:szCs w:val="20"/>
        </w:rPr>
      </w:pPr>
    </w:p>
    <w:p w14:paraId="390A0F21" w14:textId="0C147DB5" w:rsidR="00C8659C" w:rsidRPr="007A682B" w:rsidRDefault="00C8659C" w:rsidP="00093DF6">
      <w:pPr>
        <w:ind w:firstLine="720"/>
        <w:rPr>
          <w:rFonts w:ascii="Arial" w:hAnsi="Arial" w:cs="Arial"/>
          <w:sz w:val="20"/>
          <w:szCs w:val="20"/>
        </w:rPr>
      </w:pPr>
      <w:r w:rsidRPr="007A682B">
        <w:rPr>
          <w:rFonts w:ascii="Arial" w:hAnsi="Arial" w:cs="Arial"/>
          <w:sz w:val="20"/>
          <w:szCs w:val="20"/>
        </w:rPr>
        <w:t>Finally, we used MACS3 for ATAC-seq peak calling in place of the default Cell Ranger ARC peak calls because Cell Ranger ARC can merge distinct peaks located in close genomic proximity. MACS3 was also used to generate a unified peak set across all pooled samples.</w:t>
      </w:r>
    </w:p>
    <w:p w14:paraId="1334F001" w14:textId="77777777" w:rsidR="0013365A" w:rsidRPr="007A682B" w:rsidRDefault="0013365A" w:rsidP="00771E24">
      <w:pPr>
        <w:rPr>
          <w:rFonts w:ascii="Arial" w:hAnsi="Arial" w:cs="Arial"/>
          <w:sz w:val="20"/>
          <w:szCs w:val="20"/>
        </w:rPr>
      </w:pPr>
    </w:p>
    <w:p w14:paraId="5A88F417" w14:textId="77777777" w:rsidR="00771E24" w:rsidRPr="007A682B" w:rsidRDefault="00771E24" w:rsidP="00771E24">
      <w:pPr>
        <w:pStyle w:val="Default"/>
        <w:rPr>
          <w:rFonts w:ascii="Arial" w:hAnsi="Arial" w:cs="Arial"/>
          <w:color w:val="000000" w:themeColor="text1"/>
          <w:sz w:val="20"/>
          <w:szCs w:val="20"/>
          <w:u w:val="single"/>
        </w:rPr>
      </w:pPr>
      <w:r w:rsidRPr="007A682B">
        <w:rPr>
          <w:rFonts w:ascii="Arial" w:hAnsi="Arial" w:cs="Arial"/>
          <w:color w:val="000000" w:themeColor="text1"/>
          <w:sz w:val="20"/>
          <w:szCs w:val="20"/>
          <w:u w:val="single"/>
        </w:rPr>
        <w:t xml:space="preserve">Quality Control </w:t>
      </w:r>
    </w:p>
    <w:p w14:paraId="3AEF7489" w14:textId="77777777" w:rsidR="009E60BC" w:rsidRPr="007A682B" w:rsidRDefault="009E60BC" w:rsidP="009E60BC">
      <w:pPr>
        <w:pStyle w:val="Default"/>
        <w:rPr>
          <w:rFonts w:ascii="Arial" w:hAnsi="Arial" w:cs="Arial"/>
          <w:color w:val="000000" w:themeColor="text1"/>
          <w:sz w:val="20"/>
          <w:szCs w:val="20"/>
        </w:rPr>
      </w:pPr>
      <w:r w:rsidRPr="007A682B">
        <w:rPr>
          <w:rFonts w:ascii="Arial" w:hAnsi="Arial" w:cs="Arial"/>
          <w:color w:val="000000" w:themeColor="text1"/>
          <w:sz w:val="20"/>
          <w:szCs w:val="20"/>
        </w:rPr>
        <w:t>Quality control was initially performed separately for each pool to identify high-quality nuclei and remove low-quality barcodes. Variable feature analysis was used to identify nuclei with low gene expression variability. On</w:t>
      </w:r>
      <w:commentRangeStart w:id="9"/>
      <w:commentRangeStart w:id="10"/>
      <w:r w:rsidRPr="007A682B">
        <w:rPr>
          <w:rFonts w:ascii="Arial" w:hAnsi="Arial" w:cs="Arial"/>
          <w:color w:val="000000" w:themeColor="text1"/>
          <w:sz w:val="20"/>
          <w:szCs w:val="20"/>
        </w:rPr>
        <w:t>ly barcodes containing at least 55% of highly variable genes were retained. In</w:t>
      </w:r>
      <w:commentRangeEnd w:id="9"/>
      <w:r w:rsidRPr="007A682B">
        <w:rPr>
          <w:rStyle w:val="CommentReference"/>
          <w:rFonts w:ascii="Arial" w:hAnsi="Arial" w:cs="Arial"/>
          <w:color w:val="000000" w:themeColor="text1"/>
          <w:sz w:val="20"/>
          <w:szCs w:val="20"/>
        </w:rPr>
        <w:commentReference w:id="9"/>
      </w:r>
      <w:commentRangeEnd w:id="10"/>
      <w:r w:rsidR="009613F6" w:rsidRPr="007A682B">
        <w:rPr>
          <w:rStyle w:val="CommentReference"/>
          <w:rFonts w:ascii="Arial" w:hAnsi="Arial" w:cs="Arial"/>
          <w:color w:val="000000" w:themeColor="text1"/>
          <w:sz w:val="20"/>
          <w:szCs w:val="20"/>
        </w:rPr>
        <w:commentReference w:id="10"/>
      </w:r>
      <w:r w:rsidRPr="007A682B">
        <w:rPr>
          <w:rFonts w:ascii="Arial" w:hAnsi="Arial" w:cs="Arial"/>
          <w:color w:val="000000" w:themeColor="text1"/>
          <w:sz w:val="20"/>
          <w:szCs w:val="20"/>
        </w:rPr>
        <w:t xml:space="preserve"> addition, barcodes in which the top 50 or top 100 most highly expressed genes accounted for more than 50% or 60% of total gene expression, respectively, were removed.</w:t>
      </w:r>
    </w:p>
    <w:p w14:paraId="0F568A2F" w14:textId="77777777" w:rsidR="009E60BC" w:rsidRPr="007A682B" w:rsidRDefault="009E60BC" w:rsidP="009E60BC">
      <w:pPr>
        <w:pStyle w:val="Default"/>
        <w:rPr>
          <w:rFonts w:ascii="Arial" w:hAnsi="Arial" w:cs="Arial"/>
          <w:color w:val="000000" w:themeColor="text1"/>
          <w:sz w:val="20"/>
          <w:szCs w:val="20"/>
        </w:rPr>
      </w:pPr>
    </w:p>
    <w:p w14:paraId="5F9E2C52" w14:textId="05FFDB75" w:rsidR="009E60BC" w:rsidRPr="007A682B" w:rsidRDefault="009E60BC" w:rsidP="009E60BC">
      <w:pPr>
        <w:pStyle w:val="Default"/>
        <w:rPr>
          <w:rFonts w:ascii="Arial" w:hAnsi="Arial" w:cs="Arial"/>
          <w:color w:val="000000" w:themeColor="text1"/>
          <w:sz w:val="20"/>
          <w:szCs w:val="20"/>
        </w:rPr>
      </w:pPr>
      <w:commentRangeStart w:id="11"/>
      <w:commentRangeStart w:id="12"/>
      <w:r w:rsidRPr="007A682B">
        <w:rPr>
          <w:rFonts w:ascii="Arial" w:hAnsi="Arial" w:cs="Arial"/>
          <w:color w:val="000000" w:themeColor="text1"/>
          <w:sz w:val="20"/>
          <w:szCs w:val="20"/>
        </w:rPr>
        <w:t>Following pool-level quality control, samples were merged and additional filtering was performed on the combined dataset. Nuclei were retained if they met the following criteria: 200 &lt; nCount_RNA &lt; 25,000; 200 &lt; nFeature_RNA &lt; 9,000; nCount_ATAC &lt; 25,000; nFeature_ATAC &lt; 16,000; mitochondrial reads &lt; 12%; protein-coding reads &gt; 85%; ribosomal reads &lt; 3%; TSS enrichment &gt; 0.8; and nucleosome signal &lt; 2.</w:t>
      </w:r>
      <w:commentRangeEnd w:id="11"/>
      <w:r w:rsidRPr="007A682B">
        <w:rPr>
          <w:rStyle w:val="CommentReference"/>
          <w:rFonts w:ascii="Arial" w:hAnsi="Arial" w:cs="Arial"/>
          <w:color w:val="000000" w:themeColor="text1"/>
          <w:sz w:val="20"/>
          <w:szCs w:val="20"/>
        </w:rPr>
        <w:commentReference w:id="11"/>
      </w:r>
      <w:commentRangeEnd w:id="12"/>
      <w:r w:rsidR="009613F6" w:rsidRPr="007A682B">
        <w:rPr>
          <w:rStyle w:val="CommentReference"/>
          <w:rFonts w:ascii="Arial" w:hAnsi="Arial" w:cs="Arial"/>
          <w:color w:val="000000" w:themeColor="text1"/>
          <w:sz w:val="20"/>
          <w:szCs w:val="20"/>
        </w:rPr>
        <w:commentReference w:id="12"/>
      </w:r>
    </w:p>
    <w:p w14:paraId="76D6F786" w14:textId="77777777" w:rsidR="00771E24" w:rsidRPr="007A682B" w:rsidRDefault="00771E24" w:rsidP="00753C87">
      <w:pPr>
        <w:rPr>
          <w:rFonts w:ascii="Arial" w:hAnsi="Arial" w:cs="Arial"/>
          <w:sz w:val="20"/>
          <w:szCs w:val="20"/>
          <w:u w:val="single"/>
        </w:rPr>
      </w:pPr>
    </w:p>
    <w:p w14:paraId="64D2DC7D" w14:textId="0519263D" w:rsidR="00771E24" w:rsidRPr="007A682B" w:rsidRDefault="00771E24" w:rsidP="00771E24">
      <w:pPr>
        <w:pStyle w:val="Default"/>
        <w:rPr>
          <w:rFonts w:ascii="Arial" w:hAnsi="Arial" w:cs="Arial"/>
          <w:color w:val="000000" w:themeColor="text1"/>
          <w:sz w:val="20"/>
          <w:szCs w:val="20"/>
          <w:u w:val="single"/>
        </w:rPr>
      </w:pPr>
      <w:r w:rsidRPr="007A682B">
        <w:rPr>
          <w:rFonts w:ascii="Arial" w:hAnsi="Arial" w:cs="Arial"/>
          <w:color w:val="000000" w:themeColor="text1"/>
          <w:sz w:val="20"/>
          <w:szCs w:val="20"/>
          <w:u w:val="single"/>
        </w:rPr>
        <w:t xml:space="preserve">Normalization and Initial Clustering </w:t>
      </w:r>
    </w:p>
    <w:p w14:paraId="24BDFE98" w14:textId="77777777" w:rsidR="009E60BC" w:rsidRPr="007A682B" w:rsidRDefault="009E60BC" w:rsidP="00771E24">
      <w:pPr>
        <w:pStyle w:val="Default"/>
        <w:rPr>
          <w:rFonts w:ascii="Arial" w:hAnsi="Arial" w:cs="Arial"/>
          <w:color w:val="000000" w:themeColor="text1"/>
          <w:sz w:val="20"/>
          <w:szCs w:val="20"/>
          <w:u w:val="single"/>
        </w:rPr>
      </w:pPr>
    </w:p>
    <w:p w14:paraId="04BC3FBD" w14:textId="373D12D0" w:rsidR="00357350" w:rsidRPr="007A682B" w:rsidRDefault="00357350" w:rsidP="00357350">
      <w:pPr>
        <w:pStyle w:val="Default"/>
        <w:rPr>
          <w:rFonts w:ascii="Arial" w:hAnsi="Arial" w:cs="Arial"/>
          <w:color w:val="000000" w:themeColor="text1"/>
          <w:sz w:val="20"/>
          <w:szCs w:val="20"/>
        </w:rPr>
      </w:pPr>
      <w:r w:rsidRPr="007A682B">
        <w:rPr>
          <w:rFonts w:ascii="Arial" w:hAnsi="Arial" w:cs="Arial"/>
          <w:color w:val="000000" w:themeColor="text1"/>
          <w:sz w:val="20"/>
          <w:szCs w:val="20"/>
        </w:rPr>
        <w:lastRenderedPageBreak/>
        <w:tab/>
        <w:t xml:space="preserve">Clustering was performed broadly following a standard Seurat pipeline. For the RNA modality, raw counts were normalized using LogNormalize() in Seurat. The top variable features were identified using FindVariableFeatures() (nfeatures = 4,000), and data were scaled using ScaleData() (scale.max = 50). Dimensionality reduction was then performed using RunPCA() (npcs = 50), followed by integration using IntegrateLayers() with HarmonyIntegration() </w:t>
      </w:r>
      <w:r w:rsidRPr="007A682B">
        <w:rPr>
          <w:rFonts w:ascii="Arial" w:hAnsi="Arial" w:cs="Arial"/>
          <w:color w:val="000000" w:themeColor="text1"/>
          <w:sz w:val="20"/>
          <w:szCs w:val="20"/>
        </w:rPr>
        <w:fldChar w:fldCharType="begin"/>
      </w:r>
      <w:r w:rsidR="009613F6" w:rsidRPr="007A682B">
        <w:rPr>
          <w:rFonts w:ascii="Arial" w:hAnsi="Arial" w:cs="Arial"/>
          <w:color w:val="000000" w:themeColor="text1"/>
          <w:sz w:val="20"/>
          <w:szCs w:val="20"/>
        </w:rPr>
        <w:instrText xml:space="preserve"> ADDIN ZOTERO_ITEM CSL_CITATION {"citationID":"HuavlTFa","properties":{"unsorted":false,"formattedCitation":"(63)","plainCitation":"(63)","noteIndex":0},"citationItems":[{"id":3208,"uris":["http://zotero.org/users/11313215/items/LZ5PT7U5"],"itemData":{"id":3208,"type":"article-journal","abstract":"The emerging diversity of single cell RNAseq datasets allows for the full transcriptional characterization of cell types across a wide variety of biological and clinical conditions. However, it is challenging to analyze them together, particularly when datasets are assayed with different technologies. Here, real biological differences are interspersed with technical differences. We present Harmony, an algorithm that projects cells into a shared embedding in which cells group by cell type rather than dataset-specific conditions. Harmony simultaneously accounts for multiple experimental and biological factors. In six analyses, we demonstrate the superior performance of Harmony to previously published algorithms. We show that Harmony requires dramatically fewer computational resources. It is the only currently available algorithm that makes the integration of ~106 cells feasible on a personal computer. We apply Harmony to PBMCs from datasets with large experimental differences, 5 studies of pancreatic islet cells, mouse embryogenesis datasets, and cross-modality spatial integration.","container-title":"Nature methods","DOI":"10.1038/s41592-019-0619-0","ISSN":"1548-7091","issue":"12","journalAbbreviation":"Nat Methods","page":"1289-1296","PMID":"31740819","PMCID":"PMC6884693","source":"PubMed Central","title":"Fast, sensitive, and accurate integration of single cell data with Harmony","volume":"16","author":[{"family":"Korsunsky","given":"Ilya"},{"family":"Millard","given":"Nghia"},{"family":"Fan","given":"Jean"},{"family":"Slowikowski","given":"Kamil"},{"family":"Zhang","given":"Fan"},{"family":"Wei","given":"Kevin"},{"family":"Baglaenko","given":"Yuriy"},{"family":"Brenner","given":"Michael"},{"family":"Loh","given":"Po-ru"},{"family":"Raychaudhuri","given":"Soumya"}],"issued":{"date-parts":[["2019",12]]}}}],"schema":"https://github.com/citation-style-language/schema/raw/master/csl-citation.json"} </w:instrText>
      </w:r>
      <w:r w:rsidRPr="007A682B">
        <w:rPr>
          <w:rFonts w:ascii="Arial" w:hAnsi="Arial" w:cs="Arial"/>
          <w:color w:val="000000" w:themeColor="text1"/>
          <w:sz w:val="20"/>
          <w:szCs w:val="20"/>
        </w:rPr>
        <w:fldChar w:fldCharType="separate"/>
      </w:r>
      <w:r w:rsidR="009613F6" w:rsidRPr="007A682B">
        <w:rPr>
          <w:rFonts w:ascii="Arial" w:hAnsi="Arial" w:cs="Arial"/>
          <w:noProof/>
          <w:color w:val="000000" w:themeColor="text1"/>
          <w:sz w:val="20"/>
          <w:szCs w:val="20"/>
        </w:rPr>
        <w:t>(63)</w:t>
      </w:r>
      <w:r w:rsidRPr="007A682B">
        <w:rPr>
          <w:rFonts w:ascii="Arial" w:hAnsi="Arial" w:cs="Arial"/>
          <w:color w:val="000000" w:themeColor="text1"/>
          <w:sz w:val="20"/>
          <w:szCs w:val="20"/>
        </w:rPr>
        <w:fldChar w:fldCharType="end"/>
      </w:r>
      <w:r w:rsidRPr="007A682B">
        <w:rPr>
          <w:rFonts w:ascii="Arial" w:hAnsi="Arial" w:cs="Arial"/>
          <w:color w:val="000000" w:themeColor="text1"/>
          <w:sz w:val="20"/>
          <w:szCs w:val="20"/>
        </w:rPr>
        <w:t>.</w:t>
      </w:r>
    </w:p>
    <w:p w14:paraId="44E5EC48" w14:textId="77777777" w:rsidR="00357350" w:rsidRPr="007A682B" w:rsidRDefault="00357350" w:rsidP="00357350">
      <w:pPr>
        <w:pStyle w:val="Default"/>
        <w:rPr>
          <w:rFonts w:ascii="Arial" w:hAnsi="Arial" w:cs="Arial"/>
          <w:color w:val="000000" w:themeColor="text1"/>
          <w:sz w:val="20"/>
          <w:szCs w:val="20"/>
        </w:rPr>
      </w:pPr>
    </w:p>
    <w:p w14:paraId="43A66FF5" w14:textId="77777777" w:rsidR="00357350" w:rsidRPr="007A682B" w:rsidRDefault="00357350" w:rsidP="00357350">
      <w:pPr>
        <w:pStyle w:val="Default"/>
        <w:rPr>
          <w:rFonts w:ascii="Arial" w:hAnsi="Arial" w:cs="Arial"/>
          <w:color w:val="000000" w:themeColor="text1"/>
          <w:sz w:val="20"/>
          <w:szCs w:val="20"/>
        </w:rPr>
      </w:pPr>
      <w:r w:rsidRPr="007A682B">
        <w:rPr>
          <w:rFonts w:ascii="Arial" w:hAnsi="Arial" w:cs="Arial"/>
          <w:color w:val="000000" w:themeColor="text1"/>
          <w:sz w:val="20"/>
          <w:szCs w:val="20"/>
        </w:rPr>
        <w:t>For the ATAC modality, the top features within each sequencing pool were identified using FindTopFeatures() (min.cutoff = 10). Term frequency–inverse document frequency (TF-IDF) normalization was performed using RunTFIDF(), followed by singular value decomposition using RunSVD() (n = 50) with features identified by FindTopFeatures(). Pools were then merged, and the same processing steps were applied to the combined dataset. Integration anchors were identified using FindIntegrationAnchors() (anchor.features = VariableFeatures, dims = 2:30, n.trees = 100, l2.norm = FALSE, scale = FALSE, max.features = 500). IntegrateEmbeddings() was then used with these anchors to generate a unified latent semantic indexing (LSI) reduction.</w:t>
      </w:r>
    </w:p>
    <w:p w14:paraId="6321CFC3" w14:textId="77777777" w:rsidR="00357350" w:rsidRPr="007A682B" w:rsidRDefault="00357350" w:rsidP="00357350">
      <w:pPr>
        <w:pStyle w:val="Default"/>
        <w:rPr>
          <w:rFonts w:ascii="Arial" w:hAnsi="Arial" w:cs="Arial"/>
          <w:color w:val="000000" w:themeColor="text1"/>
          <w:sz w:val="20"/>
          <w:szCs w:val="20"/>
        </w:rPr>
      </w:pPr>
    </w:p>
    <w:p w14:paraId="4269487E" w14:textId="17E08392" w:rsidR="009E60BC" w:rsidRPr="007A682B" w:rsidRDefault="00357350" w:rsidP="00357350">
      <w:pPr>
        <w:pStyle w:val="Default"/>
        <w:rPr>
          <w:rFonts w:ascii="Arial" w:hAnsi="Arial" w:cs="Arial"/>
          <w:color w:val="000000" w:themeColor="text1"/>
          <w:sz w:val="20"/>
          <w:szCs w:val="20"/>
        </w:rPr>
      </w:pPr>
      <w:r w:rsidRPr="007A682B">
        <w:rPr>
          <w:rFonts w:ascii="Arial" w:hAnsi="Arial" w:cs="Arial"/>
          <w:color w:val="000000" w:themeColor="text1"/>
          <w:sz w:val="20"/>
          <w:szCs w:val="20"/>
        </w:rPr>
        <w:t xml:space="preserve">A weighted nearest-neighbor graph integrating both modalities was constructed using FindMultiModalNeighbors() (RNA dimensions = 1:50; ATAC dimensions = 2:50; prune.SNN = 0), using the RNA Harmony and ATAC LSI reductions. A uniform manifold approximation and projection (UMAP) was generated using RunUMAP() (min.dist = 0.4, metric = "euclidean"), and clusters were identified using FindClusters() (algorithm = 3, resolution = 0.4). An initial clustering resolution of 0.4 was selected based on the method described by Bai and Chu (2024) </w:t>
      </w:r>
      <w:r w:rsidRPr="007A682B">
        <w:rPr>
          <w:rFonts w:ascii="Arial" w:hAnsi="Arial" w:cs="Arial"/>
          <w:color w:val="000000" w:themeColor="text1"/>
          <w:sz w:val="20"/>
          <w:szCs w:val="20"/>
        </w:rPr>
        <w:fldChar w:fldCharType="begin"/>
      </w:r>
      <w:r w:rsidR="009613F6" w:rsidRPr="007A682B">
        <w:rPr>
          <w:rFonts w:ascii="Arial" w:hAnsi="Arial" w:cs="Arial"/>
          <w:color w:val="000000" w:themeColor="text1"/>
          <w:sz w:val="20"/>
          <w:szCs w:val="20"/>
        </w:rPr>
        <w:instrText xml:space="preserve"> ADDIN ZOTERO_ITEM CSL_CITATION {"citationID":"gGtPOlyE","properties":{"unsorted":false,"formattedCitation":"(64)","plainCitation":"(64)","noteIndex":0},"citationItems":[{"id":3490,"uris":["http://zotero.org/users/11313215/items/8DNNEG88"],"itemData":{"id":3490,"type":"article","abstract":"We consider the problem of estimating the number of clusters (k) in a dataset. We propose a non-parametric approach to the problem that utilizes similarity graphs to construct a robust statistic that effectively captures similarity information among observations. This graph-based statistic is applicable to datasets of any dimension, is computationally efficient to obtain, and can be paired with any kind of clustering technique. Asymptotic theory is developed to establish the selection consistency of the proposed approach. Simulation studies demonstrate that the graph-based statistic outperforms existing methods for estimating k, especially in the high-dimensional setting. We illustrate its utility on an imaging dataset and an RNA-seq dataset.","DOI":"10.48550/arXiv.2402.15600","note":"arXiv:2402.15600 [stat]","number":"arXiv:2402.15600","publisher":"arXiv","source":"arXiv.org","title":"A Graph-based Approach to Estimating the Number of Clusters","URL":"http://arxiv.org/abs/2402.15600","author":[{"family":"Bai","given":"Yichuan"},{"family":"Chu","given":"Lynna"}],"accessed":{"date-parts":[["2025",3,11]]},"issued":{"date-parts":[["2024",11,5]]}}}],"schema":"https://github.com/citation-style-language/schema/raw/master/csl-citation.json"} </w:instrText>
      </w:r>
      <w:r w:rsidRPr="007A682B">
        <w:rPr>
          <w:rFonts w:ascii="Arial" w:hAnsi="Arial" w:cs="Arial"/>
          <w:color w:val="000000" w:themeColor="text1"/>
          <w:sz w:val="20"/>
          <w:szCs w:val="20"/>
        </w:rPr>
        <w:fldChar w:fldCharType="separate"/>
      </w:r>
      <w:r w:rsidR="009613F6" w:rsidRPr="007A682B">
        <w:rPr>
          <w:rFonts w:ascii="Arial" w:hAnsi="Arial" w:cs="Arial"/>
          <w:noProof/>
          <w:color w:val="000000" w:themeColor="text1"/>
          <w:sz w:val="20"/>
          <w:szCs w:val="20"/>
        </w:rPr>
        <w:t>(64)</w:t>
      </w:r>
      <w:r w:rsidRPr="007A682B">
        <w:rPr>
          <w:rFonts w:ascii="Arial" w:hAnsi="Arial" w:cs="Arial"/>
          <w:color w:val="000000" w:themeColor="text1"/>
          <w:sz w:val="20"/>
          <w:szCs w:val="20"/>
        </w:rPr>
        <w:fldChar w:fldCharType="end"/>
      </w:r>
      <w:r w:rsidRPr="007A682B">
        <w:rPr>
          <w:rFonts w:ascii="Arial" w:hAnsi="Arial" w:cs="Arial"/>
          <w:color w:val="000000" w:themeColor="text1"/>
          <w:sz w:val="20"/>
          <w:szCs w:val="20"/>
        </w:rPr>
        <w:t>.</w:t>
      </w:r>
    </w:p>
    <w:p w14:paraId="25426806" w14:textId="77777777" w:rsidR="009E60BC" w:rsidRPr="007A682B" w:rsidRDefault="009E60BC" w:rsidP="0013365A">
      <w:pPr>
        <w:rPr>
          <w:rFonts w:ascii="Arial" w:hAnsi="Arial" w:cs="Arial"/>
          <w:sz w:val="20"/>
          <w:szCs w:val="20"/>
        </w:rPr>
      </w:pPr>
    </w:p>
    <w:p w14:paraId="1CD9A0E2" w14:textId="5BE18CEE" w:rsidR="00294540" w:rsidRPr="007A682B" w:rsidRDefault="00294540" w:rsidP="00753C87">
      <w:pPr>
        <w:rPr>
          <w:rFonts w:ascii="Arial" w:hAnsi="Arial" w:cs="Arial"/>
          <w:sz w:val="20"/>
          <w:szCs w:val="20"/>
          <w:u w:val="single"/>
        </w:rPr>
      </w:pPr>
      <w:r w:rsidRPr="007A682B">
        <w:rPr>
          <w:rFonts w:ascii="Arial" w:hAnsi="Arial" w:cs="Arial"/>
          <w:sz w:val="20"/>
          <w:szCs w:val="20"/>
          <w:u w:val="single"/>
        </w:rPr>
        <w:t xml:space="preserve">Removal of </w:t>
      </w:r>
      <w:r w:rsidR="00771E24" w:rsidRPr="007A682B">
        <w:rPr>
          <w:rFonts w:ascii="Arial" w:hAnsi="Arial" w:cs="Arial"/>
          <w:sz w:val="20"/>
          <w:szCs w:val="20"/>
          <w:u w:val="single"/>
        </w:rPr>
        <w:t>D</w:t>
      </w:r>
      <w:r w:rsidRPr="007A682B">
        <w:rPr>
          <w:rFonts w:ascii="Arial" w:hAnsi="Arial" w:cs="Arial"/>
          <w:sz w:val="20"/>
          <w:szCs w:val="20"/>
          <w:u w:val="single"/>
        </w:rPr>
        <w:t xml:space="preserve">issection </w:t>
      </w:r>
      <w:r w:rsidR="00771E24" w:rsidRPr="007A682B">
        <w:rPr>
          <w:rFonts w:ascii="Arial" w:hAnsi="Arial" w:cs="Arial"/>
          <w:sz w:val="20"/>
          <w:szCs w:val="20"/>
          <w:u w:val="single"/>
        </w:rPr>
        <w:t>E</w:t>
      </w:r>
      <w:r w:rsidRPr="007A682B">
        <w:rPr>
          <w:rFonts w:ascii="Arial" w:hAnsi="Arial" w:cs="Arial"/>
          <w:sz w:val="20"/>
          <w:szCs w:val="20"/>
          <w:u w:val="single"/>
        </w:rPr>
        <w:t>rrors</w:t>
      </w:r>
    </w:p>
    <w:p w14:paraId="4C8C6DD5" w14:textId="49935C24" w:rsidR="003341ED" w:rsidRPr="007A682B" w:rsidRDefault="00771E24" w:rsidP="00753C87">
      <w:pPr>
        <w:rPr>
          <w:rFonts w:ascii="Arial" w:hAnsi="Arial" w:cs="Arial"/>
          <w:sz w:val="20"/>
          <w:szCs w:val="20"/>
        </w:rPr>
      </w:pPr>
      <w:r w:rsidRPr="007A682B">
        <w:rPr>
          <w:rFonts w:ascii="Arial" w:hAnsi="Arial" w:cs="Arial"/>
          <w:sz w:val="20"/>
          <w:szCs w:val="20"/>
        </w:rPr>
        <w:tab/>
        <w:t xml:space="preserve">To remove clusters likely the result of </w:t>
      </w:r>
      <w:r w:rsidR="0013365A" w:rsidRPr="007A682B">
        <w:rPr>
          <w:rFonts w:ascii="Arial" w:hAnsi="Arial" w:cs="Arial"/>
          <w:sz w:val="20"/>
          <w:szCs w:val="20"/>
        </w:rPr>
        <w:t>dissection errors, we first excluded any clusters that appeared in. &lt; 90% of individuals. Next, we calculated the coefficient of variation (CV) for each clusters relative abundance across all individuals and excluded any clusters with a CV higher than</w:t>
      </w:r>
      <w:r w:rsidR="00922B58">
        <w:rPr>
          <w:rFonts w:ascii="Arial" w:hAnsi="Arial" w:cs="Arial"/>
          <w:sz w:val="20"/>
          <w:szCs w:val="20"/>
        </w:rPr>
        <w:t xml:space="preserve"> </w:t>
      </w:r>
      <w:r w:rsidR="002E7186">
        <w:rPr>
          <w:rFonts w:ascii="Arial" w:hAnsi="Arial" w:cs="Arial"/>
          <w:sz w:val="20"/>
          <w:szCs w:val="20"/>
        </w:rPr>
        <w:t>0.</w:t>
      </w:r>
      <w:r w:rsidR="00922B58">
        <w:rPr>
          <w:rFonts w:ascii="Arial" w:hAnsi="Arial" w:cs="Arial"/>
          <w:sz w:val="20"/>
          <w:szCs w:val="20"/>
        </w:rPr>
        <w:t xml:space="preserve">5. </w:t>
      </w:r>
    </w:p>
    <w:p w14:paraId="17869912" w14:textId="77777777" w:rsidR="00B07A8D" w:rsidRPr="007A682B" w:rsidRDefault="00B07A8D" w:rsidP="00753C87">
      <w:pPr>
        <w:rPr>
          <w:rFonts w:ascii="Arial" w:hAnsi="Arial" w:cs="Arial"/>
          <w:sz w:val="20"/>
          <w:szCs w:val="20"/>
        </w:rPr>
      </w:pPr>
    </w:p>
    <w:p w14:paraId="4BB6BE5D" w14:textId="47376D79" w:rsidR="00294540" w:rsidRPr="007A682B" w:rsidRDefault="00771E24" w:rsidP="00753C87">
      <w:pPr>
        <w:rPr>
          <w:rFonts w:ascii="Arial" w:hAnsi="Arial" w:cs="Arial"/>
          <w:sz w:val="20"/>
          <w:szCs w:val="20"/>
          <w:u w:val="single"/>
        </w:rPr>
      </w:pPr>
      <w:r w:rsidRPr="007A682B">
        <w:rPr>
          <w:rFonts w:ascii="Arial" w:hAnsi="Arial" w:cs="Arial"/>
          <w:sz w:val="20"/>
          <w:szCs w:val="20"/>
          <w:u w:val="single"/>
        </w:rPr>
        <w:t>Final</w:t>
      </w:r>
      <w:r w:rsidR="00294540" w:rsidRPr="007A682B">
        <w:rPr>
          <w:rFonts w:ascii="Arial" w:hAnsi="Arial" w:cs="Arial"/>
          <w:sz w:val="20"/>
          <w:szCs w:val="20"/>
          <w:u w:val="single"/>
        </w:rPr>
        <w:t xml:space="preserve"> Clustering</w:t>
      </w:r>
    </w:p>
    <w:p w14:paraId="1130ECCD" w14:textId="5B5EA80A" w:rsidR="00294540" w:rsidRPr="007A682B" w:rsidRDefault="00294540" w:rsidP="00753C87">
      <w:pPr>
        <w:rPr>
          <w:rFonts w:ascii="Arial" w:hAnsi="Arial" w:cs="Arial"/>
          <w:sz w:val="20"/>
          <w:szCs w:val="20"/>
        </w:rPr>
      </w:pPr>
      <w:r w:rsidRPr="007A682B">
        <w:rPr>
          <w:rFonts w:ascii="Arial" w:hAnsi="Arial" w:cs="Arial"/>
          <w:sz w:val="20"/>
          <w:szCs w:val="20"/>
        </w:rPr>
        <w:tab/>
        <w:t xml:space="preserve">In order to find the optimal set of parameters for </w:t>
      </w:r>
      <w:r w:rsidR="00E46755" w:rsidRPr="007A682B">
        <w:rPr>
          <w:rFonts w:ascii="Arial" w:hAnsi="Arial" w:cs="Arial"/>
          <w:sz w:val="20"/>
          <w:szCs w:val="20"/>
        </w:rPr>
        <w:t xml:space="preserve">WNN clustering, we next performed a parameter sweep across RNA principal </w:t>
      </w:r>
      <w:r w:rsidR="00B07A8D" w:rsidRPr="007A682B">
        <w:rPr>
          <w:rFonts w:ascii="Arial" w:hAnsi="Arial" w:cs="Arial"/>
          <w:sz w:val="20"/>
          <w:szCs w:val="20"/>
        </w:rPr>
        <w:t>componen</w:t>
      </w:r>
      <w:r w:rsidR="00E46755" w:rsidRPr="007A682B">
        <w:rPr>
          <w:rFonts w:ascii="Arial" w:hAnsi="Arial" w:cs="Arial"/>
          <w:sz w:val="20"/>
          <w:szCs w:val="20"/>
        </w:rPr>
        <w:t>ts (30-50), ATAC LSI com</w:t>
      </w:r>
      <w:r w:rsidR="00F27886">
        <w:rPr>
          <w:rFonts w:ascii="Arial" w:hAnsi="Arial" w:cs="Arial"/>
          <w:sz w:val="20"/>
          <w:szCs w:val="20"/>
        </w:rPr>
        <w:t>po</w:t>
      </w:r>
      <w:r w:rsidR="00E46755" w:rsidRPr="007A682B">
        <w:rPr>
          <w:rFonts w:ascii="Arial" w:hAnsi="Arial" w:cs="Arial"/>
          <w:sz w:val="20"/>
          <w:szCs w:val="20"/>
        </w:rPr>
        <w:t>nents (2-50), k-nearest neighbors (30, 40, 50), and Leiden clustering resolution (0.4-1.5). We then selected the combination with the highest mean pairwise Adjusted Rand Index, resulting in our final clustering resolution for downstream analysis being composed of 40 RNA principal components, 45 ATAC LSI components, and 0.8 clustering resolution.</w:t>
      </w:r>
    </w:p>
    <w:p w14:paraId="1122E7D4" w14:textId="77777777" w:rsidR="00B07A8D" w:rsidRPr="007A682B" w:rsidRDefault="00B07A8D" w:rsidP="00753C87">
      <w:pPr>
        <w:rPr>
          <w:rFonts w:ascii="Arial" w:hAnsi="Arial" w:cs="Arial"/>
          <w:sz w:val="20"/>
          <w:szCs w:val="20"/>
        </w:rPr>
      </w:pPr>
    </w:p>
    <w:p w14:paraId="32DDB200" w14:textId="2C9ADC90" w:rsidR="00991F18" w:rsidRPr="007A682B" w:rsidRDefault="00991F18" w:rsidP="00753C87">
      <w:pPr>
        <w:rPr>
          <w:rFonts w:ascii="Arial" w:hAnsi="Arial" w:cs="Arial"/>
          <w:b/>
          <w:bCs/>
          <w:sz w:val="20"/>
          <w:szCs w:val="20"/>
        </w:rPr>
      </w:pPr>
      <w:r w:rsidRPr="007A682B">
        <w:rPr>
          <w:rFonts w:ascii="Arial" w:hAnsi="Arial" w:cs="Arial"/>
          <w:b/>
          <w:bCs/>
          <w:sz w:val="20"/>
          <w:szCs w:val="20"/>
        </w:rPr>
        <w:t>Spatial Transcriptomics</w:t>
      </w:r>
    </w:p>
    <w:p w14:paraId="5C0F3F9A" w14:textId="77777777" w:rsidR="00202DDC" w:rsidRPr="007A682B" w:rsidRDefault="00202DDC" w:rsidP="00753C87">
      <w:pPr>
        <w:rPr>
          <w:rFonts w:ascii="Arial" w:hAnsi="Arial" w:cs="Arial"/>
          <w:sz w:val="20"/>
          <w:szCs w:val="20"/>
          <w:u w:val="single"/>
        </w:rPr>
      </w:pPr>
    </w:p>
    <w:p w14:paraId="11B165F2" w14:textId="24C95D5B" w:rsidR="00B37FE2" w:rsidRPr="007A682B" w:rsidRDefault="00B37FE2" w:rsidP="00753C87">
      <w:pPr>
        <w:rPr>
          <w:rFonts w:ascii="Arial" w:hAnsi="Arial" w:cs="Arial"/>
          <w:sz w:val="20"/>
          <w:szCs w:val="20"/>
          <w:u w:val="single"/>
        </w:rPr>
      </w:pPr>
      <w:r w:rsidRPr="007A682B">
        <w:rPr>
          <w:rFonts w:ascii="Arial" w:hAnsi="Arial" w:cs="Arial"/>
          <w:sz w:val="20"/>
          <w:szCs w:val="20"/>
          <w:u w:val="single"/>
        </w:rPr>
        <w:t>Tissue Collection and Sectioning</w:t>
      </w:r>
    </w:p>
    <w:p w14:paraId="338769FE" w14:textId="77777777" w:rsidR="00C864D6" w:rsidRPr="007A682B" w:rsidRDefault="00C864D6" w:rsidP="00753C87">
      <w:pPr>
        <w:rPr>
          <w:rFonts w:ascii="Arial" w:hAnsi="Arial" w:cs="Arial"/>
          <w:sz w:val="20"/>
          <w:szCs w:val="20"/>
          <w:u w:val="single"/>
        </w:rPr>
      </w:pPr>
    </w:p>
    <w:p w14:paraId="685633C3" w14:textId="46AEBCB3" w:rsidR="007E445A" w:rsidRPr="007A682B" w:rsidRDefault="007E445A" w:rsidP="007E445A">
      <w:pPr>
        <w:rPr>
          <w:rFonts w:ascii="Arial" w:hAnsi="Arial" w:cs="Arial"/>
          <w:sz w:val="20"/>
          <w:szCs w:val="20"/>
        </w:rPr>
      </w:pPr>
      <w:r w:rsidRPr="007A682B">
        <w:rPr>
          <w:rFonts w:ascii="Arial" w:hAnsi="Arial" w:cs="Arial"/>
          <w:sz w:val="20"/>
          <w:szCs w:val="20"/>
        </w:rPr>
        <w:t>Six males and six females from six tanks containing established male–female reproductive pairs were sampled (12 fish total</w:t>
      </w:r>
      <w:commentRangeStart w:id="13"/>
      <w:r w:rsidRPr="007A682B">
        <w:rPr>
          <w:rFonts w:ascii="Arial" w:hAnsi="Arial" w:cs="Arial"/>
          <w:sz w:val="20"/>
          <w:szCs w:val="20"/>
        </w:rPr>
        <w:t xml:space="preserve">; </w:t>
      </w:r>
      <w:r w:rsidRPr="007A682B">
        <w:rPr>
          <w:rFonts w:ascii="Arial" w:hAnsi="Arial" w:cs="Arial"/>
          <w:sz w:val="20"/>
          <w:szCs w:val="20"/>
          <w:highlight w:val="yellow"/>
        </w:rPr>
        <w:t xml:space="preserve">see Supplementary Table </w:t>
      </w:r>
      <w:r w:rsidR="004A27C9" w:rsidRPr="004A27C9">
        <w:rPr>
          <w:rFonts w:ascii="Arial" w:hAnsi="Arial" w:cs="Arial"/>
          <w:sz w:val="20"/>
          <w:szCs w:val="20"/>
          <w:highlight w:val="yellow"/>
        </w:rPr>
        <w:t>xx</w:t>
      </w:r>
      <w:r w:rsidRPr="007A682B">
        <w:rPr>
          <w:rFonts w:ascii="Arial" w:hAnsi="Arial" w:cs="Arial"/>
          <w:sz w:val="20"/>
          <w:szCs w:val="20"/>
          <w:highlight w:val="yellow"/>
        </w:rPr>
        <w:t xml:space="preserve"> for lengths and weights</w:t>
      </w:r>
      <w:commentRangeEnd w:id="13"/>
      <w:r w:rsidR="00913D54" w:rsidRPr="007A682B">
        <w:rPr>
          <w:rStyle w:val="CommentReference"/>
          <w:rFonts w:ascii="Arial" w:hAnsi="Arial" w:cs="Arial"/>
          <w:sz w:val="20"/>
          <w:szCs w:val="20"/>
        </w:rPr>
        <w:commentReference w:id="13"/>
      </w:r>
      <w:r w:rsidRPr="007A682B">
        <w:rPr>
          <w:rFonts w:ascii="Arial" w:hAnsi="Arial" w:cs="Arial"/>
          <w:sz w:val="20"/>
          <w:szCs w:val="20"/>
        </w:rPr>
        <w:t>). Fish were decapitated, and brains were rapidly removed and placed in molds containing chilled OCT maintained at wet-ice temperature. Each mold contained four brains representing two reproductive pairs from two tanks (two males and two females). Brains were arranged with the anterior end facing down and the spinal cord facing up, with the two female brains positioned in the top row and the two male brains in the bottom row. This arrangement was designed to maximize the amount of brain tissue that could be accommodated within the capture area of each Visium HD slide.</w:t>
      </w:r>
    </w:p>
    <w:p w14:paraId="4E0CA79D" w14:textId="77777777" w:rsidR="007E445A" w:rsidRPr="007A682B" w:rsidRDefault="007E445A" w:rsidP="007E445A">
      <w:pPr>
        <w:rPr>
          <w:rFonts w:ascii="Arial" w:hAnsi="Arial" w:cs="Arial"/>
          <w:sz w:val="20"/>
          <w:szCs w:val="20"/>
        </w:rPr>
      </w:pPr>
    </w:p>
    <w:p w14:paraId="568721D4" w14:textId="77777777" w:rsidR="007E445A" w:rsidRPr="007A682B" w:rsidRDefault="007E445A" w:rsidP="007E445A">
      <w:pPr>
        <w:rPr>
          <w:rFonts w:ascii="Arial" w:hAnsi="Arial" w:cs="Arial"/>
          <w:sz w:val="20"/>
          <w:szCs w:val="20"/>
        </w:rPr>
      </w:pPr>
      <w:r w:rsidRPr="007A682B">
        <w:rPr>
          <w:rFonts w:ascii="Arial" w:hAnsi="Arial" w:cs="Arial"/>
          <w:sz w:val="20"/>
          <w:szCs w:val="20"/>
        </w:rPr>
        <w:t>Following embedding, molds were frozen at −80°C and transferred directly to a cryostat for fresh-frozen sectioning. Brains were sectioned at 10 μm, and sections were selected for Visium HD based on tissue quality and anatomical coverage, with the goal of maximizing the brain area represented and sampling across the rostrocaudal extent of the dissected regions. Four sections were placed on each Visium HD slide, with each section containing tissue from four fish representing two tanks. Four Visium HD slides were prepared. Two slides contained sections from the same four fish (two reproductive pairs), whereas the remaining two slides contained sections from the other eight fish (four reproductive pairs). Thus, all 12 fish were represented across the four slides, with four fish represented on two slides.</w:t>
      </w:r>
    </w:p>
    <w:p w14:paraId="19299C28" w14:textId="77777777" w:rsidR="007E445A" w:rsidRPr="007A682B" w:rsidRDefault="007E445A" w:rsidP="007E445A">
      <w:pPr>
        <w:rPr>
          <w:rFonts w:ascii="Arial" w:hAnsi="Arial" w:cs="Arial"/>
          <w:sz w:val="20"/>
          <w:szCs w:val="20"/>
        </w:rPr>
      </w:pPr>
    </w:p>
    <w:p w14:paraId="2B242D11" w14:textId="6C5871B6" w:rsidR="00B37FE2" w:rsidRPr="007A682B" w:rsidRDefault="007E445A" w:rsidP="007E445A">
      <w:pPr>
        <w:rPr>
          <w:rFonts w:ascii="Arial" w:hAnsi="Arial" w:cs="Arial"/>
          <w:sz w:val="20"/>
          <w:szCs w:val="20"/>
        </w:rPr>
      </w:pPr>
      <w:r w:rsidRPr="007A682B">
        <w:rPr>
          <w:rFonts w:ascii="Arial" w:hAnsi="Arial" w:cs="Arial"/>
          <w:sz w:val="20"/>
          <w:szCs w:val="20"/>
        </w:rPr>
        <w:t>Sections were briefly thawed to promote adherence to the slide and then immediately returned to frozen conditions on dry ice or at −80°C until Visium HD processing. Although every effort was made to maintain a consistent plane of section, some brains were sectioned at slightly oblique angles.</w:t>
      </w:r>
    </w:p>
    <w:p w14:paraId="1CC6281A" w14:textId="77777777" w:rsidR="007E445A" w:rsidRPr="007A682B" w:rsidRDefault="007E445A" w:rsidP="007E445A">
      <w:pPr>
        <w:rPr>
          <w:rFonts w:ascii="Arial" w:hAnsi="Arial" w:cs="Arial"/>
          <w:sz w:val="20"/>
          <w:szCs w:val="20"/>
        </w:rPr>
      </w:pPr>
    </w:p>
    <w:p w14:paraId="169626B1" w14:textId="1CD87020" w:rsidR="00E079F4" w:rsidRPr="00E079F4" w:rsidRDefault="00E079F4" w:rsidP="00E079F4">
      <w:pPr>
        <w:rPr>
          <w:rFonts w:ascii="Arial" w:hAnsi="Arial" w:cs="Arial"/>
          <w:sz w:val="20"/>
          <w:szCs w:val="20"/>
          <w:u w:val="single"/>
        </w:rPr>
      </w:pPr>
      <w:commentRangeStart w:id="14"/>
      <w:r w:rsidRPr="00E079F4">
        <w:rPr>
          <w:rFonts w:ascii="Arial" w:hAnsi="Arial" w:cs="Arial"/>
          <w:sz w:val="20"/>
          <w:szCs w:val="20"/>
          <w:u w:val="single"/>
        </w:rPr>
        <w:t>Visium HD</w:t>
      </w:r>
      <w:r w:rsidRPr="00E079F4">
        <w:rPr>
          <w:rFonts w:ascii="Arial" w:hAnsi="Arial" w:cs="Arial"/>
          <w:sz w:val="20"/>
          <w:szCs w:val="20"/>
          <w:u w:val="single"/>
        </w:rPr>
        <w:t xml:space="preserve"> </w:t>
      </w:r>
      <w:r w:rsidRPr="00E079F4">
        <w:rPr>
          <w:rFonts w:ascii="Arial" w:hAnsi="Arial" w:cs="Arial"/>
          <w:sz w:val="20"/>
          <w:szCs w:val="20"/>
          <w:u w:val="single"/>
        </w:rPr>
        <w:t>3’ Spatial transcriptomic</w:t>
      </w:r>
      <w:r w:rsidRPr="00E079F4">
        <w:rPr>
          <w:rFonts w:ascii="Arial" w:hAnsi="Arial" w:cs="Arial"/>
          <w:sz w:val="20"/>
          <w:szCs w:val="20"/>
          <w:u w:val="single"/>
        </w:rPr>
        <w:t>s</w:t>
      </w:r>
    </w:p>
    <w:p w14:paraId="19571C03" w14:textId="77777777" w:rsidR="00E079F4" w:rsidRPr="00E079F4" w:rsidRDefault="00E079F4" w:rsidP="00E079F4">
      <w:pPr>
        <w:rPr>
          <w:rFonts w:ascii="Arial" w:hAnsi="Arial" w:cs="Arial"/>
          <w:sz w:val="20"/>
          <w:szCs w:val="20"/>
        </w:rPr>
      </w:pPr>
    </w:p>
    <w:p w14:paraId="3DDA4C0C" w14:textId="77777777" w:rsidR="00E079F4" w:rsidRPr="00E079F4" w:rsidRDefault="00E079F4" w:rsidP="00E079F4">
      <w:pPr>
        <w:ind w:firstLine="720"/>
        <w:rPr>
          <w:rFonts w:ascii="Arial" w:hAnsi="Arial" w:cs="Arial"/>
          <w:sz w:val="20"/>
          <w:szCs w:val="20"/>
        </w:rPr>
      </w:pPr>
      <w:r w:rsidRPr="00E079F4">
        <w:rPr>
          <w:rFonts w:ascii="Arial" w:hAnsi="Arial" w:cs="Arial"/>
          <w:sz w:val="20"/>
          <w:szCs w:val="20"/>
        </w:rPr>
        <w:t>For Visium HD 3′ Spatial Gene Expression analysis, fresh frozen tissue sections were prepared according to the manufacturer's recommended tissue preparation workflow (CG000804, Rev B, 10x Genomics, USA). The workflow includes tissue sectioning, fixation, hematoxylin and eosin (H&amp;E) staining, and imaging. Visium HD 3′ is designed specifically for fresh frozen tissue and uses polyadenylated RNA for whole transcriptome capture. Following tissue fixation, sections were stained with H&amp;E to visualize tissue morphology. The stained tissue sections were imaged using a high-resolution microscope, generating a brightfield image for subsequent spatial registration and analysis. Following imaging, (Visium HD 3' Spatial Gene Expression, CG000805, Rev B) the tissue slide was aligned with the Visium HD 3′ spatial capture slide using the Visium CytAssist instrument. The CytAssist system positions the tissue section relative to the spatially barcoded capture surface. The tissue was subsequently processed to allow release of cellular RNA. Polyadenylated RNA molecules released from the tissue were captured by oligonucleotides containing spatial barcodes, unique molecular identifiers (UMIs), and poly(dT) sequences. The poly(dT) sequences hybridize to the poly(A) tails of mRNA molecules. This results in each captured transcript being associated with a spatial barcode corresponding to its original location in the tissue. Captured RNA was subjected to reverse transcription to generate spatially barcoded cDNA. During this process, the spatial barcode and UMI information become associated with the resulting cDNA molecules.</w:t>
      </w:r>
      <w:commentRangeEnd w:id="14"/>
      <w:r w:rsidRPr="00E079F4">
        <w:rPr>
          <w:rStyle w:val="CommentReference"/>
          <w:rFonts w:ascii="Arial" w:hAnsi="Arial" w:cs="Arial"/>
          <w:sz w:val="20"/>
          <w:szCs w:val="20"/>
        </w:rPr>
        <w:commentReference w:id="14"/>
      </w:r>
    </w:p>
    <w:p w14:paraId="7AA44199" w14:textId="77777777" w:rsidR="00E079F4" w:rsidRPr="00E079F4" w:rsidRDefault="00E079F4" w:rsidP="00E079F4">
      <w:pPr>
        <w:rPr>
          <w:rFonts w:ascii="Arial" w:hAnsi="Arial" w:cs="Arial"/>
          <w:sz w:val="20"/>
          <w:szCs w:val="20"/>
        </w:rPr>
      </w:pPr>
    </w:p>
    <w:p w14:paraId="0A75713D" w14:textId="5C8EC1A1" w:rsidR="00E079F4" w:rsidRPr="00E079F4" w:rsidRDefault="00E079F4" w:rsidP="00E079F4">
      <w:pPr>
        <w:rPr>
          <w:rFonts w:ascii="Arial" w:hAnsi="Arial" w:cs="Arial"/>
          <w:sz w:val="20"/>
          <w:szCs w:val="20"/>
          <w:u w:val="single"/>
        </w:rPr>
      </w:pPr>
      <w:r w:rsidRPr="00E079F4">
        <w:rPr>
          <w:rFonts w:ascii="Arial" w:hAnsi="Arial" w:cs="Arial"/>
          <w:sz w:val="20"/>
          <w:szCs w:val="20"/>
          <w:u w:val="single"/>
        </w:rPr>
        <w:t>Final construction and sequencing of 10x Visium libraries</w:t>
      </w:r>
    </w:p>
    <w:p w14:paraId="5685DECA" w14:textId="77777777" w:rsidR="00E079F4" w:rsidRPr="00E079F4" w:rsidRDefault="00E079F4" w:rsidP="00E079F4">
      <w:pPr>
        <w:rPr>
          <w:rFonts w:ascii="Arial" w:hAnsi="Arial" w:cs="Arial"/>
          <w:sz w:val="20"/>
          <w:szCs w:val="20"/>
        </w:rPr>
      </w:pPr>
    </w:p>
    <w:p w14:paraId="70B5FC7A" w14:textId="221A1804" w:rsidR="00B37FE2" w:rsidRPr="00E079F4" w:rsidRDefault="00E079F4" w:rsidP="00E079F4">
      <w:pPr>
        <w:ind w:firstLine="720"/>
        <w:rPr>
          <w:rFonts w:ascii="Arial" w:hAnsi="Arial" w:cs="Arial"/>
          <w:sz w:val="20"/>
          <w:szCs w:val="20"/>
        </w:rPr>
      </w:pPr>
      <w:r w:rsidRPr="00E079F4">
        <w:rPr>
          <w:rFonts w:ascii="Arial" w:hAnsi="Arial" w:cs="Arial"/>
          <w:sz w:val="20"/>
          <w:szCs w:val="20"/>
        </w:rPr>
        <w:t xml:space="preserve">Spatially barcoded cDNAs were immediately brought to the </w:t>
      </w:r>
      <w:r>
        <w:rPr>
          <w:rFonts w:ascii="Arial" w:hAnsi="Arial" w:cs="Arial"/>
          <w:sz w:val="20"/>
          <w:szCs w:val="20"/>
        </w:rPr>
        <w:t xml:space="preserve">UIUC Carver Biotech </w:t>
      </w:r>
      <w:r w:rsidRPr="00E079F4">
        <w:rPr>
          <w:rFonts w:ascii="Arial" w:hAnsi="Arial" w:cs="Arial"/>
          <w:sz w:val="20"/>
          <w:szCs w:val="20"/>
        </w:rPr>
        <w:t>DNA Services Core for amplification, strictly following the 10x Genomics Visium HD 3’ Fresh Frozen protocol. The amplified cDNAs were enzymatically fragmented and converted into sequencing-ready, dual-indexed libraries through standard end-repair, A-tailing, adaptor ligation, and PCR. The final libraries were quantitated on Qubit (Life Technologies, Grand Island, NY) and the average size determined on the Fragment Analyzer (Agilent Technologies, Santa Clara, CA). The libraries were pooled by calculated capture spot coverage via Loupe Browser and the pool diluted to 5nM concentration, then further quantitated by qPCR on a Bio-Rad CFX Connect Real-Time System (Bio-Rad Laboratories, Inc. CA). The final pool was sequenced on one lane of 25B flowcell on an Illumina NovaSeq X Plus (Illumina, San Diego, CA) to a length of 43nt (read 1, contains the spot barcode and unique molecular identifier used for removing PCR duplicates), 10nt for each index (libraries contain unique dual indexes to prevent index switching) and 75nt for read 2 (the cDNA read). Fastq.gz files were generated and demultiplexed with bcl-convert v4.3.6 Conversion Software (Illumina).</w:t>
      </w:r>
    </w:p>
    <w:p w14:paraId="2A436C34" w14:textId="77777777" w:rsidR="00E079F4" w:rsidRPr="007A682B" w:rsidRDefault="00E079F4" w:rsidP="00E079F4">
      <w:pPr>
        <w:rPr>
          <w:rFonts w:ascii="Arial" w:hAnsi="Arial" w:cs="Arial"/>
          <w:sz w:val="20"/>
          <w:szCs w:val="20"/>
          <w:u w:val="single"/>
        </w:rPr>
      </w:pPr>
    </w:p>
    <w:p w14:paraId="1403A537" w14:textId="63AC9635" w:rsidR="00B37FE2" w:rsidRPr="007A682B" w:rsidRDefault="00B37FE2" w:rsidP="00753C87">
      <w:pPr>
        <w:rPr>
          <w:rFonts w:ascii="Arial" w:hAnsi="Arial" w:cs="Arial"/>
          <w:sz w:val="20"/>
          <w:szCs w:val="20"/>
          <w:u w:val="single"/>
        </w:rPr>
      </w:pPr>
      <w:r w:rsidRPr="007A682B">
        <w:rPr>
          <w:rFonts w:ascii="Arial" w:hAnsi="Arial" w:cs="Arial"/>
          <w:sz w:val="20"/>
          <w:szCs w:val="20"/>
          <w:u w:val="single"/>
        </w:rPr>
        <w:t>Read Alignment</w:t>
      </w:r>
    </w:p>
    <w:p w14:paraId="5D6A7078" w14:textId="1D938B8D" w:rsidR="00D20A6D" w:rsidRPr="007A682B" w:rsidRDefault="00D20A6D" w:rsidP="00753C87">
      <w:pPr>
        <w:rPr>
          <w:rFonts w:ascii="Arial" w:hAnsi="Arial" w:cs="Arial"/>
          <w:sz w:val="20"/>
          <w:szCs w:val="20"/>
        </w:rPr>
      </w:pPr>
      <w:r w:rsidRPr="007A682B">
        <w:rPr>
          <w:rFonts w:ascii="Arial" w:hAnsi="Arial" w:cs="Arial"/>
          <w:sz w:val="20"/>
          <w:szCs w:val="20"/>
        </w:rPr>
        <w:tab/>
      </w:r>
      <w:commentRangeStart w:id="15"/>
      <w:r w:rsidRPr="007A682B">
        <w:rPr>
          <w:rFonts w:ascii="Arial" w:hAnsi="Arial" w:cs="Arial"/>
          <w:sz w:val="20"/>
          <w:szCs w:val="20"/>
        </w:rPr>
        <w:t xml:space="preserve">Reads were aligned using space ranger version </w:t>
      </w:r>
      <w:r w:rsidR="004A27C9" w:rsidRPr="004A27C9">
        <w:rPr>
          <w:rFonts w:ascii="Arial" w:hAnsi="Arial" w:cs="Arial"/>
          <w:sz w:val="20"/>
          <w:szCs w:val="20"/>
          <w:highlight w:val="yellow"/>
        </w:rPr>
        <w:t>xx</w:t>
      </w:r>
      <w:commentRangeEnd w:id="15"/>
      <w:r w:rsidRPr="007A682B">
        <w:rPr>
          <w:rStyle w:val="CommentReference"/>
          <w:rFonts w:ascii="Arial" w:hAnsi="Arial" w:cs="Arial"/>
          <w:sz w:val="20"/>
          <w:szCs w:val="20"/>
        </w:rPr>
        <w:commentReference w:id="15"/>
      </w:r>
      <w:r w:rsidR="007E445A" w:rsidRPr="007A682B">
        <w:rPr>
          <w:rFonts w:ascii="Arial" w:hAnsi="Arial" w:cs="Arial"/>
          <w:sz w:val="20"/>
          <w:szCs w:val="20"/>
        </w:rPr>
        <w:t>Jenny</w:t>
      </w:r>
    </w:p>
    <w:p w14:paraId="0EF0BE30" w14:textId="77777777" w:rsidR="00E46755" w:rsidRPr="007A682B" w:rsidRDefault="00E46755" w:rsidP="00753C87">
      <w:pPr>
        <w:rPr>
          <w:rFonts w:ascii="Arial" w:hAnsi="Arial" w:cs="Arial"/>
          <w:b/>
          <w:bCs/>
          <w:sz w:val="20"/>
          <w:szCs w:val="20"/>
        </w:rPr>
      </w:pPr>
    </w:p>
    <w:p w14:paraId="58D6616A" w14:textId="2D12AEA2" w:rsidR="00C84A09" w:rsidRPr="007A682B" w:rsidRDefault="00C84A09" w:rsidP="00753C87">
      <w:pPr>
        <w:rPr>
          <w:rFonts w:ascii="Arial" w:hAnsi="Arial" w:cs="Arial"/>
          <w:sz w:val="20"/>
          <w:szCs w:val="20"/>
          <w:u w:val="single"/>
        </w:rPr>
      </w:pPr>
      <w:r w:rsidRPr="007A682B">
        <w:rPr>
          <w:rFonts w:ascii="Arial" w:hAnsi="Arial" w:cs="Arial"/>
          <w:sz w:val="20"/>
          <w:szCs w:val="20"/>
          <w:u w:val="single"/>
        </w:rPr>
        <w:t>Quality Control</w:t>
      </w:r>
      <w:r w:rsidR="00D20A6D" w:rsidRPr="007A682B">
        <w:rPr>
          <w:rFonts w:ascii="Arial" w:hAnsi="Arial" w:cs="Arial"/>
          <w:sz w:val="20"/>
          <w:szCs w:val="20"/>
          <w:u w:val="single"/>
        </w:rPr>
        <w:t xml:space="preserve"> </w:t>
      </w:r>
      <w:r w:rsidR="0055180A" w:rsidRPr="007A682B">
        <w:rPr>
          <w:rFonts w:ascii="Arial" w:hAnsi="Arial" w:cs="Arial"/>
          <w:sz w:val="20"/>
          <w:szCs w:val="20"/>
          <w:u w:val="single"/>
        </w:rPr>
        <w:t>and Sketching</w:t>
      </w:r>
      <w:r w:rsidR="00D20A6D" w:rsidRPr="007A682B">
        <w:rPr>
          <w:rFonts w:ascii="Arial" w:hAnsi="Arial" w:cs="Arial"/>
          <w:sz w:val="20"/>
          <w:szCs w:val="20"/>
          <w:u w:val="single"/>
        </w:rPr>
        <w:t xml:space="preserve"> </w:t>
      </w:r>
    </w:p>
    <w:p w14:paraId="3473291A" w14:textId="76324899" w:rsidR="00C84A09" w:rsidRPr="007A682B" w:rsidRDefault="00D20A6D" w:rsidP="00753C87">
      <w:pPr>
        <w:rPr>
          <w:rFonts w:ascii="Arial" w:hAnsi="Arial" w:cs="Arial"/>
          <w:sz w:val="20"/>
          <w:szCs w:val="20"/>
        </w:rPr>
      </w:pPr>
      <w:r w:rsidRPr="007A682B">
        <w:rPr>
          <w:rFonts w:ascii="Arial" w:hAnsi="Arial" w:cs="Arial"/>
          <w:sz w:val="20"/>
          <w:szCs w:val="20"/>
        </w:rPr>
        <w:tab/>
        <w:t>All four capture areas were merged resulting in 463,466 total spots. Spots with &lt;25 UMIs or ≥50% mitochondrial reads were discarded, resulting in 433,999 spots for downstream analysis. Spot feature counts were then normalized (NormalizeData) and variable features were computed (FindVariableFeatures). For computational efficiency, we then created a SketchData assay (ncells = 50000, method = “LeverageScore”, features = VariableFeatures</w:t>
      </w:r>
      <w:r w:rsidR="0055180A" w:rsidRPr="007A682B">
        <w:rPr>
          <w:rFonts w:ascii="Arial" w:hAnsi="Arial" w:cs="Arial"/>
          <w:sz w:val="20"/>
          <w:szCs w:val="20"/>
        </w:rPr>
        <w:t xml:space="preserve">) which was used for downstream analyses. </w:t>
      </w:r>
    </w:p>
    <w:p w14:paraId="15C88F02" w14:textId="77777777" w:rsidR="0055180A" w:rsidRPr="007A682B" w:rsidRDefault="0055180A" w:rsidP="00753C87">
      <w:pPr>
        <w:rPr>
          <w:rFonts w:ascii="Arial" w:hAnsi="Arial" w:cs="Arial"/>
          <w:sz w:val="20"/>
          <w:szCs w:val="20"/>
        </w:rPr>
      </w:pPr>
    </w:p>
    <w:p w14:paraId="74E2F449" w14:textId="510AF7B4" w:rsidR="00686A03" w:rsidRPr="007A682B" w:rsidRDefault="00686A03" w:rsidP="00753C87">
      <w:pPr>
        <w:rPr>
          <w:rFonts w:ascii="Arial" w:hAnsi="Arial" w:cs="Arial"/>
          <w:b/>
          <w:bCs/>
          <w:sz w:val="20"/>
          <w:szCs w:val="20"/>
        </w:rPr>
      </w:pPr>
      <w:r w:rsidRPr="007A682B">
        <w:rPr>
          <w:rFonts w:ascii="Arial" w:hAnsi="Arial" w:cs="Arial"/>
          <w:b/>
          <w:bCs/>
          <w:sz w:val="20"/>
          <w:szCs w:val="20"/>
        </w:rPr>
        <w:t>Neuroanatomical Annotation</w:t>
      </w:r>
    </w:p>
    <w:p w14:paraId="63C82243" w14:textId="0A168C0C" w:rsidR="00686A03" w:rsidRPr="007A682B" w:rsidRDefault="00FA7CDB" w:rsidP="00555CB5">
      <w:pPr>
        <w:ind w:firstLine="720"/>
        <w:rPr>
          <w:rFonts w:ascii="Arial" w:hAnsi="Arial" w:cs="Arial"/>
          <w:sz w:val="20"/>
          <w:szCs w:val="20"/>
        </w:rPr>
      </w:pPr>
      <w:r w:rsidRPr="007A682B">
        <w:rPr>
          <w:rFonts w:ascii="Arial" w:hAnsi="Arial" w:cs="Arial"/>
          <w:sz w:val="20"/>
          <w:szCs w:val="20"/>
        </w:rPr>
        <w:t xml:space="preserve">Because there is no published atlas for any anemonefish brain, we relied </w:t>
      </w:r>
      <w:r w:rsidR="006056B6" w:rsidRPr="007A682B">
        <w:rPr>
          <w:rFonts w:ascii="Arial" w:hAnsi="Arial" w:cs="Arial"/>
          <w:sz w:val="20"/>
          <w:szCs w:val="20"/>
        </w:rPr>
        <w:t xml:space="preserve">on a published atlas from </w:t>
      </w:r>
      <w:r w:rsidR="006056B6" w:rsidRPr="007A682B">
        <w:rPr>
          <w:rFonts w:ascii="Arial" w:hAnsi="Arial" w:cs="Arial"/>
          <w:i/>
          <w:iCs/>
          <w:sz w:val="20"/>
          <w:szCs w:val="20"/>
        </w:rPr>
        <w:t>Astatotilapia burtoni</w:t>
      </w:r>
      <w:r w:rsidR="0005005F" w:rsidRPr="007A682B">
        <w:rPr>
          <w:rFonts w:ascii="Arial" w:hAnsi="Arial" w:cs="Arial"/>
          <w:sz w:val="20"/>
          <w:szCs w:val="20"/>
        </w:rPr>
        <w:t xml:space="preserve"> </w:t>
      </w:r>
      <w:r w:rsidR="0005005F" w:rsidRPr="007A682B">
        <w:rPr>
          <w:rFonts w:ascii="Arial" w:hAnsi="Arial" w:cs="Arial"/>
          <w:sz w:val="20"/>
          <w:szCs w:val="20"/>
        </w:rPr>
        <w:fldChar w:fldCharType="begin"/>
      </w:r>
      <w:r w:rsidR="009613F6" w:rsidRPr="007A682B">
        <w:rPr>
          <w:rFonts w:ascii="Arial" w:hAnsi="Arial" w:cs="Arial"/>
          <w:sz w:val="20"/>
          <w:szCs w:val="20"/>
        </w:rPr>
        <w:instrText xml:space="preserve"> ADDIN ZOTERO_ITEM CSL_CITATION {"citationID":"pOiFwZiB","properties":{"unsorted":false,"formattedCitation":"(65)","plainCitation":"(65)","noteIndex":0},"citationItems":[{"id":6395,"uris":["http://zotero.org/users/11313215/items/QTQQG9ZG"],"itemData":{"id":6395,"type":"article-journal","abstract":"Neural communication depends on release and reception of different neurotransmitters within complex circuits that ultimately mediate basic biological functions. We mapped the distribution of glutamatergic, GABAergic, and cholinergic neurons in the brain of the African cichlid fish Astatotilapia burtoni using in situ hybridization to label vesicular glutamate transporters (vglut1, vglut2.1, vglut3), glutamate decarboxylases (gad1, gad2), and choline acetyltransferase (chat). Cells expressing the glutamatergic markers vgluts 1-3 show primarily nonoverlapping distribution patterns, with the most widespread expression observed for vglut2.1, and more restricted expression of vglut1 and vglut3. vglut1 is prominent in granular layers of the cerebellum, habenula, preglomerular nuclei, and several other diencephalic, mesencephalic, and rhombencephalic regions. vglut2.1 is widely expressed in many nuclei from the olfactory bulbs to the hindbrain, while vglut3 is restricted to the hypothalamus and hindbrain. GABAergic cells show largely overlapping gad1 and gad2 expression in most brain regions. GABAergic expression dominates nuclei of the subpallial ventral telencephalon, while glutamatergic expression dominates nuclei of the pallial dorsal telencephalon. chat-expressing cells are prominent in motor cranial nerve nuclei, and some scattered cells lie in the preoptic area and ventral part of the ventral telencephalon. A localization summary of these markers within regions of the conserved social decision-making network reveals a predominance of either GABAergic or glutamatergic cells within individual nuclei. The neurotransmitter distributions described here in the brain of a single fish species provide an important resource for identification of brain nuclei in other fishes, as well as future comparative studies on circuit organization and function. J. Comp. Neurol. 525:610-638, 2017. © 2016 Wiley Periodicals, Inc.","container-title":"The Journal of Comparative Neurology","DOI":"10.1002/cne.24092","ISSN":"1096-9861","issue":"3","journalAbbreviation":"J Comp Neurol","language":"eng","page":"610-638","PMID":"27507772","source":"PubMed","title":"Localization of glutamatergic, GABAergic, and cholinergic neurons in the brain of the African cichlid fish, Astatotilapia burtoni","volume":"525","author":[{"family":"Maruska","given":"Karen P."},{"family":"Butler","given":"Julie M."},{"family":"Field","given":"Karen E."},{"family":"Porter","given":"Danielle T."}],"issued":{"date-parts":[["2017",2,15]]}}}],"schema":"https://github.com/citation-style-language/schema/raw/master/csl-citation.json"} </w:instrText>
      </w:r>
      <w:r w:rsidR="0005005F" w:rsidRPr="007A682B">
        <w:rPr>
          <w:rFonts w:ascii="Arial" w:hAnsi="Arial" w:cs="Arial"/>
          <w:sz w:val="20"/>
          <w:szCs w:val="20"/>
        </w:rPr>
        <w:fldChar w:fldCharType="separate"/>
      </w:r>
      <w:r w:rsidR="009613F6" w:rsidRPr="007A682B">
        <w:rPr>
          <w:rFonts w:ascii="Arial" w:hAnsi="Arial" w:cs="Arial"/>
          <w:sz w:val="20"/>
          <w:szCs w:val="20"/>
        </w:rPr>
        <w:t>(65)</w:t>
      </w:r>
      <w:r w:rsidR="0005005F" w:rsidRPr="007A682B">
        <w:rPr>
          <w:rFonts w:ascii="Arial" w:hAnsi="Arial" w:cs="Arial"/>
          <w:sz w:val="20"/>
          <w:szCs w:val="20"/>
        </w:rPr>
        <w:fldChar w:fldCharType="end"/>
      </w:r>
      <w:r w:rsidR="0005005F" w:rsidRPr="007A682B">
        <w:rPr>
          <w:rFonts w:ascii="Arial" w:hAnsi="Arial" w:cs="Arial"/>
          <w:sz w:val="20"/>
          <w:szCs w:val="20"/>
        </w:rPr>
        <w:t xml:space="preserve"> </w:t>
      </w:r>
      <w:r w:rsidR="00364E61" w:rsidRPr="007A682B">
        <w:rPr>
          <w:rFonts w:ascii="Arial" w:hAnsi="Arial" w:cs="Arial"/>
          <w:sz w:val="20"/>
          <w:szCs w:val="20"/>
        </w:rPr>
        <w:t xml:space="preserve">in combination with unbiased clustering and gene expression </w:t>
      </w:r>
      <w:r w:rsidR="007B3AC0" w:rsidRPr="007A682B">
        <w:rPr>
          <w:rFonts w:ascii="Arial" w:hAnsi="Arial" w:cs="Arial"/>
          <w:sz w:val="20"/>
          <w:szCs w:val="20"/>
        </w:rPr>
        <w:t>(see “Spatial Transcriptomics”)</w:t>
      </w:r>
      <w:r w:rsidR="00364E61" w:rsidRPr="007A682B">
        <w:rPr>
          <w:rFonts w:ascii="Arial" w:hAnsi="Arial" w:cs="Arial"/>
          <w:sz w:val="20"/>
          <w:szCs w:val="20"/>
        </w:rPr>
        <w:t xml:space="preserve"> </w:t>
      </w:r>
      <w:r w:rsidR="0005005F" w:rsidRPr="007A682B">
        <w:rPr>
          <w:rFonts w:ascii="Arial" w:hAnsi="Arial" w:cs="Arial"/>
          <w:sz w:val="20"/>
          <w:szCs w:val="20"/>
        </w:rPr>
        <w:t xml:space="preserve">for </w:t>
      </w:r>
      <w:r w:rsidR="007B3AC0" w:rsidRPr="007A682B">
        <w:rPr>
          <w:rFonts w:ascii="Arial" w:hAnsi="Arial" w:cs="Arial"/>
          <w:sz w:val="20"/>
          <w:szCs w:val="20"/>
        </w:rPr>
        <w:t>our annotations</w:t>
      </w:r>
      <w:r w:rsidR="006056B6" w:rsidRPr="007A682B">
        <w:rPr>
          <w:rFonts w:ascii="Arial" w:hAnsi="Arial" w:cs="Arial"/>
          <w:sz w:val="20"/>
          <w:szCs w:val="20"/>
        </w:rPr>
        <w:t>.</w:t>
      </w:r>
      <w:r w:rsidR="007B3AC0" w:rsidRPr="007A682B">
        <w:rPr>
          <w:rFonts w:ascii="Arial" w:hAnsi="Arial" w:cs="Arial"/>
          <w:sz w:val="20"/>
          <w:szCs w:val="20"/>
        </w:rPr>
        <w:t xml:space="preserve"> Interestingly, we noted a few differences between the </w:t>
      </w:r>
      <w:r w:rsidR="007B3AC0" w:rsidRPr="007A682B">
        <w:rPr>
          <w:rFonts w:ascii="Arial" w:hAnsi="Arial" w:cs="Arial"/>
          <w:i/>
          <w:iCs/>
          <w:sz w:val="20"/>
          <w:szCs w:val="20"/>
        </w:rPr>
        <w:t xml:space="preserve">A. ocellaris </w:t>
      </w:r>
      <w:r w:rsidR="007B3AC0" w:rsidRPr="007A682B">
        <w:rPr>
          <w:rFonts w:ascii="Arial" w:hAnsi="Arial" w:cs="Arial"/>
          <w:sz w:val="20"/>
          <w:szCs w:val="20"/>
        </w:rPr>
        <w:lastRenderedPageBreak/>
        <w:t xml:space="preserve">and </w:t>
      </w:r>
      <w:r w:rsidR="007B3AC0" w:rsidRPr="007A682B">
        <w:rPr>
          <w:rFonts w:ascii="Arial" w:hAnsi="Arial" w:cs="Arial"/>
          <w:i/>
          <w:iCs/>
          <w:sz w:val="20"/>
          <w:szCs w:val="20"/>
        </w:rPr>
        <w:t xml:space="preserve">A. burtoni </w:t>
      </w:r>
      <w:r w:rsidR="007B3AC0" w:rsidRPr="007A682B">
        <w:rPr>
          <w:rFonts w:ascii="Arial" w:hAnsi="Arial" w:cs="Arial"/>
          <w:sz w:val="20"/>
          <w:szCs w:val="20"/>
        </w:rPr>
        <w:t xml:space="preserve">brains. </w:t>
      </w:r>
      <w:r w:rsidR="0026691F" w:rsidRPr="007A682B">
        <w:rPr>
          <w:rFonts w:ascii="Arial" w:hAnsi="Arial" w:cs="Arial"/>
          <w:sz w:val="20"/>
          <w:szCs w:val="20"/>
        </w:rPr>
        <w:t>Transcriptomically, Dl-v2</w:t>
      </w:r>
      <w:r w:rsidR="00685644" w:rsidRPr="007A682B">
        <w:rPr>
          <w:rFonts w:ascii="Arial" w:hAnsi="Arial" w:cs="Arial"/>
          <w:sz w:val="20"/>
          <w:szCs w:val="20"/>
        </w:rPr>
        <w:t xml:space="preserve"> (ventral part of the lateral zone of the dorsal telencephalon, subdivision 2)</w:t>
      </w:r>
      <w:r w:rsidR="00765A31" w:rsidRPr="007A682B">
        <w:rPr>
          <w:rFonts w:ascii="Arial" w:hAnsi="Arial" w:cs="Arial"/>
          <w:sz w:val="20"/>
          <w:szCs w:val="20"/>
        </w:rPr>
        <w:t xml:space="preserve"> and</w:t>
      </w:r>
      <w:r w:rsidR="0009486A" w:rsidRPr="007A682B">
        <w:rPr>
          <w:rFonts w:ascii="Arial" w:hAnsi="Arial" w:cs="Arial"/>
          <w:sz w:val="20"/>
          <w:szCs w:val="20"/>
        </w:rPr>
        <w:t xml:space="preserve"> Dl-g</w:t>
      </w:r>
      <w:r w:rsidR="00685644" w:rsidRPr="007A682B">
        <w:rPr>
          <w:rFonts w:ascii="Arial" w:hAnsi="Arial" w:cs="Arial"/>
          <w:sz w:val="20"/>
          <w:szCs w:val="20"/>
        </w:rPr>
        <w:t xml:space="preserve"> (granular zone of lateral zone of the dorsal telencephalon)</w:t>
      </w:r>
      <w:r w:rsidR="004958FF" w:rsidRPr="007A682B">
        <w:rPr>
          <w:rFonts w:ascii="Arial" w:hAnsi="Arial" w:cs="Arial"/>
          <w:sz w:val="20"/>
          <w:szCs w:val="20"/>
        </w:rPr>
        <w:t>, were distinct in their transcriptomes depending on rostral versus caudal position</w:t>
      </w:r>
      <w:r w:rsidR="00C05010" w:rsidRPr="007A682B">
        <w:rPr>
          <w:rFonts w:ascii="Arial" w:hAnsi="Arial" w:cs="Arial"/>
          <w:sz w:val="20"/>
          <w:szCs w:val="20"/>
        </w:rPr>
        <w:t xml:space="preserve"> or dorsal versus ventral position</w:t>
      </w:r>
      <w:r w:rsidR="004958FF" w:rsidRPr="007A682B">
        <w:rPr>
          <w:rFonts w:ascii="Arial" w:hAnsi="Arial" w:cs="Arial"/>
          <w:sz w:val="20"/>
          <w:szCs w:val="20"/>
        </w:rPr>
        <w:t>. Thus, we reannotated them as Dl-v2d</w:t>
      </w:r>
      <w:r w:rsidR="00765A31" w:rsidRPr="007A682B">
        <w:rPr>
          <w:rFonts w:ascii="Arial" w:hAnsi="Arial" w:cs="Arial"/>
          <w:sz w:val="20"/>
          <w:szCs w:val="20"/>
        </w:rPr>
        <w:t xml:space="preserve"> and </w:t>
      </w:r>
      <w:r w:rsidR="00F20567" w:rsidRPr="007A682B">
        <w:rPr>
          <w:rFonts w:ascii="Arial" w:hAnsi="Arial" w:cs="Arial"/>
          <w:sz w:val="20"/>
          <w:szCs w:val="20"/>
        </w:rPr>
        <w:t>Dl-gd</w:t>
      </w:r>
      <w:r w:rsidR="004958FF" w:rsidRPr="007A682B">
        <w:rPr>
          <w:rFonts w:ascii="Arial" w:hAnsi="Arial" w:cs="Arial"/>
          <w:sz w:val="20"/>
          <w:szCs w:val="20"/>
        </w:rPr>
        <w:t xml:space="preserve"> (dor</w:t>
      </w:r>
      <w:r w:rsidR="00C05010" w:rsidRPr="007A682B">
        <w:rPr>
          <w:rFonts w:ascii="Arial" w:hAnsi="Arial" w:cs="Arial"/>
          <w:sz w:val="20"/>
          <w:szCs w:val="20"/>
        </w:rPr>
        <w:t xml:space="preserve">sal </w:t>
      </w:r>
      <w:r w:rsidR="00485133" w:rsidRPr="007A682B">
        <w:rPr>
          <w:rFonts w:ascii="Arial" w:hAnsi="Arial" w:cs="Arial"/>
          <w:sz w:val="20"/>
          <w:szCs w:val="20"/>
        </w:rPr>
        <w:t>part</w:t>
      </w:r>
      <w:r w:rsidR="00C05010" w:rsidRPr="007A682B">
        <w:rPr>
          <w:rFonts w:ascii="Arial" w:hAnsi="Arial" w:cs="Arial"/>
          <w:sz w:val="20"/>
          <w:szCs w:val="20"/>
        </w:rPr>
        <w:t>)</w:t>
      </w:r>
      <w:r w:rsidR="00296CF0" w:rsidRPr="007A682B">
        <w:rPr>
          <w:rFonts w:ascii="Arial" w:hAnsi="Arial" w:cs="Arial"/>
          <w:sz w:val="20"/>
          <w:szCs w:val="20"/>
        </w:rPr>
        <w:t xml:space="preserve">. </w:t>
      </w:r>
      <w:r w:rsidR="00085EC5" w:rsidRPr="007A682B">
        <w:rPr>
          <w:rFonts w:ascii="Arial" w:hAnsi="Arial" w:cs="Arial"/>
          <w:sz w:val="20"/>
          <w:szCs w:val="20"/>
        </w:rPr>
        <w:t>We also noted a neuronal cluster of high cell density in the dorsolateral pallium</w:t>
      </w:r>
      <w:r w:rsidR="00685644" w:rsidRPr="007A682B">
        <w:rPr>
          <w:rFonts w:ascii="Arial" w:hAnsi="Arial" w:cs="Arial"/>
          <w:sz w:val="20"/>
          <w:szCs w:val="20"/>
        </w:rPr>
        <w:t xml:space="preserve"> ne</w:t>
      </w:r>
      <w:r w:rsidR="00C4164E" w:rsidRPr="007A682B">
        <w:rPr>
          <w:rFonts w:ascii="Arial" w:hAnsi="Arial" w:cs="Arial"/>
          <w:sz w:val="20"/>
          <w:szCs w:val="20"/>
        </w:rPr>
        <w:t>ar Dl-g</w:t>
      </w:r>
      <w:r w:rsidR="00085EC5" w:rsidRPr="007A682B">
        <w:rPr>
          <w:rFonts w:ascii="Arial" w:hAnsi="Arial" w:cs="Arial"/>
          <w:sz w:val="20"/>
          <w:szCs w:val="20"/>
        </w:rPr>
        <w:t xml:space="preserve"> that appeared to have no equivalent</w:t>
      </w:r>
      <w:r w:rsidR="00485133" w:rsidRPr="007A682B">
        <w:rPr>
          <w:rFonts w:ascii="Arial" w:hAnsi="Arial" w:cs="Arial"/>
          <w:sz w:val="20"/>
          <w:szCs w:val="20"/>
        </w:rPr>
        <w:t xml:space="preserve"> in </w:t>
      </w:r>
      <w:r w:rsidR="00485133" w:rsidRPr="007A682B">
        <w:rPr>
          <w:rFonts w:ascii="Arial" w:hAnsi="Arial" w:cs="Arial"/>
          <w:i/>
          <w:iCs/>
          <w:sz w:val="20"/>
          <w:szCs w:val="20"/>
        </w:rPr>
        <w:t>A. burtoni</w:t>
      </w:r>
      <w:r w:rsidR="00485133" w:rsidRPr="007A682B">
        <w:rPr>
          <w:rFonts w:ascii="Arial" w:hAnsi="Arial" w:cs="Arial"/>
          <w:sz w:val="20"/>
          <w:szCs w:val="20"/>
        </w:rPr>
        <w:t xml:space="preserve"> and had unique rostral and caudal transcriptomes. Thus, we labeled this dorsolateral</w:t>
      </w:r>
      <w:r w:rsidR="006915ED" w:rsidRPr="007A682B">
        <w:rPr>
          <w:rFonts w:ascii="Arial" w:hAnsi="Arial" w:cs="Arial"/>
          <w:sz w:val="20"/>
          <w:szCs w:val="20"/>
        </w:rPr>
        <w:t xml:space="preserve"> nucleus rostral and caudal parts (Dln-r and Dln-c)</w:t>
      </w:r>
      <w:r w:rsidR="00C4164E" w:rsidRPr="007A682B">
        <w:rPr>
          <w:rFonts w:ascii="Arial" w:hAnsi="Arial" w:cs="Arial"/>
          <w:sz w:val="20"/>
          <w:szCs w:val="20"/>
        </w:rPr>
        <w:t xml:space="preserve"> (</w:t>
      </w:r>
      <w:r w:rsidR="00C4164E" w:rsidRPr="007A682B">
        <w:rPr>
          <w:rFonts w:ascii="Arial" w:hAnsi="Arial" w:cs="Arial"/>
          <w:sz w:val="20"/>
          <w:szCs w:val="20"/>
          <w:highlight w:val="yellow"/>
        </w:rPr>
        <w:t>Figure S</w:t>
      </w:r>
      <w:r w:rsidR="00860220" w:rsidRPr="007A682B">
        <w:rPr>
          <w:rFonts w:ascii="Arial" w:hAnsi="Arial" w:cs="Arial"/>
          <w:sz w:val="20"/>
          <w:szCs w:val="20"/>
        </w:rPr>
        <w:t>3</w:t>
      </w:r>
      <w:r w:rsidR="00065EE2" w:rsidRPr="007A682B">
        <w:rPr>
          <w:rFonts w:ascii="Arial" w:hAnsi="Arial" w:cs="Arial"/>
          <w:sz w:val="20"/>
          <w:szCs w:val="20"/>
        </w:rPr>
        <w:t>)</w:t>
      </w:r>
      <w:r w:rsidR="006915ED" w:rsidRPr="007A682B">
        <w:rPr>
          <w:rFonts w:ascii="Arial" w:hAnsi="Arial" w:cs="Arial"/>
          <w:sz w:val="20"/>
          <w:szCs w:val="20"/>
        </w:rPr>
        <w:t xml:space="preserve">. </w:t>
      </w:r>
      <w:r w:rsidR="00277795" w:rsidRPr="007A682B">
        <w:rPr>
          <w:rFonts w:ascii="Arial" w:hAnsi="Arial" w:cs="Arial"/>
          <w:sz w:val="20"/>
          <w:szCs w:val="20"/>
        </w:rPr>
        <w:t xml:space="preserve">Because this cell type was largely dissected out in our dataset, we did not examine it farther. </w:t>
      </w:r>
    </w:p>
    <w:p w14:paraId="5D106664" w14:textId="77777777" w:rsidR="00B07A8D" w:rsidRPr="007A682B" w:rsidRDefault="00B07A8D" w:rsidP="00555CB5">
      <w:pPr>
        <w:ind w:firstLine="720"/>
        <w:rPr>
          <w:rFonts w:ascii="Arial" w:hAnsi="Arial" w:cs="Arial"/>
          <w:sz w:val="20"/>
          <w:szCs w:val="20"/>
        </w:rPr>
      </w:pPr>
    </w:p>
    <w:p w14:paraId="3485FDED" w14:textId="72755CF7" w:rsidR="00686A03" w:rsidRPr="007A682B" w:rsidRDefault="006145D5" w:rsidP="00753C87">
      <w:pPr>
        <w:rPr>
          <w:rFonts w:ascii="Arial" w:hAnsi="Arial" w:cs="Arial"/>
          <w:b/>
          <w:bCs/>
          <w:sz w:val="20"/>
          <w:szCs w:val="20"/>
        </w:rPr>
      </w:pPr>
      <w:r w:rsidRPr="007A682B">
        <w:rPr>
          <w:rFonts w:ascii="Arial" w:hAnsi="Arial" w:cs="Arial"/>
          <w:b/>
          <w:bCs/>
          <w:sz w:val="20"/>
          <w:szCs w:val="20"/>
        </w:rPr>
        <w:t xml:space="preserve">Projection of snMultiome Data </w:t>
      </w:r>
      <w:r w:rsidR="002A0494" w:rsidRPr="007A682B">
        <w:rPr>
          <w:rFonts w:ascii="Arial" w:hAnsi="Arial" w:cs="Arial"/>
          <w:b/>
          <w:bCs/>
          <w:sz w:val="20"/>
          <w:szCs w:val="20"/>
        </w:rPr>
        <w:t>onto</w:t>
      </w:r>
      <w:r w:rsidRPr="007A682B">
        <w:rPr>
          <w:rFonts w:ascii="Arial" w:hAnsi="Arial" w:cs="Arial"/>
          <w:b/>
          <w:bCs/>
          <w:sz w:val="20"/>
          <w:szCs w:val="20"/>
        </w:rPr>
        <w:t xml:space="preserve"> VisiumHD Data</w:t>
      </w:r>
      <w:r w:rsidR="009F4952" w:rsidRPr="007A682B">
        <w:rPr>
          <w:rFonts w:ascii="Arial" w:hAnsi="Arial" w:cs="Arial"/>
          <w:b/>
          <w:bCs/>
          <w:sz w:val="20"/>
          <w:szCs w:val="20"/>
        </w:rPr>
        <w:t xml:space="preserve"> </w:t>
      </w:r>
    </w:p>
    <w:p w14:paraId="501CF65B" w14:textId="3C27C2A4" w:rsidR="006145D5" w:rsidRPr="007A682B" w:rsidRDefault="0057324D" w:rsidP="00753C87">
      <w:pPr>
        <w:rPr>
          <w:rFonts w:ascii="Arial" w:hAnsi="Arial" w:cs="Arial"/>
          <w:sz w:val="20"/>
          <w:szCs w:val="20"/>
        </w:rPr>
      </w:pPr>
      <w:r w:rsidRPr="007A682B">
        <w:rPr>
          <w:rFonts w:ascii="Arial" w:hAnsi="Arial" w:cs="Arial"/>
          <w:sz w:val="20"/>
          <w:szCs w:val="20"/>
        </w:rPr>
        <w:tab/>
        <w:t xml:space="preserve">To map our snMultiome clusters onto the VisiumHD sections, we used </w:t>
      </w:r>
      <w:r w:rsidR="00B5051C" w:rsidRPr="007A682B">
        <w:rPr>
          <w:rFonts w:ascii="Arial" w:hAnsi="Arial" w:cs="Arial"/>
          <w:sz w:val="20"/>
          <w:szCs w:val="20"/>
        </w:rPr>
        <w:t>C</w:t>
      </w:r>
      <w:r w:rsidR="001E145A" w:rsidRPr="007A682B">
        <w:rPr>
          <w:rFonts w:ascii="Arial" w:hAnsi="Arial" w:cs="Arial"/>
          <w:sz w:val="20"/>
          <w:szCs w:val="20"/>
        </w:rPr>
        <w:t>ell2location</w:t>
      </w:r>
      <w:r w:rsidR="000A694F" w:rsidRPr="007A682B">
        <w:rPr>
          <w:rFonts w:ascii="Arial" w:hAnsi="Arial" w:cs="Arial"/>
          <w:sz w:val="20"/>
          <w:szCs w:val="20"/>
        </w:rPr>
        <w:t xml:space="preserve"> </w:t>
      </w:r>
      <w:r w:rsidRPr="007A682B">
        <w:rPr>
          <w:rFonts w:ascii="Arial" w:hAnsi="Arial" w:cs="Arial"/>
          <w:sz w:val="20"/>
          <w:szCs w:val="20"/>
        </w:rPr>
        <w:fldChar w:fldCharType="begin"/>
      </w:r>
      <w:r w:rsidR="0072390C" w:rsidRPr="007A682B">
        <w:rPr>
          <w:rFonts w:ascii="Arial" w:hAnsi="Arial" w:cs="Arial"/>
          <w:sz w:val="20"/>
          <w:szCs w:val="20"/>
        </w:rPr>
        <w:instrText xml:space="preserve"> ADDIN ZOTERO_ITEM CSL_CITATION {"citationID":"IS8MyP8B","properties":{"unsorted":false,"formattedCitation":"(15)","plainCitation":"(15)","noteIndex":0},"citationItems":[{"id":6492,"uris":["http://zotero.org/users/11313215/items/BC3FN9G6"],"itemData":{"id":6492,"type":"article-journal","abstract":"Spatial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accounts for technical sources of variation and borrows statistical strength across locations, thereby enabling the integration of single-cell and spatial transcriptomics with higher sensitivity and resolution than existing tools. We assessed cell2location in three different tissues and show improved mapping of fine-grained cell types. In the mouse brain, we discovered fine regional astrocyte subtypes across the thalamus and hypothalamus. In the human lymph node, we spatially mapped a rare pre-germinal center B cell population. In the human gut, we resolved fine immune cell populations in lymphoid follicles. Collectively, our results present сell2location as a versatile analysis tool for mapping tissue architectures in a comprehensive manner.","container-title":"Nature Biotechnology","DOI":"10.1038/s41587-021-01139-4","ISSN":"1546-1696","issue":"5","journalAbbreviation":"Nat Biotechnol","language":"en","license":"2022 The Author(s), under exclusive licence to Springer Nature America, Inc.","page":"661-671","publisher":"Nature Publishing Group","source":"www.nature.com","title":"Cell2location maps fine-grained cell types in spatial transcriptomics","volume":"40","author":[{"family":"Kleshchevnikov","given":"Vitalii"},{"family":"Shmatko","given":"Artem"},{"family":"Dann","given":"Emma"},{"family":"Aivazidis","given":"Alexander"},{"family":"King","given":"Hamish W."},{"family":"Li","given":"Tong"},{"family":"Elmentaite","given":"Rasa"},{"family":"Lomakin","given":"Artem"},{"family":"Kedlian","given":"Veronika"},{"family":"Gayoso","given":"Adam"},{"family":"Jain","given":"Mika Sarkin"},{"family":"Park","given":"Jun Sung"},{"family":"Ramona","given":"Lauma"},{"family":"Tuck","given":"Elizabeth"},{"family":"Arutyunyan","given":"Anna"},{"family":"Vento-Tormo","given":"Roser"},{"family":"Gerstung","given":"Moritz"},{"family":"James","given":"Louisa"},{"family":"Stegle","given":"Oliver"},{"family":"Bayraktar","given":"Omer Ali"}],"issued":{"date-parts":[["2022",5]]}}}],"schema":"https://github.com/citation-style-language/schema/raw/master/csl-citation.json"} </w:instrText>
      </w:r>
      <w:r w:rsidRPr="007A682B">
        <w:rPr>
          <w:rFonts w:ascii="Arial" w:hAnsi="Arial" w:cs="Arial"/>
          <w:sz w:val="20"/>
          <w:szCs w:val="20"/>
        </w:rPr>
        <w:fldChar w:fldCharType="separate"/>
      </w:r>
      <w:r w:rsidR="0072390C" w:rsidRPr="007A682B">
        <w:rPr>
          <w:rFonts w:ascii="Arial" w:hAnsi="Arial" w:cs="Arial"/>
          <w:sz w:val="20"/>
          <w:szCs w:val="20"/>
        </w:rPr>
        <w:t>(15)</w:t>
      </w:r>
      <w:r w:rsidRPr="007A682B">
        <w:rPr>
          <w:rFonts w:ascii="Arial" w:hAnsi="Arial" w:cs="Arial"/>
          <w:sz w:val="20"/>
          <w:szCs w:val="20"/>
        </w:rPr>
        <w:fldChar w:fldCharType="end"/>
      </w:r>
      <w:r w:rsidR="000A694F" w:rsidRPr="007A682B">
        <w:rPr>
          <w:rFonts w:ascii="Arial" w:hAnsi="Arial" w:cs="Arial"/>
          <w:sz w:val="20"/>
          <w:szCs w:val="20"/>
        </w:rPr>
        <w:t>.</w:t>
      </w:r>
      <w:r w:rsidR="007D4E1D" w:rsidRPr="007A682B">
        <w:rPr>
          <w:rFonts w:ascii="Arial" w:hAnsi="Arial" w:cs="Arial"/>
          <w:sz w:val="20"/>
          <w:szCs w:val="20"/>
        </w:rPr>
        <w:t xml:space="preserve"> To do this, we first </w:t>
      </w:r>
      <w:r w:rsidR="00636B11" w:rsidRPr="007A682B">
        <w:rPr>
          <w:rFonts w:ascii="Arial" w:hAnsi="Arial" w:cs="Arial"/>
          <w:sz w:val="20"/>
          <w:szCs w:val="20"/>
        </w:rPr>
        <w:t xml:space="preserve">trained </w:t>
      </w:r>
      <w:r w:rsidR="00A967A5" w:rsidRPr="007A682B">
        <w:rPr>
          <w:rFonts w:ascii="Arial" w:hAnsi="Arial" w:cs="Arial"/>
          <w:sz w:val="20"/>
          <w:szCs w:val="20"/>
        </w:rPr>
        <w:t>regression models</w:t>
      </w:r>
      <w:r w:rsidR="00CF51E5" w:rsidRPr="007A682B">
        <w:rPr>
          <w:rFonts w:ascii="Arial" w:hAnsi="Arial" w:cs="Arial"/>
          <w:sz w:val="20"/>
          <w:szCs w:val="20"/>
        </w:rPr>
        <w:t xml:space="preserve"> (RegressionModel)</w:t>
      </w:r>
      <w:r w:rsidR="00A967A5" w:rsidRPr="007A682B">
        <w:rPr>
          <w:rFonts w:ascii="Arial" w:hAnsi="Arial" w:cs="Arial"/>
          <w:sz w:val="20"/>
          <w:szCs w:val="20"/>
        </w:rPr>
        <w:t xml:space="preserve"> on </w:t>
      </w:r>
      <w:r w:rsidR="008252DF" w:rsidRPr="007A682B">
        <w:rPr>
          <w:rFonts w:ascii="Arial" w:hAnsi="Arial" w:cs="Arial"/>
          <w:sz w:val="20"/>
          <w:szCs w:val="20"/>
        </w:rPr>
        <w:t>raw RNA counts</w:t>
      </w:r>
      <w:r w:rsidR="00B56453" w:rsidRPr="007A682B">
        <w:rPr>
          <w:rFonts w:ascii="Arial" w:hAnsi="Arial" w:cs="Arial"/>
          <w:sz w:val="20"/>
          <w:szCs w:val="20"/>
        </w:rPr>
        <w:t xml:space="preserve"> </w:t>
      </w:r>
      <w:r w:rsidR="000A04FB" w:rsidRPr="007A682B">
        <w:rPr>
          <w:rFonts w:ascii="Arial" w:hAnsi="Arial" w:cs="Arial"/>
          <w:sz w:val="20"/>
          <w:szCs w:val="20"/>
        </w:rPr>
        <w:t>excluding g</w:t>
      </w:r>
      <w:r w:rsidR="000A7BB6" w:rsidRPr="007A682B">
        <w:rPr>
          <w:rFonts w:ascii="Arial" w:hAnsi="Arial" w:cs="Arial"/>
          <w:sz w:val="20"/>
          <w:szCs w:val="20"/>
        </w:rPr>
        <w:t>e</w:t>
      </w:r>
      <w:r w:rsidR="00B56453" w:rsidRPr="007A682B">
        <w:rPr>
          <w:rFonts w:ascii="Arial" w:hAnsi="Arial" w:cs="Arial"/>
          <w:sz w:val="20"/>
          <w:szCs w:val="20"/>
        </w:rPr>
        <w:t>nes that were present in fewer than 10 cells</w:t>
      </w:r>
      <w:r w:rsidR="000A7BB6" w:rsidRPr="007A682B">
        <w:rPr>
          <w:rFonts w:ascii="Arial" w:hAnsi="Arial" w:cs="Arial"/>
          <w:sz w:val="20"/>
          <w:szCs w:val="20"/>
        </w:rPr>
        <w:t>.</w:t>
      </w:r>
      <w:r w:rsidR="000A04FB" w:rsidRPr="007A682B">
        <w:rPr>
          <w:rFonts w:ascii="Arial" w:hAnsi="Arial" w:cs="Arial"/>
          <w:sz w:val="20"/>
          <w:szCs w:val="20"/>
        </w:rPr>
        <w:t xml:space="preserve"> The model was conditioned on sample/pool identity as a batch covariate and on cluster identity </w:t>
      </w:r>
      <w:r w:rsidR="00CF0966" w:rsidRPr="007A682B">
        <w:rPr>
          <w:rFonts w:ascii="Arial" w:hAnsi="Arial" w:cs="Arial"/>
          <w:sz w:val="20"/>
          <w:szCs w:val="20"/>
        </w:rPr>
        <w:t>as the</w:t>
      </w:r>
      <w:r w:rsidR="000A04FB" w:rsidRPr="007A682B">
        <w:rPr>
          <w:rFonts w:ascii="Arial" w:hAnsi="Arial" w:cs="Arial"/>
          <w:sz w:val="20"/>
          <w:szCs w:val="20"/>
        </w:rPr>
        <w:t xml:space="preserve"> cell type label.</w:t>
      </w:r>
      <w:r w:rsidR="00CF0966" w:rsidRPr="007A682B">
        <w:rPr>
          <w:rFonts w:ascii="Arial" w:hAnsi="Arial" w:cs="Arial"/>
          <w:sz w:val="20"/>
          <w:szCs w:val="20"/>
        </w:rPr>
        <w:t xml:space="preserve"> The model was trained for 250 epochs with batch size set to </w:t>
      </w:r>
      <w:r w:rsidR="009B0FE5" w:rsidRPr="007A682B">
        <w:rPr>
          <w:rFonts w:ascii="Arial" w:hAnsi="Arial" w:cs="Arial"/>
          <w:sz w:val="20"/>
          <w:szCs w:val="20"/>
        </w:rPr>
        <w:t>4096 and posterior distributions were exported using 1000 posterior samples. Mean expression per cell cluster was extracted from the posterior</w:t>
      </w:r>
      <w:r w:rsidR="00CF51E5" w:rsidRPr="007A682B">
        <w:rPr>
          <w:rFonts w:ascii="Arial" w:hAnsi="Arial" w:cs="Arial"/>
          <w:sz w:val="20"/>
          <w:szCs w:val="20"/>
        </w:rPr>
        <w:t xml:space="preserve"> (means_per_cluster_mu_fg)</w:t>
      </w:r>
      <w:r w:rsidR="009B0FE5" w:rsidRPr="007A682B">
        <w:rPr>
          <w:rFonts w:ascii="Arial" w:hAnsi="Arial" w:cs="Arial"/>
          <w:sz w:val="20"/>
          <w:szCs w:val="20"/>
        </w:rPr>
        <w:t xml:space="preserve"> to construct the reference signature matrix </w:t>
      </w:r>
      <w:r w:rsidR="00CF51E5" w:rsidRPr="007A682B">
        <w:rPr>
          <w:rFonts w:ascii="Arial" w:hAnsi="Arial" w:cs="Arial"/>
          <w:sz w:val="20"/>
          <w:szCs w:val="20"/>
        </w:rPr>
        <w:t>for downstream mapping.</w:t>
      </w:r>
      <w:r w:rsidR="00FF1F55" w:rsidRPr="007A682B">
        <w:rPr>
          <w:rFonts w:ascii="Arial" w:hAnsi="Arial" w:cs="Arial"/>
          <w:sz w:val="20"/>
          <w:szCs w:val="20"/>
        </w:rPr>
        <w:t xml:space="preserve"> Next, we </w:t>
      </w:r>
      <w:r w:rsidR="00173A1E" w:rsidRPr="007A682B">
        <w:rPr>
          <w:rFonts w:ascii="Arial" w:hAnsi="Arial" w:cs="Arial"/>
          <w:sz w:val="20"/>
          <w:szCs w:val="20"/>
        </w:rPr>
        <w:t>fit the</w:t>
      </w:r>
      <w:r w:rsidR="00E71627" w:rsidRPr="007A682B">
        <w:rPr>
          <w:rFonts w:ascii="Arial" w:hAnsi="Arial" w:cs="Arial"/>
          <w:sz w:val="20"/>
          <w:szCs w:val="20"/>
        </w:rPr>
        <w:t xml:space="preserve"> model to the</w:t>
      </w:r>
      <w:r w:rsidR="00173A1E" w:rsidRPr="007A682B">
        <w:rPr>
          <w:rFonts w:ascii="Arial" w:hAnsi="Arial" w:cs="Arial"/>
          <w:sz w:val="20"/>
          <w:szCs w:val="20"/>
        </w:rPr>
        <w:t xml:space="preserve"> VisiumHD sketch assay</w:t>
      </w:r>
      <w:r w:rsidR="008E5D07" w:rsidRPr="007A682B">
        <w:rPr>
          <w:rFonts w:ascii="Arial" w:hAnsi="Arial" w:cs="Arial"/>
          <w:sz w:val="20"/>
          <w:szCs w:val="20"/>
        </w:rPr>
        <w:t xml:space="preserve"> (bin level)</w:t>
      </w:r>
      <w:r w:rsidR="00B965EE" w:rsidRPr="007A682B">
        <w:rPr>
          <w:rFonts w:ascii="Arial" w:hAnsi="Arial" w:cs="Arial"/>
          <w:sz w:val="20"/>
          <w:szCs w:val="20"/>
        </w:rPr>
        <w:t xml:space="preserve"> only including bins that would have been included in our dissection of the </w:t>
      </w:r>
      <w:r w:rsidR="002C130D" w:rsidRPr="007A682B">
        <w:rPr>
          <w:rFonts w:ascii="Arial" w:hAnsi="Arial" w:cs="Arial"/>
          <w:sz w:val="20"/>
          <w:szCs w:val="20"/>
        </w:rPr>
        <w:t>ventrocaudal telencephalon during snMultiome sequencing</w:t>
      </w:r>
      <w:r w:rsidR="00B73602" w:rsidRPr="007A682B">
        <w:rPr>
          <w:rFonts w:ascii="Arial" w:hAnsi="Arial" w:cs="Arial"/>
          <w:sz w:val="20"/>
          <w:szCs w:val="20"/>
        </w:rPr>
        <w:t>. Genes were intersected between the spatial sketch dataset and the reference signature matrix to restrict analysis to a shared gene set. The cell2location spatial mapping model (Cell2location) was then fit to the sketch data, using slice identity as a batch covariate, an expected cell abundance per spot prior of N_cells_per_location = 3, and a detection_alpha of 200 to account for technical variation in detection sensitivity across slices. The model was trained for up to 1,000 epochs (batch size 2048, full training set, no held-out validation split). Posterior cell type abundances were exported using 100 posterior samples, yielding per-spot mean, 5th percentile (q05), and 95th percentile (q95) estimates of absolute cell type abundance for each reference-derived cell type.</w:t>
      </w:r>
      <w:r w:rsidR="009076FF" w:rsidRPr="007A682B">
        <w:rPr>
          <w:rFonts w:ascii="Arial" w:hAnsi="Arial" w:cs="Arial"/>
          <w:sz w:val="20"/>
          <w:szCs w:val="20"/>
        </w:rPr>
        <w:t xml:space="preserve"> </w:t>
      </w:r>
      <w:r w:rsidR="00C76F28" w:rsidRPr="007A682B">
        <w:rPr>
          <w:rFonts w:ascii="Arial" w:hAnsi="Arial" w:cs="Arial"/>
          <w:sz w:val="20"/>
          <w:szCs w:val="20"/>
        </w:rPr>
        <w:t>For each sketch spot, the cell type with the highest 5th-percentile (q05) posterior abundance estimate was assigned as the spot's dominant cell type. These categorical dominant-cell-type labels were then projected from the sketch assay to the full-resolution Visium HD dataset using Seurat's ProjectData function, which maps sketch-level metadata onto the full dataset via a shared PCA embedding (15 dimensions). This yielded a full-resolution spatial map of predicted dominant cell type identity across all tissue bins.</w:t>
      </w:r>
    </w:p>
    <w:p w14:paraId="3DC2B89E" w14:textId="77777777" w:rsidR="00B07A8D" w:rsidRPr="007A682B" w:rsidRDefault="00B07A8D" w:rsidP="00753C87">
      <w:pPr>
        <w:rPr>
          <w:rFonts w:ascii="Arial" w:hAnsi="Arial" w:cs="Arial"/>
          <w:sz w:val="20"/>
          <w:szCs w:val="20"/>
        </w:rPr>
      </w:pPr>
    </w:p>
    <w:p w14:paraId="44D96C0D" w14:textId="5C4B57C5" w:rsidR="00277514" w:rsidRPr="007A682B" w:rsidRDefault="00277514" w:rsidP="00753C87">
      <w:pPr>
        <w:rPr>
          <w:rFonts w:ascii="Arial" w:hAnsi="Arial" w:cs="Arial"/>
          <w:sz w:val="20"/>
          <w:szCs w:val="20"/>
        </w:rPr>
      </w:pPr>
      <w:r w:rsidRPr="007A682B">
        <w:rPr>
          <w:rFonts w:ascii="Arial" w:hAnsi="Arial" w:cs="Arial"/>
          <w:b/>
          <w:bCs/>
          <w:sz w:val="20"/>
          <w:szCs w:val="20"/>
        </w:rPr>
        <w:t>Cell Type Annotation</w:t>
      </w:r>
      <w:r w:rsidRPr="007A682B">
        <w:rPr>
          <w:rFonts w:ascii="Arial" w:hAnsi="Arial" w:cs="Arial"/>
          <w:b/>
          <w:bCs/>
          <w:sz w:val="20"/>
          <w:szCs w:val="20"/>
        </w:rPr>
        <w:br/>
      </w:r>
      <w:r w:rsidR="005F2690" w:rsidRPr="007A682B">
        <w:rPr>
          <w:rFonts w:ascii="Arial" w:hAnsi="Arial" w:cs="Arial"/>
          <w:b/>
          <w:bCs/>
          <w:sz w:val="20"/>
          <w:szCs w:val="20"/>
        </w:rPr>
        <w:tab/>
      </w:r>
      <w:r w:rsidR="00266E78" w:rsidRPr="007A682B">
        <w:rPr>
          <w:rFonts w:ascii="Arial" w:hAnsi="Arial" w:cs="Arial"/>
          <w:sz w:val="20"/>
          <w:szCs w:val="20"/>
        </w:rPr>
        <w:t xml:space="preserve">We annotated our snMultiome clusters using a combination of </w:t>
      </w:r>
      <w:r w:rsidR="00266E78" w:rsidRPr="007A682B">
        <w:rPr>
          <w:rFonts w:ascii="Arial" w:hAnsi="Arial" w:cs="Arial"/>
          <w:i/>
          <w:iCs/>
          <w:sz w:val="20"/>
          <w:szCs w:val="20"/>
        </w:rPr>
        <w:t xml:space="preserve">a priori </w:t>
      </w:r>
      <w:r w:rsidR="00266E78" w:rsidRPr="007A682B">
        <w:rPr>
          <w:rFonts w:ascii="Arial" w:hAnsi="Arial" w:cs="Arial"/>
          <w:sz w:val="20"/>
          <w:szCs w:val="20"/>
        </w:rPr>
        <w:t>marker genes</w:t>
      </w:r>
      <w:r w:rsidR="006A74D0" w:rsidRPr="007A682B">
        <w:rPr>
          <w:rFonts w:ascii="Arial" w:hAnsi="Arial" w:cs="Arial"/>
          <w:sz w:val="20"/>
          <w:szCs w:val="20"/>
        </w:rPr>
        <w:t xml:space="preserve"> (see Results)</w:t>
      </w:r>
      <w:r w:rsidR="00266E78" w:rsidRPr="007A682B">
        <w:rPr>
          <w:rFonts w:ascii="Arial" w:hAnsi="Arial" w:cs="Arial"/>
          <w:sz w:val="20"/>
          <w:szCs w:val="20"/>
        </w:rPr>
        <w:t xml:space="preserve"> </w:t>
      </w:r>
      <w:r w:rsidR="00740D5D" w:rsidRPr="007A682B">
        <w:rPr>
          <w:rFonts w:ascii="Arial" w:hAnsi="Arial" w:cs="Arial"/>
          <w:sz w:val="20"/>
          <w:szCs w:val="20"/>
        </w:rPr>
        <w:t>and spatial mapping from Cell2location.</w:t>
      </w:r>
      <w:r w:rsidR="00615890" w:rsidRPr="007A682B">
        <w:rPr>
          <w:rFonts w:ascii="Arial" w:hAnsi="Arial" w:cs="Arial"/>
          <w:sz w:val="20"/>
          <w:szCs w:val="20"/>
        </w:rPr>
        <w:t xml:space="preserve"> We annotated cell types first</w:t>
      </w:r>
      <w:r w:rsidR="006E1E2E" w:rsidRPr="007A682B">
        <w:rPr>
          <w:rFonts w:ascii="Arial" w:hAnsi="Arial" w:cs="Arial"/>
          <w:sz w:val="20"/>
          <w:szCs w:val="20"/>
        </w:rPr>
        <w:t xml:space="preserve"> by cluster number, then</w:t>
      </w:r>
      <w:r w:rsidR="00615890" w:rsidRPr="007A682B">
        <w:rPr>
          <w:rFonts w:ascii="Arial" w:hAnsi="Arial" w:cs="Arial"/>
          <w:sz w:val="20"/>
          <w:szCs w:val="20"/>
        </w:rPr>
        <w:t xml:space="preserve"> by primary cell type, </w:t>
      </w:r>
      <w:r w:rsidR="00AC133B" w:rsidRPr="007A682B">
        <w:rPr>
          <w:rFonts w:ascii="Arial" w:hAnsi="Arial" w:cs="Arial"/>
          <w:sz w:val="20"/>
          <w:szCs w:val="20"/>
        </w:rPr>
        <w:t xml:space="preserve">(e.g., </w:t>
      </w:r>
      <w:r w:rsidR="00F53B62" w:rsidRPr="007A682B">
        <w:rPr>
          <w:rFonts w:ascii="Arial" w:hAnsi="Arial" w:cs="Arial"/>
          <w:sz w:val="20"/>
          <w:szCs w:val="20"/>
        </w:rPr>
        <w:t>1_</w:t>
      </w:r>
      <w:r w:rsidR="00AC133B" w:rsidRPr="007A682B">
        <w:rPr>
          <w:rFonts w:ascii="Arial" w:hAnsi="Arial" w:cs="Arial"/>
          <w:sz w:val="20"/>
          <w:szCs w:val="20"/>
        </w:rPr>
        <w:t xml:space="preserve">RGC = Radial Glial cell, </w:t>
      </w:r>
      <w:r w:rsidR="00F53B62" w:rsidRPr="007A682B">
        <w:rPr>
          <w:rFonts w:ascii="Arial" w:hAnsi="Arial" w:cs="Arial"/>
          <w:sz w:val="20"/>
          <w:szCs w:val="20"/>
        </w:rPr>
        <w:t>2_</w:t>
      </w:r>
      <w:r w:rsidR="00AC133B" w:rsidRPr="007A682B">
        <w:rPr>
          <w:rFonts w:ascii="Arial" w:hAnsi="Arial" w:cs="Arial"/>
          <w:sz w:val="20"/>
          <w:szCs w:val="20"/>
        </w:rPr>
        <w:t>OL = Oligodendrocyte, GABA = GABAergic Neuron)</w:t>
      </w:r>
      <w:r w:rsidR="004828F1" w:rsidRPr="007A682B">
        <w:rPr>
          <w:rFonts w:ascii="Arial" w:hAnsi="Arial" w:cs="Arial"/>
          <w:sz w:val="20"/>
          <w:szCs w:val="20"/>
        </w:rPr>
        <w:t>, then if we determined based on spatial mappin</w:t>
      </w:r>
      <w:r w:rsidR="00DE38F9" w:rsidRPr="007A682B">
        <w:rPr>
          <w:rFonts w:ascii="Arial" w:hAnsi="Arial" w:cs="Arial"/>
          <w:sz w:val="20"/>
          <w:szCs w:val="20"/>
        </w:rPr>
        <w:t>g</w:t>
      </w:r>
      <w:r w:rsidR="004828F1" w:rsidRPr="007A682B">
        <w:rPr>
          <w:rFonts w:ascii="Arial" w:hAnsi="Arial" w:cs="Arial"/>
          <w:sz w:val="20"/>
          <w:szCs w:val="20"/>
        </w:rPr>
        <w:t xml:space="preserve"> that </w:t>
      </w:r>
      <w:r w:rsidR="00DE38F9" w:rsidRPr="007A682B">
        <w:rPr>
          <w:rFonts w:ascii="Arial" w:hAnsi="Arial" w:cs="Arial"/>
          <w:sz w:val="20"/>
          <w:szCs w:val="20"/>
        </w:rPr>
        <w:t xml:space="preserve">a cell type was localized to a specific subdivision of the brain </w:t>
      </w:r>
      <w:r w:rsidR="006E1E2E" w:rsidRPr="007A682B">
        <w:rPr>
          <w:rFonts w:ascii="Arial" w:hAnsi="Arial" w:cs="Arial"/>
          <w:sz w:val="20"/>
          <w:szCs w:val="20"/>
        </w:rPr>
        <w:t xml:space="preserve">or neuroanatomical region, we added that to the cell type classification. Many neuronal types did not </w:t>
      </w:r>
      <w:r w:rsidR="00F53B62" w:rsidRPr="007A682B">
        <w:rPr>
          <w:rFonts w:ascii="Arial" w:hAnsi="Arial" w:cs="Arial"/>
          <w:sz w:val="20"/>
          <w:szCs w:val="20"/>
        </w:rPr>
        <w:t xml:space="preserve">map to specific spatial regions, so we only annotated them by cluster number and neurotransmitter. A dotplot of the </w:t>
      </w:r>
      <w:r w:rsidR="00123917" w:rsidRPr="007A682B">
        <w:rPr>
          <w:rFonts w:ascii="Arial" w:hAnsi="Arial" w:cs="Arial"/>
          <w:sz w:val="20"/>
          <w:szCs w:val="20"/>
        </w:rPr>
        <w:t xml:space="preserve">strongest marker genes found by Seurat’s “FindAllMarkers” function with only.pos = TRUE specified is shown in </w:t>
      </w:r>
      <w:r w:rsidR="00123917" w:rsidRPr="007A682B">
        <w:rPr>
          <w:rFonts w:ascii="Arial" w:hAnsi="Arial" w:cs="Arial"/>
          <w:sz w:val="20"/>
          <w:szCs w:val="20"/>
          <w:highlight w:val="yellow"/>
        </w:rPr>
        <w:t>Figure 2B.</w:t>
      </w:r>
      <w:r w:rsidR="00123917" w:rsidRPr="007A682B">
        <w:rPr>
          <w:rFonts w:ascii="Arial" w:hAnsi="Arial" w:cs="Arial"/>
          <w:sz w:val="20"/>
          <w:szCs w:val="20"/>
        </w:rPr>
        <w:t xml:space="preserve"> </w:t>
      </w:r>
    </w:p>
    <w:p w14:paraId="3E02C3E9" w14:textId="77777777" w:rsidR="00882F08" w:rsidRPr="007A682B" w:rsidRDefault="00882F08" w:rsidP="00753C87">
      <w:pPr>
        <w:rPr>
          <w:rFonts w:ascii="Arial" w:hAnsi="Arial" w:cs="Arial"/>
          <w:sz w:val="20"/>
          <w:szCs w:val="20"/>
        </w:rPr>
      </w:pPr>
    </w:p>
    <w:p w14:paraId="5F670870" w14:textId="789988BE" w:rsidR="00921CD4" w:rsidRPr="007A682B" w:rsidRDefault="00921CD4" w:rsidP="00753C87">
      <w:pPr>
        <w:rPr>
          <w:rFonts w:ascii="Arial" w:hAnsi="Arial" w:cs="Arial"/>
          <w:b/>
          <w:bCs/>
          <w:sz w:val="20"/>
          <w:szCs w:val="20"/>
        </w:rPr>
      </w:pPr>
      <w:r w:rsidRPr="007A682B">
        <w:rPr>
          <w:rFonts w:ascii="Arial" w:hAnsi="Arial" w:cs="Arial"/>
          <w:b/>
          <w:bCs/>
          <w:sz w:val="20"/>
          <w:szCs w:val="20"/>
        </w:rPr>
        <w:t>C</w:t>
      </w:r>
      <w:r w:rsidR="00991F18" w:rsidRPr="007A682B">
        <w:rPr>
          <w:rFonts w:ascii="Arial" w:hAnsi="Arial" w:cs="Arial"/>
          <w:b/>
          <w:bCs/>
          <w:sz w:val="20"/>
          <w:szCs w:val="20"/>
        </w:rPr>
        <w:t>ell Type Composition Analysis</w:t>
      </w:r>
    </w:p>
    <w:p w14:paraId="232FDE79" w14:textId="3503E187" w:rsidR="00991F18" w:rsidRPr="007A682B" w:rsidRDefault="00555E1C" w:rsidP="00753C87">
      <w:pPr>
        <w:rPr>
          <w:rFonts w:ascii="Arial" w:hAnsi="Arial" w:cs="Arial"/>
          <w:sz w:val="20"/>
          <w:szCs w:val="20"/>
        </w:rPr>
      </w:pPr>
      <w:r w:rsidRPr="007A682B">
        <w:rPr>
          <w:rFonts w:ascii="Arial" w:hAnsi="Arial" w:cs="Arial"/>
          <w:b/>
          <w:bCs/>
          <w:sz w:val="20"/>
          <w:szCs w:val="20"/>
        </w:rPr>
        <w:tab/>
      </w:r>
      <w:r w:rsidRPr="007A682B">
        <w:rPr>
          <w:rFonts w:ascii="Arial" w:hAnsi="Arial" w:cs="Arial"/>
          <w:sz w:val="20"/>
          <w:szCs w:val="20"/>
        </w:rPr>
        <w:t xml:space="preserve">We calculated </w:t>
      </w:r>
      <w:r w:rsidR="008F5F53" w:rsidRPr="007A682B">
        <w:rPr>
          <w:rFonts w:ascii="Arial" w:hAnsi="Arial" w:cs="Arial"/>
          <w:sz w:val="20"/>
          <w:szCs w:val="20"/>
        </w:rPr>
        <w:t xml:space="preserve">differences in cell population for each cluster using a logistic regression fitting a matrix </w:t>
      </w:r>
      <w:r w:rsidR="00FC1908" w:rsidRPr="007A682B">
        <w:rPr>
          <w:rFonts w:ascii="Arial" w:hAnsi="Arial" w:cs="Arial"/>
          <w:sz w:val="20"/>
          <w:szCs w:val="20"/>
        </w:rPr>
        <w:t xml:space="preserve">of </w:t>
      </w:r>
      <w:r w:rsidR="008F5F53" w:rsidRPr="007A682B">
        <w:rPr>
          <w:rFonts w:ascii="Arial" w:hAnsi="Arial" w:cs="Arial"/>
          <w:sz w:val="20"/>
          <w:szCs w:val="20"/>
        </w:rPr>
        <w:t xml:space="preserve">successes (number of cells in a cluster) versus failures (number of cells not in that cluster) by phase. </w:t>
      </w:r>
    </w:p>
    <w:p w14:paraId="3601715A" w14:textId="77777777" w:rsidR="00B07A8D" w:rsidRPr="007A682B" w:rsidRDefault="00B07A8D" w:rsidP="00753C87">
      <w:pPr>
        <w:rPr>
          <w:rFonts w:ascii="Arial" w:hAnsi="Arial" w:cs="Arial"/>
          <w:sz w:val="20"/>
          <w:szCs w:val="20"/>
        </w:rPr>
      </w:pPr>
    </w:p>
    <w:p w14:paraId="310BC3A8" w14:textId="77777777" w:rsidR="00093DF6" w:rsidRPr="007A682B" w:rsidRDefault="00093DF6" w:rsidP="00093DF6">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Interpretation of Temporal Abundance, Expression, and Accessibility Patterns</w:t>
      </w:r>
    </w:p>
    <w:p w14:paraId="789FB1DC" w14:textId="0E80455A" w:rsidR="0043315D" w:rsidRPr="007A682B" w:rsidRDefault="00093DF6" w:rsidP="00093DF6">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Because sex change represents a temporal progression from males through intermediates to females, cell-type abundance, DEGs and DARs were classified according to their pairwise differences among these three groups (</w:t>
      </w:r>
      <w:r w:rsidRPr="007A682B">
        <w:rPr>
          <w:rFonts w:ascii="Arial" w:eastAsia="Malgun Gothic" w:hAnsi="Arial" w:cs="Arial"/>
          <w:kern w:val="0"/>
          <w:sz w:val="20"/>
          <w:szCs w:val="20"/>
          <w:highlight w:val="yellow"/>
          <w:lang w:eastAsia="ja-JP"/>
          <w14:ligatures w14:val="none"/>
        </w:rPr>
        <w:t xml:space="preserve">Appendix </w:t>
      </w:r>
      <w:r w:rsidR="00C538DF" w:rsidRPr="007A682B">
        <w:rPr>
          <w:rFonts w:ascii="Arial" w:eastAsia="Malgun Gothic" w:hAnsi="Arial" w:cs="Arial"/>
          <w:kern w:val="0"/>
          <w:sz w:val="20"/>
          <w:szCs w:val="20"/>
          <w:highlight w:val="yellow"/>
          <w:lang w:eastAsia="ja-JP"/>
          <w14:ligatures w14:val="none"/>
        </w:rPr>
        <w:t>S14</w:t>
      </w:r>
      <w:r w:rsidRPr="007A682B">
        <w:rPr>
          <w:rFonts w:ascii="Arial" w:eastAsia="Malgun Gothic" w:hAnsi="Arial" w:cs="Arial"/>
          <w:kern w:val="0"/>
          <w:sz w:val="20"/>
          <w:szCs w:val="20"/>
          <w:lang w:eastAsia="ja-JP"/>
          <w14:ligatures w14:val="none"/>
        </w:rPr>
        <w:t xml:space="preserve">). Features that differed between males and intermediates but not females were classified as “Early”, whereas those differing between intermediates and females but not males were classified as “Late”. Features with intermediate values between males and females were classified as “Progressive”, whereas those uniquely elevated or reduced in intermediates were classified </w:t>
      </w:r>
      <w:r w:rsidRPr="007A682B">
        <w:rPr>
          <w:rFonts w:ascii="Arial" w:eastAsia="Malgun Gothic" w:hAnsi="Arial" w:cs="Arial"/>
          <w:kern w:val="0"/>
          <w:sz w:val="20"/>
          <w:szCs w:val="20"/>
          <w:lang w:eastAsia="ja-JP"/>
          <w14:ligatures w14:val="none"/>
        </w:rPr>
        <w:lastRenderedPageBreak/>
        <w:t>as “Transient”. Directionality (Upregulated or Downregulated) was assigned according to whether expression or accessibility increased or decreased during sex change.</w:t>
      </w:r>
    </w:p>
    <w:p w14:paraId="0B4FEEE6" w14:textId="27E3A83C" w:rsidR="0043315D" w:rsidRPr="007A682B" w:rsidRDefault="0043315D" w:rsidP="00753C87">
      <w:pPr>
        <w:rPr>
          <w:rFonts w:ascii="Arial" w:hAnsi="Arial" w:cs="Arial"/>
          <w:b/>
          <w:bCs/>
          <w:sz w:val="20"/>
          <w:szCs w:val="20"/>
        </w:rPr>
      </w:pPr>
      <w:r w:rsidRPr="007A682B">
        <w:rPr>
          <w:rFonts w:ascii="Arial" w:hAnsi="Arial" w:cs="Arial"/>
          <w:b/>
          <w:bCs/>
          <w:sz w:val="20"/>
          <w:szCs w:val="20"/>
        </w:rPr>
        <w:t>Integration with Anemonefish Telencephalon snRNA-seq Atlas</w:t>
      </w:r>
    </w:p>
    <w:p w14:paraId="683B9974" w14:textId="77777777" w:rsidR="00B07A8D" w:rsidRPr="007A682B" w:rsidRDefault="00B07A8D" w:rsidP="00753C87">
      <w:pPr>
        <w:rPr>
          <w:rFonts w:ascii="Arial" w:hAnsi="Arial" w:cs="Arial"/>
          <w:b/>
          <w:bCs/>
          <w:sz w:val="20"/>
          <w:szCs w:val="20"/>
        </w:rPr>
      </w:pPr>
    </w:p>
    <w:p w14:paraId="1C66F85D" w14:textId="518CF1FC" w:rsidR="00871D0A" w:rsidRPr="007A682B" w:rsidRDefault="00871D0A" w:rsidP="00871D0A">
      <w:pPr>
        <w:rPr>
          <w:rFonts w:ascii="Arial" w:hAnsi="Arial" w:cs="Arial"/>
          <w:sz w:val="20"/>
          <w:szCs w:val="20"/>
          <w:u w:val="single"/>
        </w:rPr>
      </w:pPr>
      <w:r w:rsidRPr="007A682B">
        <w:rPr>
          <w:rFonts w:ascii="Arial" w:hAnsi="Arial" w:cs="Arial"/>
          <w:sz w:val="20"/>
          <w:szCs w:val="20"/>
          <w:u w:val="single"/>
        </w:rPr>
        <w:t>Realignment of Parker 2024 to the A. ocellaris Genome</w:t>
      </w:r>
    </w:p>
    <w:p w14:paraId="3552C53A" w14:textId="77777777" w:rsidR="00871D0A" w:rsidRPr="007A682B" w:rsidRDefault="00871D0A" w:rsidP="00871D0A">
      <w:pPr>
        <w:rPr>
          <w:rFonts w:ascii="Arial" w:hAnsi="Arial" w:cs="Arial"/>
          <w:sz w:val="20"/>
          <w:szCs w:val="20"/>
        </w:rPr>
      </w:pPr>
    </w:p>
    <w:p w14:paraId="436519D0" w14:textId="58E7BA1C" w:rsidR="00871D0A" w:rsidRPr="007A682B" w:rsidRDefault="00871D0A" w:rsidP="00871D0A">
      <w:pPr>
        <w:rPr>
          <w:rFonts w:ascii="Arial" w:hAnsi="Arial" w:cs="Arial"/>
          <w:sz w:val="20"/>
          <w:szCs w:val="20"/>
        </w:rPr>
      </w:pPr>
      <w:r w:rsidRPr="007A682B">
        <w:rPr>
          <w:rFonts w:ascii="Arial" w:hAnsi="Arial" w:cs="Arial"/>
          <w:sz w:val="20"/>
          <w:szCs w:val="20"/>
        </w:rPr>
        <w:tab/>
        <w:t xml:space="preserve">Because the data published in Parker </w:t>
      </w:r>
      <w:r w:rsidR="00382D0D" w:rsidRPr="007A682B">
        <w:rPr>
          <w:rFonts w:ascii="Arial" w:hAnsi="Arial" w:cs="Arial"/>
          <w:sz w:val="20"/>
          <w:szCs w:val="20"/>
        </w:rPr>
        <w:t>(</w:t>
      </w:r>
      <w:r w:rsidRPr="007A682B">
        <w:rPr>
          <w:rFonts w:ascii="Arial" w:hAnsi="Arial" w:cs="Arial"/>
          <w:sz w:val="20"/>
          <w:szCs w:val="20"/>
        </w:rPr>
        <w:t>2024</w:t>
      </w:r>
      <w:r w:rsidR="00382D0D" w:rsidRPr="007A682B">
        <w:rPr>
          <w:rFonts w:ascii="Arial" w:hAnsi="Arial" w:cs="Arial"/>
          <w:sz w:val="20"/>
          <w:szCs w:val="20"/>
        </w:rPr>
        <w:t>)</w:t>
      </w:r>
      <w:r w:rsidR="00BB5B02">
        <w:rPr>
          <w:rFonts w:ascii="Arial" w:hAnsi="Arial" w:cs="Arial"/>
          <w:sz w:val="20"/>
          <w:szCs w:val="20"/>
        </w:rPr>
        <w:fldChar w:fldCharType="begin"/>
      </w:r>
      <w:r w:rsidR="00BB5B02">
        <w:rPr>
          <w:rFonts w:ascii="Arial" w:hAnsi="Arial" w:cs="Arial"/>
          <w:sz w:val="20"/>
          <w:szCs w:val="20"/>
        </w:rPr>
        <w:instrText xml:space="preserve"> ADDIN ZOTERO_ITEM CSL_CITATION {"citationID":"iu1KaRH2","properties":{"unsorted":false,"formattedCitation":"(5)","plainCitation":"(5)","noteIndex":0},"citationItems":[{"id":3227,"uris":["http://zotero.org/users/11313215/items/RWMZ9QFA"],"itemData":{"id":3227,"type":"article-journal","abstract":"BACKGROUND: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BB5B02">
        <w:rPr>
          <w:rFonts w:ascii="Arial" w:hAnsi="Arial" w:cs="Arial"/>
          <w:sz w:val="20"/>
          <w:szCs w:val="20"/>
        </w:rPr>
        <w:fldChar w:fldCharType="separate"/>
      </w:r>
      <w:r w:rsidR="00BB5B02">
        <w:rPr>
          <w:rFonts w:ascii="Arial" w:hAnsi="Arial" w:cs="Arial"/>
          <w:noProof/>
          <w:sz w:val="20"/>
          <w:szCs w:val="20"/>
        </w:rPr>
        <w:t>(5)</w:t>
      </w:r>
      <w:r w:rsidR="00BB5B02">
        <w:rPr>
          <w:rFonts w:ascii="Arial" w:hAnsi="Arial" w:cs="Arial"/>
          <w:sz w:val="20"/>
          <w:szCs w:val="20"/>
        </w:rPr>
        <w:fldChar w:fldCharType="end"/>
      </w:r>
      <w:r w:rsidR="00382D0D" w:rsidRPr="007A682B">
        <w:rPr>
          <w:rFonts w:ascii="Arial" w:hAnsi="Arial" w:cs="Arial"/>
          <w:sz w:val="20"/>
          <w:szCs w:val="20"/>
        </w:rPr>
        <w:t xml:space="preserve"> </w:t>
      </w:r>
      <w:r w:rsidRPr="007A682B">
        <w:rPr>
          <w:rFonts w:ascii="Arial" w:hAnsi="Arial" w:cs="Arial"/>
          <w:sz w:val="20"/>
          <w:szCs w:val="20"/>
        </w:rPr>
        <w:t xml:space="preserve">were generated before an </w:t>
      </w:r>
      <w:r w:rsidRPr="007A682B">
        <w:rPr>
          <w:rFonts w:ascii="Arial" w:hAnsi="Arial" w:cs="Arial"/>
          <w:i/>
          <w:iCs/>
          <w:sz w:val="20"/>
          <w:szCs w:val="20"/>
        </w:rPr>
        <w:t>Amphiprion ocellaris</w:t>
      </w:r>
      <w:r w:rsidRPr="007A682B">
        <w:rPr>
          <w:rFonts w:ascii="Arial" w:hAnsi="Arial" w:cs="Arial"/>
          <w:sz w:val="20"/>
          <w:szCs w:val="20"/>
        </w:rPr>
        <w:t xml:space="preserve"> genome assembly was available, reads in that study were originally aligned to an </w:t>
      </w:r>
      <w:r w:rsidRPr="007A682B">
        <w:rPr>
          <w:rFonts w:ascii="Arial" w:hAnsi="Arial" w:cs="Arial"/>
          <w:i/>
          <w:iCs/>
          <w:sz w:val="20"/>
          <w:szCs w:val="20"/>
        </w:rPr>
        <w:t>Amphiprion percula</w:t>
      </w:r>
      <w:r w:rsidRPr="007A682B">
        <w:rPr>
          <w:rFonts w:ascii="Arial" w:hAnsi="Arial" w:cs="Arial"/>
          <w:sz w:val="20"/>
          <w:szCs w:val="20"/>
        </w:rPr>
        <w:t xml:space="preserve"> genome, whereas reads in the present study were aligned to the </w:t>
      </w:r>
      <w:r w:rsidRPr="007A682B">
        <w:rPr>
          <w:rFonts w:ascii="Arial" w:hAnsi="Arial" w:cs="Arial"/>
          <w:i/>
          <w:iCs/>
          <w:sz w:val="20"/>
          <w:szCs w:val="20"/>
        </w:rPr>
        <w:t>A. ocellaris</w:t>
      </w:r>
      <w:r w:rsidRPr="007A682B">
        <w:rPr>
          <w:rFonts w:ascii="Arial" w:hAnsi="Arial" w:cs="Arial"/>
          <w:sz w:val="20"/>
          <w:szCs w:val="20"/>
        </w:rPr>
        <w:t xml:space="preserve"> genome. To enable direct comparison between datasets, raw reads from Parker </w:t>
      </w:r>
      <w:r w:rsidR="00382D0D" w:rsidRPr="007A682B">
        <w:rPr>
          <w:rFonts w:ascii="Arial" w:hAnsi="Arial" w:cs="Arial"/>
          <w:sz w:val="20"/>
          <w:szCs w:val="20"/>
        </w:rPr>
        <w:t>(</w:t>
      </w:r>
      <w:r w:rsidRPr="007A682B">
        <w:rPr>
          <w:rFonts w:ascii="Arial" w:hAnsi="Arial" w:cs="Arial"/>
          <w:sz w:val="20"/>
          <w:szCs w:val="20"/>
        </w:rPr>
        <w:t>2024</w:t>
      </w:r>
      <w:r w:rsidR="00382D0D" w:rsidRPr="007A682B">
        <w:rPr>
          <w:rFonts w:ascii="Arial" w:hAnsi="Arial" w:cs="Arial"/>
          <w:sz w:val="20"/>
          <w:szCs w:val="20"/>
        </w:rPr>
        <w:t>)</w:t>
      </w:r>
      <w:r w:rsidRPr="007A682B">
        <w:rPr>
          <w:rFonts w:ascii="Arial" w:hAnsi="Arial" w:cs="Arial"/>
          <w:sz w:val="20"/>
          <w:szCs w:val="20"/>
        </w:rPr>
        <w:t xml:space="preserve"> were realigned to the </w:t>
      </w:r>
      <w:r w:rsidRPr="007A682B">
        <w:rPr>
          <w:rFonts w:ascii="Arial" w:hAnsi="Arial" w:cs="Arial"/>
          <w:i/>
          <w:iCs/>
          <w:sz w:val="20"/>
          <w:szCs w:val="20"/>
        </w:rPr>
        <w:t>A. ocellaris</w:t>
      </w:r>
      <w:r w:rsidRPr="007A682B">
        <w:rPr>
          <w:rFonts w:ascii="Arial" w:hAnsi="Arial" w:cs="Arial"/>
          <w:sz w:val="20"/>
          <w:szCs w:val="20"/>
        </w:rPr>
        <w:t xml:space="preserve"> RefSeq genome assembly (GCF_022539595.1). The previously established cluster identities and annotations from Parker </w:t>
      </w:r>
      <w:r w:rsidR="00382D0D" w:rsidRPr="007A682B">
        <w:rPr>
          <w:rFonts w:ascii="Arial" w:hAnsi="Arial" w:cs="Arial"/>
          <w:sz w:val="20"/>
          <w:szCs w:val="20"/>
        </w:rPr>
        <w:t>(</w:t>
      </w:r>
      <w:r w:rsidRPr="007A682B">
        <w:rPr>
          <w:rFonts w:ascii="Arial" w:hAnsi="Arial" w:cs="Arial"/>
          <w:sz w:val="20"/>
          <w:szCs w:val="20"/>
        </w:rPr>
        <w:t>2024</w:t>
      </w:r>
      <w:r w:rsidR="00382D0D" w:rsidRPr="007A682B">
        <w:rPr>
          <w:rFonts w:ascii="Arial" w:hAnsi="Arial" w:cs="Arial"/>
          <w:sz w:val="20"/>
          <w:szCs w:val="20"/>
        </w:rPr>
        <w:t>)</w:t>
      </w:r>
      <w:r w:rsidRPr="007A682B">
        <w:rPr>
          <w:rFonts w:ascii="Arial" w:hAnsi="Arial" w:cs="Arial"/>
          <w:sz w:val="20"/>
          <w:szCs w:val="20"/>
        </w:rPr>
        <w:t xml:space="preserve"> were retained, allowing the original atlas structure to be preserved while placing both datasets within the same genomic reference framework. </w:t>
      </w:r>
      <w:r w:rsidR="004A27C9" w:rsidRPr="004A27C9">
        <w:rPr>
          <w:rFonts w:ascii="Arial" w:hAnsi="Arial" w:cs="Arial"/>
          <w:sz w:val="20"/>
          <w:szCs w:val="20"/>
          <w:highlight w:val="yellow"/>
        </w:rPr>
        <w:t>xx</w:t>
      </w:r>
      <w:r w:rsidRPr="007A682B">
        <w:rPr>
          <w:rFonts w:ascii="Arial" w:hAnsi="Arial" w:cs="Arial"/>
          <w:sz w:val="20"/>
          <w:szCs w:val="20"/>
          <w:highlight w:val="yellow"/>
        </w:rPr>
        <w:t>Jenny: Please verify this description and add any necessary details regarding how the Parker 2024 data were realigned and processed after realignment.</w:t>
      </w:r>
    </w:p>
    <w:p w14:paraId="189C0EF1" w14:textId="77777777" w:rsidR="00871D0A" w:rsidRPr="007A682B" w:rsidRDefault="00871D0A" w:rsidP="00871D0A">
      <w:pPr>
        <w:rPr>
          <w:rFonts w:ascii="Arial" w:hAnsi="Arial" w:cs="Arial"/>
          <w:sz w:val="20"/>
          <w:szCs w:val="20"/>
        </w:rPr>
      </w:pPr>
    </w:p>
    <w:p w14:paraId="35F5E6E1" w14:textId="77777777" w:rsidR="00871D0A" w:rsidRPr="007A682B" w:rsidRDefault="00871D0A" w:rsidP="00871D0A">
      <w:pPr>
        <w:rPr>
          <w:rFonts w:ascii="Arial" w:hAnsi="Arial" w:cs="Arial"/>
          <w:sz w:val="20"/>
          <w:szCs w:val="20"/>
          <w:u w:val="single"/>
        </w:rPr>
      </w:pPr>
      <w:r w:rsidRPr="007A682B">
        <w:rPr>
          <w:rFonts w:ascii="Arial" w:hAnsi="Arial" w:cs="Arial"/>
          <w:sz w:val="20"/>
          <w:szCs w:val="20"/>
          <w:u w:val="single"/>
        </w:rPr>
        <w:t>Visium HD</w:t>
      </w:r>
    </w:p>
    <w:p w14:paraId="35A70979" w14:textId="77777777" w:rsidR="00871D0A" w:rsidRPr="007A682B" w:rsidRDefault="00871D0A" w:rsidP="00871D0A">
      <w:pPr>
        <w:rPr>
          <w:rFonts w:ascii="Arial" w:hAnsi="Arial" w:cs="Arial"/>
          <w:sz w:val="20"/>
          <w:szCs w:val="20"/>
        </w:rPr>
      </w:pPr>
    </w:p>
    <w:p w14:paraId="64234896" w14:textId="6D9E5B5F" w:rsidR="00871D0A" w:rsidRPr="007A682B" w:rsidRDefault="00382D0D" w:rsidP="00871D0A">
      <w:pPr>
        <w:rPr>
          <w:rFonts w:ascii="Arial" w:hAnsi="Arial" w:cs="Arial"/>
          <w:sz w:val="20"/>
          <w:szCs w:val="20"/>
        </w:rPr>
      </w:pPr>
      <w:r w:rsidRPr="007A682B">
        <w:rPr>
          <w:rFonts w:ascii="Arial" w:hAnsi="Arial" w:cs="Arial"/>
          <w:sz w:val="20"/>
          <w:szCs w:val="20"/>
        </w:rPr>
        <w:tab/>
      </w:r>
      <w:r w:rsidR="00871D0A" w:rsidRPr="007A682B">
        <w:rPr>
          <w:rFonts w:ascii="Arial" w:hAnsi="Arial" w:cs="Arial"/>
          <w:sz w:val="20"/>
          <w:szCs w:val="20"/>
        </w:rPr>
        <w:t xml:space="preserve">Visium HD mapping was performed as described in “Projection of snMultiome Data Onto Visium HD Data,” using the parent clusters from Parker </w:t>
      </w:r>
      <w:r w:rsidRPr="007A682B">
        <w:rPr>
          <w:rFonts w:ascii="Arial" w:hAnsi="Arial" w:cs="Arial"/>
          <w:sz w:val="20"/>
          <w:szCs w:val="20"/>
        </w:rPr>
        <w:t>(</w:t>
      </w:r>
      <w:r w:rsidR="00871D0A" w:rsidRPr="007A682B">
        <w:rPr>
          <w:rFonts w:ascii="Arial" w:hAnsi="Arial" w:cs="Arial"/>
          <w:sz w:val="20"/>
          <w:szCs w:val="20"/>
        </w:rPr>
        <w:t>2024</w:t>
      </w:r>
      <w:r w:rsidRPr="007A682B">
        <w:rPr>
          <w:rFonts w:ascii="Arial" w:hAnsi="Arial" w:cs="Arial"/>
          <w:sz w:val="20"/>
          <w:szCs w:val="20"/>
        </w:rPr>
        <w:t>)</w:t>
      </w:r>
      <w:r w:rsidR="00871D0A" w:rsidRPr="007A682B">
        <w:rPr>
          <w:rFonts w:ascii="Arial" w:hAnsi="Arial" w:cs="Arial"/>
          <w:sz w:val="20"/>
          <w:szCs w:val="20"/>
        </w:rPr>
        <w:t xml:space="preserve">. </w:t>
      </w:r>
      <w:r w:rsidRPr="007A682B">
        <w:rPr>
          <w:rFonts w:ascii="Arial" w:hAnsi="Arial" w:cs="Arial"/>
          <w:sz w:val="20"/>
          <w:szCs w:val="20"/>
        </w:rPr>
        <w:t>The only difference was</w:t>
      </w:r>
      <w:r w:rsidR="00871D0A" w:rsidRPr="007A682B">
        <w:rPr>
          <w:rFonts w:ascii="Arial" w:hAnsi="Arial" w:cs="Arial"/>
          <w:sz w:val="20"/>
          <w:szCs w:val="20"/>
        </w:rPr>
        <w:t xml:space="preserve"> dissected regions were not removed from the Visium HD dataset because Parker </w:t>
      </w:r>
      <w:r w:rsidRPr="007A682B">
        <w:rPr>
          <w:rFonts w:ascii="Arial" w:hAnsi="Arial" w:cs="Arial"/>
          <w:sz w:val="20"/>
          <w:szCs w:val="20"/>
        </w:rPr>
        <w:t>(</w:t>
      </w:r>
      <w:r w:rsidR="00871D0A" w:rsidRPr="007A682B">
        <w:rPr>
          <w:rFonts w:ascii="Arial" w:hAnsi="Arial" w:cs="Arial"/>
          <w:sz w:val="20"/>
          <w:szCs w:val="20"/>
        </w:rPr>
        <w:t>2024</w:t>
      </w:r>
      <w:r w:rsidRPr="007A682B">
        <w:rPr>
          <w:rFonts w:ascii="Arial" w:hAnsi="Arial" w:cs="Arial"/>
          <w:sz w:val="20"/>
          <w:szCs w:val="20"/>
        </w:rPr>
        <w:t>)</w:t>
      </w:r>
      <w:r w:rsidR="00871D0A" w:rsidRPr="007A682B">
        <w:rPr>
          <w:rFonts w:ascii="Arial" w:hAnsi="Arial" w:cs="Arial"/>
          <w:sz w:val="20"/>
          <w:szCs w:val="20"/>
        </w:rPr>
        <w:t xml:space="preserve"> provided an atlas of the entire telencephalon.</w:t>
      </w:r>
    </w:p>
    <w:p w14:paraId="38A49655" w14:textId="77777777" w:rsidR="00871D0A" w:rsidRPr="007A682B" w:rsidRDefault="00871D0A" w:rsidP="00871D0A">
      <w:pPr>
        <w:rPr>
          <w:rFonts w:ascii="Arial" w:hAnsi="Arial" w:cs="Arial"/>
          <w:sz w:val="20"/>
          <w:szCs w:val="20"/>
        </w:rPr>
      </w:pPr>
    </w:p>
    <w:p w14:paraId="1D280DAD" w14:textId="77777777" w:rsidR="00871D0A" w:rsidRPr="007A682B" w:rsidRDefault="00871D0A" w:rsidP="00871D0A">
      <w:pPr>
        <w:rPr>
          <w:rFonts w:ascii="Arial" w:hAnsi="Arial" w:cs="Arial"/>
          <w:sz w:val="20"/>
          <w:szCs w:val="20"/>
          <w:u w:val="single"/>
        </w:rPr>
      </w:pPr>
      <w:r w:rsidRPr="007A682B">
        <w:rPr>
          <w:rFonts w:ascii="Arial" w:hAnsi="Arial" w:cs="Arial"/>
          <w:sz w:val="20"/>
          <w:szCs w:val="20"/>
          <w:u w:val="single"/>
        </w:rPr>
        <w:t>Label Transfer with Multiome Object</w:t>
      </w:r>
    </w:p>
    <w:p w14:paraId="24A174AD" w14:textId="77777777" w:rsidR="00871D0A" w:rsidRPr="007A682B" w:rsidRDefault="00871D0A" w:rsidP="00871D0A">
      <w:pPr>
        <w:rPr>
          <w:rFonts w:ascii="Arial" w:hAnsi="Arial" w:cs="Arial"/>
          <w:sz w:val="20"/>
          <w:szCs w:val="20"/>
        </w:rPr>
      </w:pPr>
    </w:p>
    <w:p w14:paraId="6105C79E" w14:textId="10A4C22A" w:rsidR="00871D0A" w:rsidRPr="007A682B" w:rsidRDefault="00382D0D" w:rsidP="00871D0A">
      <w:pPr>
        <w:rPr>
          <w:rFonts w:ascii="Arial" w:hAnsi="Arial" w:cs="Arial"/>
          <w:sz w:val="20"/>
          <w:szCs w:val="20"/>
        </w:rPr>
      </w:pPr>
      <w:r w:rsidRPr="007A682B">
        <w:rPr>
          <w:rFonts w:ascii="Arial" w:hAnsi="Arial" w:cs="Arial"/>
          <w:sz w:val="20"/>
          <w:szCs w:val="20"/>
        </w:rPr>
        <w:tab/>
      </w:r>
      <w:r w:rsidR="00871D0A" w:rsidRPr="007A682B">
        <w:rPr>
          <w:rFonts w:ascii="Arial" w:hAnsi="Arial" w:cs="Arial"/>
          <w:sz w:val="20"/>
          <w:szCs w:val="20"/>
        </w:rPr>
        <w:t xml:space="preserve">To map cell types between datasets, cluster labels were transferred using Seurat’s label transfer functionality. Transfer anchors were first identified using FindTransferAnchors() (dims = 1:30, reference.reduction = "pca", features = rownames(reference object)). Labels were then transferred using TransferData() (dims = 1:30), and predicted cluster identities were assigned based on the predicted.id output. Label transfer was performed in both directions: from the multiome dataset to Parker </w:t>
      </w:r>
      <w:r w:rsidRPr="007A682B">
        <w:rPr>
          <w:rFonts w:ascii="Arial" w:hAnsi="Arial" w:cs="Arial"/>
          <w:sz w:val="20"/>
          <w:szCs w:val="20"/>
        </w:rPr>
        <w:t>(</w:t>
      </w:r>
      <w:r w:rsidR="00871D0A" w:rsidRPr="007A682B">
        <w:rPr>
          <w:rFonts w:ascii="Arial" w:hAnsi="Arial" w:cs="Arial"/>
          <w:sz w:val="20"/>
          <w:szCs w:val="20"/>
        </w:rPr>
        <w:t>2024</w:t>
      </w:r>
      <w:r w:rsidRPr="007A682B">
        <w:rPr>
          <w:rFonts w:ascii="Arial" w:hAnsi="Arial" w:cs="Arial"/>
          <w:sz w:val="20"/>
          <w:szCs w:val="20"/>
        </w:rPr>
        <w:t>)</w:t>
      </w:r>
      <w:r w:rsidR="00871D0A" w:rsidRPr="007A682B">
        <w:rPr>
          <w:rFonts w:ascii="Arial" w:hAnsi="Arial" w:cs="Arial"/>
          <w:sz w:val="20"/>
          <w:szCs w:val="20"/>
        </w:rPr>
        <w:t xml:space="preserve"> and from both the parent and child clusters of Parker </w:t>
      </w:r>
      <w:r w:rsidRPr="007A682B">
        <w:rPr>
          <w:rFonts w:ascii="Arial" w:hAnsi="Arial" w:cs="Arial"/>
          <w:sz w:val="20"/>
          <w:szCs w:val="20"/>
        </w:rPr>
        <w:t>(</w:t>
      </w:r>
      <w:r w:rsidR="00871D0A" w:rsidRPr="007A682B">
        <w:rPr>
          <w:rFonts w:ascii="Arial" w:hAnsi="Arial" w:cs="Arial"/>
          <w:sz w:val="20"/>
          <w:szCs w:val="20"/>
        </w:rPr>
        <w:t>2024</w:t>
      </w:r>
      <w:r w:rsidRPr="007A682B">
        <w:rPr>
          <w:rFonts w:ascii="Arial" w:hAnsi="Arial" w:cs="Arial"/>
          <w:sz w:val="20"/>
          <w:szCs w:val="20"/>
        </w:rPr>
        <w:t>)</w:t>
      </w:r>
      <w:r w:rsidR="00871D0A" w:rsidRPr="007A682B">
        <w:rPr>
          <w:rFonts w:ascii="Arial" w:hAnsi="Arial" w:cs="Arial"/>
          <w:sz w:val="20"/>
          <w:szCs w:val="20"/>
        </w:rPr>
        <w:t xml:space="preserve"> to the multiome dataset.</w:t>
      </w:r>
    </w:p>
    <w:p w14:paraId="35C7F023" w14:textId="77777777" w:rsidR="00871D0A" w:rsidRPr="007A682B" w:rsidRDefault="00871D0A" w:rsidP="00871D0A">
      <w:pPr>
        <w:rPr>
          <w:rFonts w:ascii="Arial" w:hAnsi="Arial" w:cs="Arial"/>
          <w:sz w:val="20"/>
          <w:szCs w:val="20"/>
        </w:rPr>
      </w:pPr>
    </w:p>
    <w:p w14:paraId="52542C3B" w14:textId="77777777" w:rsidR="00871D0A" w:rsidRPr="007A682B" w:rsidRDefault="00871D0A" w:rsidP="00871D0A">
      <w:pPr>
        <w:rPr>
          <w:rFonts w:ascii="Arial" w:hAnsi="Arial" w:cs="Arial"/>
          <w:sz w:val="20"/>
          <w:szCs w:val="20"/>
        </w:rPr>
      </w:pPr>
      <w:r w:rsidRPr="007A682B">
        <w:rPr>
          <w:rFonts w:ascii="Arial" w:hAnsi="Arial" w:cs="Arial"/>
          <w:sz w:val="20"/>
          <w:szCs w:val="20"/>
        </w:rPr>
        <w:t>Mutual Best Hits</w:t>
      </w:r>
    </w:p>
    <w:p w14:paraId="0231B226" w14:textId="77777777" w:rsidR="00871D0A" w:rsidRPr="007A682B" w:rsidRDefault="00871D0A" w:rsidP="00871D0A">
      <w:pPr>
        <w:rPr>
          <w:rFonts w:ascii="Arial" w:hAnsi="Arial" w:cs="Arial"/>
          <w:sz w:val="20"/>
          <w:szCs w:val="20"/>
        </w:rPr>
      </w:pPr>
    </w:p>
    <w:p w14:paraId="271E2C0B" w14:textId="297216A2" w:rsidR="00085080" w:rsidRPr="007A682B" w:rsidRDefault="00871D0A" w:rsidP="00753C87">
      <w:pPr>
        <w:rPr>
          <w:rFonts w:ascii="Arial" w:hAnsi="Arial" w:cs="Arial"/>
          <w:sz w:val="20"/>
          <w:szCs w:val="20"/>
        </w:rPr>
      </w:pPr>
      <w:r w:rsidRPr="007A682B">
        <w:rPr>
          <w:rFonts w:ascii="Arial" w:hAnsi="Arial" w:cs="Arial"/>
          <w:sz w:val="20"/>
          <w:szCs w:val="20"/>
        </w:rPr>
        <w:t xml:space="preserve">To identify clusters with strong correspondence between Parker </w:t>
      </w:r>
      <w:r w:rsidR="00382D0D" w:rsidRPr="007A682B">
        <w:rPr>
          <w:rFonts w:ascii="Arial" w:hAnsi="Arial" w:cs="Arial"/>
          <w:sz w:val="20"/>
          <w:szCs w:val="20"/>
        </w:rPr>
        <w:t>(</w:t>
      </w:r>
      <w:r w:rsidRPr="007A682B">
        <w:rPr>
          <w:rFonts w:ascii="Arial" w:hAnsi="Arial" w:cs="Arial"/>
          <w:sz w:val="20"/>
          <w:szCs w:val="20"/>
        </w:rPr>
        <w:t>2024</w:t>
      </w:r>
      <w:r w:rsidR="00382D0D" w:rsidRPr="007A682B">
        <w:rPr>
          <w:rFonts w:ascii="Arial" w:hAnsi="Arial" w:cs="Arial"/>
          <w:sz w:val="20"/>
          <w:szCs w:val="20"/>
        </w:rPr>
        <w:t>)</w:t>
      </w:r>
      <w:r w:rsidRPr="007A682B">
        <w:rPr>
          <w:rFonts w:ascii="Arial" w:hAnsi="Arial" w:cs="Arial"/>
          <w:sz w:val="20"/>
          <w:szCs w:val="20"/>
        </w:rPr>
        <w:t xml:space="preserve"> and the multiome dataset, we constructed contingency tables cross-tabulating the native cluster assignments in each dataset with the corresponding cluster labels predicted from the other dataset. For each cluster, the best hit was defined as the predicted cluster containing the highest proportion of its cells. Two clusters were considered mutual best hits when each was independently identified as the other’s best match. This analysis was performed at both the parent and child cluster levels.</w:t>
      </w:r>
    </w:p>
    <w:p w14:paraId="76BDB8B7" w14:textId="77777777" w:rsidR="0043315D" w:rsidRPr="007A682B" w:rsidRDefault="0043315D" w:rsidP="00753C87">
      <w:pPr>
        <w:rPr>
          <w:rFonts w:ascii="Arial" w:hAnsi="Arial" w:cs="Arial"/>
          <w:sz w:val="20"/>
          <w:szCs w:val="20"/>
        </w:rPr>
      </w:pPr>
    </w:p>
    <w:p w14:paraId="3E64FA78" w14:textId="77777777" w:rsidR="00921CD4" w:rsidRPr="007A682B" w:rsidRDefault="00921CD4" w:rsidP="002B52D9">
      <w:pPr>
        <w:rPr>
          <w:rFonts w:ascii="Arial" w:hAnsi="Arial" w:cs="Arial"/>
          <w:b/>
          <w:bCs/>
          <w:sz w:val="20"/>
          <w:szCs w:val="20"/>
          <w:lang w:eastAsia="ja-JP"/>
        </w:rPr>
      </w:pPr>
      <w:r w:rsidRPr="007A682B">
        <w:rPr>
          <w:rFonts w:ascii="Arial" w:hAnsi="Arial" w:cs="Arial"/>
          <w:b/>
          <w:bCs/>
          <w:sz w:val="20"/>
          <w:szCs w:val="20"/>
          <w:lang w:eastAsia="ja-JP"/>
        </w:rPr>
        <w:t>DEG Analysis</w:t>
      </w:r>
    </w:p>
    <w:p w14:paraId="5A0024B0" w14:textId="79B75C6A" w:rsidR="002B52D9" w:rsidRPr="005311A9" w:rsidRDefault="00921CD4" w:rsidP="002B52D9">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To calculate differentially expressed genes (DEGs), we used a similar approach to Parker et al.</w:t>
      </w:r>
      <w:r w:rsidRPr="007A682B">
        <w:rPr>
          <w:rFonts w:ascii="Arial" w:eastAsia="Malgun Gothic" w:hAnsi="Arial" w:cs="Arial"/>
          <w:kern w:val="0"/>
          <w:sz w:val="20"/>
          <w:szCs w:val="20"/>
          <w:lang w:eastAsia="ja-JP"/>
          <w14:ligatures w14:val="none"/>
        </w:rPr>
        <w:fldChar w:fldCharType="begin"/>
      </w:r>
      <w:r w:rsidR="0072390C" w:rsidRPr="007A682B">
        <w:rPr>
          <w:rFonts w:ascii="Arial" w:eastAsia="Malgun Gothic" w:hAnsi="Arial" w:cs="Arial"/>
          <w:kern w:val="0"/>
          <w:sz w:val="20"/>
          <w:szCs w:val="20"/>
          <w:lang w:eastAsia="ja-JP"/>
          <w14:ligatures w14:val="none"/>
        </w:rPr>
        <w:instrText xml:space="preserve"> ADDIN ZOTERO_ITEM CSL_CITATION {"citationID":"FBMcnYbn","properties":{"unsorted":false,"formattedCitation":"(5)","plainCitation":"(5)","noteIndex":0},"citationItems":[{"id":3227,"uris":["http://zotero.org/users/11313215/items/RWMZ9QFA"],"itemData":{"id":3227,"type":"article-journal","abstract":"BACKGROUND: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72390C" w:rsidRPr="007A682B">
        <w:rPr>
          <w:rFonts w:ascii="Arial" w:hAnsi="Arial" w:cs="Arial"/>
          <w:sz w:val="20"/>
          <w:szCs w:val="20"/>
          <w:lang w:eastAsia="ja-JP"/>
        </w:rPr>
        <w:t>(5)</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xml:space="preserve">, Johnson et al. </w:t>
      </w:r>
      <w:r w:rsidRPr="007A682B">
        <w:rPr>
          <w:rFonts w:ascii="Arial" w:eastAsia="Malgun Gothic" w:hAnsi="Arial" w:cs="Arial"/>
          <w:kern w:val="0"/>
          <w:sz w:val="20"/>
          <w:szCs w:val="20"/>
          <w:lang w:eastAsia="ja-JP"/>
          <w14:ligatures w14:val="none"/>
        </w:rPr>
        <w:fldChar w:fldCharType="begin"/>
      </w:r>
      <w:r w:rsidR="009613F6" w:rsidRPr="007A682B">
        <w:rPr>
          <w:rFonts w:ascii="Arial" w:eastAsia="Malgun Gothic" w:hAnsi="Arial" w:cs="Arial"/>
          <w:kern w:val="0"/>
          <w:sz w:val="20"/>
          <w:szCs w:val="20"/>
          <w:lang w:eastAsia="ja-JP"/>
          <w14:ligatures w14:val="none"/>
        </w:rPr>
        <w:instrText xml:space="preserve"> ADDIN ZOTERO_ITEM CSL_CITATION {"citationID":"ypAhlNF0","properties":{"formattedCitation":"(66)","plainCitation":"(66)","noteIndex":0},"citationItems":[{"id":374,"uris":["http://zotero.org/users/11313215/items/YNY22WA2"],"itemData":{"id":374,"type":"article-journal","abstract":"Social behaviors are diverse in nature, but it is unclear how conserved genes, brain regions, and cell populations generate this diversity. Here we investigate bower-building, a recently-evolved social behavior in cichlid fishes. We use single nucleus RNA-sequencing in 38 individuals to show signatures of recent behavior in specific neuronal populations, and building-associated rebalancing of neuronal proportions in the putative homolog of the hippocampal formation. Using comparative genomics across 27 species, we trace bower-associated genome evolution to a subpopulation of glia lining the dorsal telencephalon. We show evidence that building-associated neural activity and a departure from quiescence in this glial subpopulation together regulate hippocampal-like neuronal rebalancing. Our work links behavior-associated genomic variation to specific brain cell types and their functions, and suggests a social behavior has evolved through changes in glia.","container-title":"Nature Communications","DOI":"10.1038/s41467-023-40331-9","ISSN":"2041-1723","issue":"1","journalAbbreviation":"Nat Commun","language":"en","license":"2023 Springer Nature Limited","note":"number: 1","page":"4891","publisher":"Nature Publishing Group","source":"www.nature.com","title":"Cellular profiling of a recently-evolved social behavior in cichlid fishes","volume":"14","author":[{"family":"Johnson","given":"Zachary V."},{"family":"Hegarty","given":"Brianna E."},{"family":"Gruenhagen","given":"George W."},{"family":"Lancaster","given":"Tucker J."},{"family":"McGrath","given":"Patrick T."},{"family":"Streelman","given":"Jeffrey T."}],"issued":{"date-parts":[["2023",8,14]]}}}],"schema":"https://github.com/citation-style-language/schema/raw/master/csl-citation.json"}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9613F6" w:rsidRPr="007A682B">
        <w:rPr>
          <w:rFonts w:ascii="Arial" w:hAnsi="Arial" w:cs="Arial"/>
          <w:sz w:val="20"/>
          <w:szCs w:val="20"/>
          <w:lang w:eastAsia="ja-JP"/>
        </w:rPr>
        <w:t>(66)</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xml:space="preserve">, and Connolly et al. </w:t>
      </w:r>
      <w:r w:rsidRPr="007A682B">
        <w:rPr>
          <w:rFonts w:ascii="Arial" w:eastAsia="Malgun Gothic" w:hAnsi="Arial" w:cs="Arial"/>
          <w:kern w:val="0"/>
          <w:sz w:val="20"/>
          <w:szCs w:val="20"/>
          <w:lang w:eastAsia="ja-JP"/>
          <w14:ligatures w14:val="none"/>
        </w:rPr>
        <w:fldChar w:fldCharType="begin"/>
      </w:r>
      <w:r w:rsidR="009613F6" w:rsidRPr="007A682B">
        <w:rPr>
          <w:rFonts w:ascii="Arial" w:eastAsia="Malgun Gothic" w:hAnsi="Arial" w:cs="Arial"/>
          <w:kern w:val="0"/>
          <w:sz w:val="20"/>
          <w:szCs w:val="20"/>
          <w:lang w:eastAsia="ja-JP"/>
          <w14:ligatures w14:val="none"/>
        </w:rPr>
        <w:instrText xml:space="preserve"> ADDIN ZOTERO_ITEM CSL_CITATION {"citationID":"fBAI2p66","properties":{"unsorted":false,"formattedCitation":"(67)","plainCitation":"(67)","noteIndex":0},"citationItems":[{"id":6499,"uris":["http://zotero.org/users/11313215/items/UEWU6DK3"],"itemData":{"id":6499,"type":"article-journal","abstract":"Acute stress has enduring effects on the brain and motivated behavior across species. For example, acute stress produces persisting decreases in voluntary physical activity as well as molecular changes in the striatum, a brain region that regulates voluntary physical activity and other motivated behaviors. Microglia, the primary immune cells of the central nervous system, are positioned at the interface between neural responses to stress and neural coordination of voluntary activity in that they respond to stress, sense molecular changes in the striatum, and modulate neuronal activity. However, the role of striatal microglia in stress-induced long-term suppression of voluntary activity is unknown. Here, we employ single-nucleus RNA sequencing to investigate how stress and exercise impact the biology of microglia in the striatum. We find that striatal microglia display altered activation profiles 6 weeks after an acute stressor. Furthermore, we show that access to a running wheel is associated with an additional and distinct microglial activation profile characterized by upregulation of genes related to complement components and phagocytosis pathways. Finally, we find that distinct gene sets show expression changes associated with general access to a running wheel versus variation in running levels. Taken together, our results deepen our understanding of the diverse molecular states that striatal microglia assume in response to stress and exercise and suggest that microglia exhibit a broader range of functional states than previously thought.","container-title":"Genes, Brain and Behavior","DOI":"10.1111/gbb.70019","ISSN":"1601-183X","issue":"2","language":"en","license":"© 2025 The Author(s). Genes, Brain and Behavior published by International Behavioural and Neural Genetics Society and John Wiley &amp; Sons Ltd.","note":"_eprint: https://onlinelibrary.wiley.com/doi/pdf/10.1111/gbb.70019","page":"e70019","source":"Wiley Online Library","title":"Single-Nucleus RNA Sequencing Reveals Enduring Signatures of Acute Stress and Chronic Exercise in Striatal Microglia","volume":"24","author":[{"family":"Connolly","given":"Meghan G."},{"family":"Johnson","given":"Zachary V."},{"family":"Chu","given":"Lynna"},{"family":"Johnson","given":"Nicholas D."},{"family":"Buhr","given":"Trevor J."},{"family":"McNeill","given":"Elizabeth M."},{"family":"Clark","given":"Peter J."},{"family":"Rhodes","given":"Justin S."}],"issued":{"date-parts":[["2025"]]}}}],"schema":"https://github.com/citation-style-language/schema/raw/master/csl-citation.json"}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9613F6" w:rsidRPr="007A682B">
        <w:rPr>
          <w:rFonts w:ascii="Arial" w:hAnsi="Arial" w:cs="Arial"/>
          <w:sz w:val="20"/>
          <w:szCs w:val="20"/>
          <w:lang w:eastAsia="ja-JP"/>
        </w:rPr>
        <w:t>(67)</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xml:space="preserve">. For each cluster, we used a negative binomial mixed regression using the “glmer” package </w:t>
      </w:r>
      <w:r w:rsidRPr="007A682B">
        <w:rPr>
          <w:rFonts w:ascii="Arial" w:eastAsia="Malgun Gothic" w:hAnsi="Arial" w:cs="Arial"/>
          <w:kern w:val="0"/>
          <w:sz w:val="20"/>
          <w:szCs w:val="20"/>
          <w:lang w:eastAsia="ja-JP"/>
          <w14:ligatures w14:val="none"/>
        </w:rPr>
        <w:fldChar w:fldCharType="begin"/>
      </w:r>
      <w:r w:rsidR="009613F6" w:rsidRPr="007A682B">
        <w:rPr>
          <w:rFonts w:ascii="Arial" w:eastAsia="Malgun Gothic" w:hAnsi="Arial" w:cs="Arial"/>
          <w:kern w:val="0"/>
          <w:sz w:val="20"/>
          <w:szCs w:val="20"/>
          <w:lang w:eastAsia="ja-JP"/>
          <w14:ligatures w14:val="none"/>
        </w:rPr>
        <w:instrText xml:space="preserve"> ADDIN ZOTERO_ITEM CSL_CITATION {"citationID":"5Hb4v1ar","properties":{"formattedCitation":"(68)","plainCitation":"(68)","noteIndex":0},"citationItems":[{"id":2510,"uris":["http://zotero.org/users/11313215/items/TTU6U7SR"],"itemData":{"id":2510,"type":"software","abstract":"Fit linear and generalized linear mixed-effects models. The models and their components are represented using S4 classes and methods. The core computational algorithms are implemented using the 'Eigen' C++ library for numerical linear algebra and 'RcppEigen' \"glue\".","license":"GPL-2 | GPL-3 [expanded from: GPL (≥ 2)]","source":"R-Packages","title":"lme4: Linear Mixed-Effects Models using 'Eigen' and S4","title-short":"lme4","URL":"https://cran.r-project.org/web/packages/lme4/index.html","version":"1.1-35.5","author":[{"family":"Bates","given":"Douglas"},{"family":"Maechler","given":"Martin"},{"family":"Bolker  [aut","given":"Ben"},{"family":"cre","given":""},{"family":"Walker","given":"Steven"},{"family":"Christensen","given":"Rune Haubo Bojesen"},{"family":"Singmann","given":"Henrik"},{"family":"Dai","given":"Bin"},{"family":"Scheipl","given":"Fabian"},{"family":"Grothendieck","given":"Gabor"},{"family":"Green","given":"Peter"},{"family":"Fox","given":"John"},{"family":"Bauer","given":"Alexander"},{"family":"simulate.formula)","given":"Pavel N. Krivitsky (shared","dropping-particle":"copyright on"},{"family":"Tanaka","given":"Emi"},{"family":"Jagan","given":"Mikael"}],"accessed":{"date-parts":[["2024",9,15]]},"issued":{"date-parts":[["2024",7,3]]}}}],"schema":"https://github.com/citation-style-language/schema/raw/master/csl-citation.json"}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9613F6" w:rsidRPr="007A682B">
        <w:rPr>
          <w:rFonts w:ascii="Arial" w:hAnsi="Arial" w:cs="Arial"/>
          <w:sz w:val="20"/>
          <w:szCs w:val="20"/>
          <w:lang w:eastAsia="ja-JP"/>
        </w:rPr>
        <w:t>(68)</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The response variable was the raw counts of the gene, the predictor variable was phase, and a random effect of individual ID was included. Dispersions were estimated using a gamma-Poisson model. We also included an offset term of the natural logarithm of the library sizes per nucleus to normalize variation in sequencing depth across the nuclei. For each gene, once the model was fit, type-III tests were computed and the false discovery rate (</w:t>
      </w:r>
      <w:r w:rsidRPr="007A682B">
        <w:rPr>
          <w:rFonts w:ascii="Arial" w:eastAsia="Malgun Gothic" w:hAnsi="Arial" w:cs="Arial"/>
          <w:i/>
          <w:kern w:val="0"/>
          <w:sz w:val="20"/>
          <w:szCs w:val="20"/>
          <w:lang w:eastAsia="ja-JP"/>
          <w14:ligatures w14:val="none"/>
        </w:rPr>
        <w:t>q-</w:t>
      </w:r>
      <w:r w:rsidRPr="007A682B">
        <w:rPr>
          <w:rFonts w:ascii="Arial" w:eastAsia="Malgun Gothic" w:hAnsi="Arial" w:cs="Arial"/>
          <w:kern w:val="0"/>
          <w:sz w:val="20"/>
          <w:szCs w:val="20"/>
          <w:lang w:eastAsia="ja-JP"/>
          <w14:ligatures w14:val="none"/>
        </w:rPr>
        <w:t xml:space="preserve">value) </w:t>
      </w:r>
      <w:r w:rsidRPr="007A682B">
        <w:rPr>
          <w:rFonts w:ascii="Arial" w:eastAsia="Malgun Gothic" w:hAnsi="Arial" w:cs="Arial"/>
          <w:kern w:val="0"/>
          <w:sz w:val="20"/>
          <w:szCs w:val="20"/>
          <w:lang w:eastAsia="ja-JP"/>
          <w14:ligatures w14:val="none"/>
        </w:rPr>
        <w:fldChar w:fldCharType="begin"/>
      </w:r>
      <w:r w:rsidR="009613F6" w:rsidRPr="007A682B">
        <w:rPr>
          <w:rFonts w:ascii="Arial" w:eastAsia="Malgun Gothic" w:hAnsi="Arial" w:cs="Arial"/>
          <w:kern w:val="0"/>
          <w:sz w:val="20"/>
          <w:szCs w:val="20"/>
          <w:lang w:eastAsia="ja-JP"/>
          <w14:ligatures w14:val="none"/>
        </w:rPr>
        <w:instrText xml:space="preserve"> ADDIN ZOTERO_ITEM CSL_CITATION {"citationID":"YgQMrcyW","properties":{"formattedCitation":"(56)","plainCitation":"(56)","noteIndex":0},"citationItems":[{"id":2523,"uris":["http://zotero.org/users/11313215/items/VFIVI5RB"],"itemData":{"id":2523,"type":"article-journal","abstract":"The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9613F6" w:rsidRPr="007A682B">
        <w:rPr>
          <w:rFonts w:ascii="Arial" w:hAnsi="Arial" w:cs="Arial"/>
          <w:sz w:val="20"/>
          <w:szCs w:val="20"/>
          <w:lang w:eastAsia="ja-JP"/>
        </w:rPr>
        <w:t>(56)</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xml:space="preserve"> for the “Phase” term was calculated within each cluster. A gene was considered a DEG if the </w:t>
      </w:r>
      <w:r w:rsidRPr="007A682B">
        <w:rPr>
          <w:rFonts w:ascii="Arial" w:eastAsia="Malgun Gothic" w:hAnsi="Arial" w:cs="Arial"/>
          <w:i/>
          <w:kern w:val="0"/>
          <w:sz w:val="20"/>
          <w:szCs w:val="20"/>
          <w:lang w:eastAsia="ja-JP"/>
          <w14:ligatures w14:val="none"/>
        </w:rPr>
        <w:t>q-</w:t>
      </w:r>
      <w:r w:rsidRPr="007A682B">
        <w:rPr>
          <w:rFonts w:ascii="Arial" w:eastAsia="Malgun Gothic" w:hAnsi="Arial" w:cs="Arial"/>
          <w:kern w:val="0"/>
          <w:sz w:val="20"/>
          <w:szCs w:val="20"/>
          <w:lang w:eastAsia="ja-JP"/>
          <w14:ligatures w14:val="none"/>
        </w:rPr>
        <w:t xml:space="preserve">value of </w:t>
      </w:r>
      <w:r w:rsidR="00B57B95" w:rsidRPr="007A682B">
        <w:rPr>
          <w:rFonts w:ascii="Arial" w:eastAsia="Malgun Gothic" w:hAnsi="Arial" w:cs="Arial"/>
          <w:kern w:val="0"/>
          <w:sz w:val="20"/>
          <w:szCs w:val="20"/>
          <w:lang w:eastAsia="ja-JP"/>
          <w14:ligatures w14:val="none"/>
        </w:rPr>
        <w:t>type-III tests was</w:t>
      </w:r>
      <w:r w:rsidRPr="007A682B">
        <w:rPr>
          <w:rFonts w:ascii="Arial" w:eastAsia="Malgun Gothic" w:hAnsi="Arial" w:cs="Arial"/>
          <w:kern w:val="0"/>
          <w:sz w:val="20"/>
          <w:szCs w:val="20"/>
          <w:lang w:eastAsia="ja-JP"/>
          <w14:ligatures w14:val="none"/>
        </w:rPr>
        <w:t xml:space="preserve"> &lt; 0.05</w:t>
      </w:r>
      <w:r w:rsidR="00B57B95" w:rsidRPr="007A682B">
        <w:rPr>
          <w:rFonts w:ascii="Arial" w:eastAsia="Malgun Gothic" w:hAnsi="Arial" w:cs="Arial"/>
          <w:kern w:val="0"/>
          <w:sz w:val="20"/>
          <w:szCs w:val="20"/>
          <w:lang w:eastAsia="ja-JP"/>
          <w14:ligatures w14:val="none"/>
        </w:rPr>
        <w:t xml:space="preserve"> and</w:t>
      </w:r>
      <w:r w:rsidRPr="007A682B">
        <w:rPr>
          <w:rFonts w:ascii="Arial" w:eastAsia="Malgun Gothic" w:hAnsi="Arial" w:cs="Arial"/>
          <w:kern w:val="0"/>
          <w:sz w:val="20"/>
          <w:szCs w:val="20"/>
          <w:lang w:eastAsia="ja-JP"/>
          <w14:ligatures w14:val="none"/>
        </w:rPr>
        <w:t xml:space="preserve"> the model successfully converged</w:t>
      </w:r>
      <w:r w:rsidR="002B52D9" w:rsidRPr="007A682B">
        <w:rPr>
          <w:rFonts w:ascii="Arial" w:eastAsia="Malgun Gothic" w:hAnsi="Arial" w:cs="Arial"/>
          <w:kern w:val="0"/>
          <w:sz w:val="20"/>
          <w:szCs w:val="20"/>
          <w:lang w:eastAsia="ja-JP"/>
          <w14:ligatures w14:val="none"/>
        </w:rPr>
        <w:t>.</w:t>
      </w:r>
      <w:r w:rsidR="00EE797F">
        <w:rPr>
          <w:rFonts w:ascii="Arial" w:eastAsia="Malgun Gothic" w:hAnsi="Arial" w:cs="Arial"/>
          <w:kern w:val="0"/>
          <w:sz w:val="20"/>
          <w:szCs w:val="20"/>
          <w:lang w:eastAsia="ja-JP"/>
          <w14:ligatures w14:val="none"/>
        </w:rPr>
        <w:t xml:space="preserve"> </w:t>
      </w:r>
      <w:r w:rsidR="005311A9">
        <w:rPr>
          <w:rFonts w:ascii="Arial" w:eastAsia="Malgun Gothic" w:hAnsi="Arial" w:cs="Arial"/>
          <w:kern w:val="0"/>
          <w:sz w:val="20"/>
          <w:szCs w:val="20"/>
          <w:lang w:eastAsia="ja-JP"/>
          <w14:ligatures w14:val="none"/>
        </w:rPr>
        <w:t xml:space="preserve">For </w:t>
      </w:r>
      <w:r w:rsidR="005311A9">
        <w:rPr>
          <w:rFonts w:ascii="Arial" w:eastAsia="Malgun Gothic" w:hAnsi="Arial" w:cs="Arial"/>
          <w:i/>
          <w:iCs/>
          <w:kern w:val="0"/>
          <w:sz w:val="20"/>
          <w:szCs w:val="20"/>
          <w:lang w:eastAsia="ja-JP"/>
          <w14:ligatures w14:val="none"/>
        </w:rPr>
        <w:t xml:space="preserve">gnrh1 </w:t>
      </w:r>
      <w:r w:rsidR="005311A9">
        <w:rPr>
          <w:rFonts w:ascii="Arial" w:eastAsia="Malgun Gothic" w:hAnsi="Arial" w:cs="Arial"/>
          <w:kern w:val="0"/>
          <w:sz w:val="20"/>
          <w:szCs w:val="20"/>
          <w:lang w:eastAsia="ja-JP"/>
          <w14:ligatures w14:val="none"/>
        </w:rPr>
        <w:t xml:space="preserve">in 6_POA_Mixed, the negative binomial model failed to converge, so we reverted to a pseudobulked analysis where </w:t>
      </w:r>
      <w:r w:rsidR="00FC7527">
        <w:rPr>
          <w:rFonts w:ascii="Arial" w:eastAsia="Malgun Gothic" w:hAnsi="Arial" w:cs="Arial"/>
          <w:kern w:val="0"/>
          <w:sz w:val="20"/>
          <w:szCs w:val="20"/>
          <w:lang w:eastAsia="ja-JP"/>
          <w14:ligatures w14:val="none"/>
        </w:rPr>
        <w:t>the mean expression for each individual was fit against phase lm(mean_gnrh1_expression ~phase).</w:t>
      </w:r>
    </w:p>
    <w:p w14:paraId="332F4481" w14:textId="0313E4CF" w:rsidR="002B52D9" w:rsidRPr="007A682B" w:rsidRDefault="002B52D9" w:rsidP="002B52D9">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Differentially Accessible Region (DAR) Analysis</w:t>
      </w:r>
    </w:p>
    <w:p w14:paraId="0B2B6587" w14:textId="68F3546B" w:rsidR="002B52D9" w:rsidRPr="007A682B" w:rsidRDefault="002B52D9" w:rsidP="00093DF6">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lastRenderedPageBreak/>
        <w:t xml:space="preserve">Differentially accessible regions (DARs) were identified independently within each cluster using a pseudobulk approach implemented in edgeR. ATAC fragment counts were summed across nuclei from each individual to generate one pseudobulk accessibility profile per individual. Peaks detected in fewer than 10 individuals or with fewer than 80 total counts were excluded from analysis. Library sizes were normalized using the trimmed mean of M-values (TMM) method, dispersions were estimated with estimateDisp(), and quasi-likelihood generalized linear models were fit using glmQLFit(). Pairwise contrasts (M vs. F, M vs. </w:t>
      </w:r>
      <w:r w:rsidR="002A0494" w:rsidRPr="007A682B">
        <w:rPr>
          <w:rFonts w:ascii="Arial" w:eastAsia="Malgun Gothic" w:hAnsi="Arial" w:cs="Arial"/>
          <w:kern w:val="0"/>
          <w:sz w:val="20"/>
          <w:szCs w:val="20"/>
          <w:lang w:eastAsia="ja-JP"/>
          <w14:ligatures w14:val="none"/>
        </w:rPr>
        <w:t>I</w:t>
      </w:r>
      <w:r w:rsidRPr="007A682B">
        <w:rPr>
          <w:rFonts w:ascii="Arial" w:eastAsia="Malgun Gothic" w:hAnsi="Arial" w:cs="Arial"/>
          <w:kern w:val="0"/>
          <w:sz w:val="20"/>
          <w:szCs w:val="20"/>
          <w:lang w:eastAsia="ja-JP"/>
          <w14:ligatures w14:val="none"/>
        </w:rPr>
        <w:t xml:space="preserve">, and F vs. </w:t>
      </w:r>
      <w:r w:rsidR="002A0494" w:rsidRPr="007A682B">
        <w:rPr>
          <w:rFonts w:ascii="Arial" w:eastAsia="Malgun Gothic" w:hAnsi="Arial" w:cs="Arial"/>
          <w:kern w:val="0"/>
          <w:sz w:val="20"/>
          <w:szCs w:val="20"/>
          <w:lang w:eastAsia="ja-JP"/>
          <w14:ligatures w14:val="none"/>
        </w:rPr>
        <w:t>I</w:t>
      </w:r>
      <w:r w:rsidRPr="007A682B">
        <w:rPr>
          <w:rFonts w:ascii="Arial" w:eastAsia="Malgun Gothic" w:hAnsi="Arial" w:cs="Arial"/>
          <w:kern w:val="0"/>
          <w:sz w:val="20"/>
          <w:szCs w:val="20"/>
          <w:lang w:eastAsia="ja-JP"/>
          <w14:ligatures w14:val="none"/>
        </w:rPr>
        <w:t>) were tested using quasi-likelihood F-tests (glmQLFTest()), and peaks with a false discovery rate (FDR) &lt; 0.20 in any comparison were considered differentially accessible.</w:t>
      </w:r>
    </w:p>
    <w:p w14:paraId="3FF8ECEE" w14:textId="77777777" w:rsidR="002B52D9" w:rsidRPr="007A682B" w:rsidRDefault="002B52D9" w:rsidP="002B52D9">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Integration of Differential Gene Expression and Chromatin Accessibility</w:t>
      </w:r>
    </w:p>
    <w:p w14:paraId="4BA63D27" w14:textId="2724F26D" w:rsidR="002B52D9" w:rsidRPr="007A682B" w:rsidRDefault="002B52D9" w:rsidP="00093DF6">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To evaluate the relationship between differential gene expression and chromatin accessibility, we performed two complementary pseudobulk correlation analyses. In both analyses, RNA and ATAC counts were summed across nuclei from each individual within each cluster to generate pseudobulk profiles. Individuals represented by fewer than five nuclei within a cluster were excluded. RNA and ATAC libraries were normalized independently to log counts-per-million (logCPM), and Pearson and Spearman correlations were calculated across individuals. Correlation analyses were considered valid only when at least 18 individuals were available, RNA and ATAC counts were nonzero in at least 18 individuals, and both datasets exhibited non-zero variance.</w:t>
      </w:r>
    </w:p>
    <w:p w14:paraId="351E13DB" w14:textId="71EB2C8E" w:rsidR="002B52D9" w:rsidRPr="007A682B" w:rsidRDefault="00382D0D" w:rsidP="002B52D9">
      <w:pPr>
        <w:spacing w:after="16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ab/>
      </w:r>
      <w:r w:rsidR="002B52D9" w:rsidRPr="007A682B">
        <w:rPr>
          <w:rFonts w:ascii="Arial" w:eastAsia="Malgun Gothic" w:hAnsi="Arial" w:cs="Arial"/>
          <w:kern w:val="0"/>
          <w:sz w:val="20"/>
          <w:szCs w:val="20"/>
          <w:lang w:eastAsia="ja-JP"/>
          <w14:ligatures w14:val="none"/>
        </w:rPr>
        <w:t>For the DEG-centered analysis, each DEG was paired with all ATAC peaks overlapping the annotated gene body or a proximal promoter region (2 kb upstream and 500 bp downstream of the transcription start site). The peak exhibiting the strongest absolute Pearson correlation with gene expression was retained for each DEG. For the complementary DAR-centered analysis, each DAR was paired with its nearest annotated gene, and chromatin accessibility was correlated with expression of that gene across individuals. Pearson P-values from both analyses were corrected for multiple testing using the Benjamini-Hochberg false discovery rate procedure.</w:t>
      </w:r>
    </w:p>
    <w:p w14:paraId="0D8C3E4B" w14:textId="4D656C21" w:rsidR="00E051B3" w:rsidRPr="007A682B" w:rsidRDefault="00E051B3" w:rsidP="002B52D9">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Machine Learning Analysis of Temporal Course of Sex Change</w:t>
      </w:r>
    </w:p>
    <w:p w14:paraId="54D83A9E" w14:textId="7A7B6474" w:rsidR="00BA21DD" w:rsidRPr="007A682B" w:rsidRDefault="00BA21DD" w:rsidP="00BA21DD">
      <w:pPr>
        <w:spacing w:after="16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ab/>
        <w:t xml:space="preserve">To estimate the extent to which each multiome cluster had transitioned from a male-like toward a female-like molecular state after six months of sex change, we used a machine learning approach to classify intermediates based on their similarity to males and females. For each cluster, we constructed a feature matrix in which rows corresponded to individuals and columns corresponded to differentially expressed genes (DEGs) </w:t>
      </w:r>
      <w:r w:rsidR="009613F6" w:rsidRPr="007A682B">
        <w:rPr>
          <w:rFonts w:ascii="Arial" w:eastAsia="Malgun Gothic" w:hAnsi="Arial" w:cs="Arial"/>
          <w:kern w:val="0"/>
          <w:sz w:val="20"/>
          <w:szCs w:val="20"/>
          <w:lang w:eastAsia="ja-JP"/>
          <w14:ligatures w14:val="none"/>
        </w:rPr>
        <w:t>and</w:t>
      </w:r>
      <w:r w:rsidRPr="007A682B">
        <w:rPr>
          <w:rFonts w:ascii="Arial" w:eastAsia="Malgun Gothic" w:hAnsi="Arial" w:cs="Arial"/>
          <w:kern w:val="0"/>
          <w:sz w:val="20"/>
          <w:szCs w:val="20"/>
          <w:lang w:eastAsia="ja-JP"/>
          <w14:ligatures w14:val="none"/>
        </w:rPr>
        <w:t xml:space="preserve"> differentially accessible regions (DARs) that significantly differed between males and females. Using the Python package scikit-learn (71), we standardized each feature matrix using StandardScaler(), encoded sex as a binary variable (male = 0, female = 1), and trained logistic regression classifiers using LogisticRegression() (C = 10, solver = "lbfgs"). We then used predict_proba() to estimate the probability that each intermediate individual exhibited a female-like molecular profile.</w:t>
      </w:r>
    </w:p>
    <w:p w14:paraId="588602B7" w14:textId="38DC7F56" w:rsidR="00BA21DD" w:rsidRPr="007A682B" w:rsidRDefault="00BA21DD" w:rsidP="002B52D9">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kern w:val="0"/>
          <w:sz w:val="20"/>
          <w:szCs w:val="20"/>
          <w:lang w:eastAsia="ja-JP"/>
          <w14:ligatures w14:val="none"/>
        </w:rPr>
        <w:tab/>
        <w:t xml:space="preserve">To restrict the analysis to clusters in which males and females could be reliably distinguished, we performed a leave-one-out procedure in which the classifier was iteratively refit while holding out one male or female individual and predicting its sex. Clusters were retained only when the mean predicted probability for held-out males was within 0.1 of 0 and the mean predicted probability for held-out females was within 0.1 of 1. For each retained cluster, the mean predicted probability among intermediates was used as an index of the extent of molecular transition toward the female state after six months. </w:t>
      </w:r>
    </w:p>
    <w:p w14:paraId="648C6C68" w14:textId="2AC290BC" w:rsidR="004634AC" w:rsidRPr="007A682B" w:rsidRDefault="004634AC" w:rsidP="00415AF2">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Subclustering</w:t>
      </w:r>
      <w:r w:rsidR="00555E1C" w:rsidRPr="007A682B">
        <w:rPr>
          <w:rFonts w:ascii="Arial" w:eastAsia="Malgun Gothic" w:hAnsi="Arial" w:cs="Arial"/>
          <w:b/>
          <w:bCs/>
          <w:kern w:val="0"/>
          <w:sz w:val="20"/>
          <w:szCs w:val="20"/>
          <w:lang w:eastAsia="ja-JP"/>
          <w14:ligatures w14:val="none"/>
        </w:rPr>
        <w:t xml:space="preserve"> 1_RGC</w:t>
      </w:r>
    </w:p>
    <w:p w14:paraId="702941E9" w14:textId="1C3A5896" w:rsidR="004634AC" w:rsidRPr="007A682B" w:rsidRDefault="0071780B" w:rsidP="0071780B">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We subclustered 1_RGC using Seurat’s FindSubC</w:t>
      </w:r>
      <w:r w:rsidR="00B26804" w:rsidRPr="007A682B">
        <w:rPr>
          <w:rFonts w:ascii="Arial" w:eastAsia="Malgun Gothic" w:hAnsi="Arial" w:cs="Arial"/>
          <w:kern w:val="0"/>
          <w:sz w:val="20"/>
          <w:szCs w:val="20"/>
          <w:lang w:eastAsia="ja-JP"/>
          <w14:ligatures w14:val="none"/>
        </w:rPr>
        <w:t>luster</w:t>
      </w:r>
      <w:r w:rsidR="00F6638C" w:rsidRPr="007A682B">
        <w:rPr>
          <w:rFonts w:ascii="Arial" w:eastAsia="Malgun Gothic" w:hAnsi="Arial" w:cs="Arial"/>
          <w:kern w:val="0"/>
          <w:sz w:val="20"/>
          <w:szCs w:val="20"/>
          <w:lang w:eastAsia="ja-JP"/>
          <w14:ligatures w14:val="none"/>
        </w:rPr>
        <w:t>()</w:t>
      </w:r>
      <w:r w:rsidR="00B26804" w:rsidRPr="007A682B">
        <w:rPr>
          <w:rFonts w:ascii="Arial" w:eastAsia="Malgun Gothic" w:hAnsi="Arial" w:cs="Arial"/>
          <w:kern w:val="0"/>
          <w:sz w:val="20"/>
          <w:szCs w:val="20"/>
          <w:lang w:eastAsia="ja-JP"/>
          <w14:ligatures w14:val="none"/>
        </w:rPr>
        <w:t xml:space="preserve"> function </w:t>
      </w:r>
      <w:r w:rsidR="00DC133F" w:rsidRPr="007A682B">
        <w:rPr>
          <w:rFonts w:ascii="Arial" w:eastAsia="Malgun Gothic" w:hAnsi="Arial" w:cs="Arial"/>
          <w:kern w:val="0"/>
          <w:sz w:val="20"/>
          <w:szCs w:val="20"/>
          <w:lang w:eastAsia="ja-JP"/>
          <w14:ligatures w14:val="none"/>
        </w:rPr>
        <w:t>on the harmony weighted shared nearest neighbors graph with resolution 0.2 specified.</w:t>
      </w:r>
    </w:p>
    <w:p w14:paraId="6E0C0371" w14:textId="77777777" w:rsidR="00D75AD5" w:rsidRPr="007A682B" w:rsidRDefault="00D75AD5" w:rsidP="00D75AD5">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Cellular Maturity Inference</w:t>
      </w:r>
    </w:p>
    <w:p w14:paraId="6D49528B" w14:textId="613E21AD" w:rsidR="00F6638C" w:rsidRPr="007A682B" w:rsidRDefault="00F6638C" w:rsidP="00F6638C">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To infer relative cellular maturity, we used the R package CytoTRACE </w:t>
      </w:r>
      <w:r w:rsidRPr="007A682B">
        <w:rPr>
          <w:rFonts w:ascii="Arial" w:eastAsia="Malgun Gothic" w:hAnsi="Arial" w:cs="Arial"/>
          <w:kern w:val="0"/>
          <w:sz w:val="20"/>
          <w:szCs w:val="20"/>
          <w:lang w:eastAsia="ja-JP"/>
          <w14:ligatures w14:val="none"/>
        </w:rPr>
        <w:fldChar w:fldCharType="begin"/>
      </w:r>
      <w:r w:rsidR="009613F6" w:rsidRPr="007A682B">
        <w:rPr>
          <w:rFonts w:ascii="Arial" w:eastAsia="Malgun Gothic" w:hAnsi="Arial" w:cs="Arial"/>
          <w:kern w:val="0"/>
          <w:sz w:val="20"/>
          <w:szCs w:val="20"/>
          <w:lang w:eastAsia="ja-JP"/>
          <w14:ligatures w14:val="none"/>
        </w:rPr>
        <w:instrText xml:space="preserve"> ADDIN ZOTERO_ITEM CSL_CITATION {"citationID":"6BeGTlyw","properties":{"unsorted":false,"formattedCitation":"(69)","plainCitation":"(69)","noteIndex":0},"citationItems":[{"id":3274,"uris":["http://zotero.org/users/11313215/items/LEWHIU9W"],"itemData":{"id":3274,"type":"article-journal","abstract":"Single-cell RNA sequencing (scRNA-seq) is a powerful approach for reconstructing cellular differentiation trajectories. However, inferring both the state and direction of differentiation is challenging. Here, we demonstrate a simple, yet robust, determinant of developmental potential—the number of expressed genes per cell—and leverage this measure of transcriptional diversity to develop a computational framework (CytoTRACE) for predicting differentiation states from scRNA-seq data. When applied to diverse tissue types and organisms, CytoTRACE outperformed previous methods and nearly 19,000 annotated gene sets for resolving 52 experimentally determined developmental trajectories. Additionally, it facilitated the identification of quiescent stem cells and revealed genes that contribute to breast tumorigenesis. This study thus establishes a key RNA-based feature of developmental potential and a platform for delineation of cellular hierarchies.","container-title":"Science","DOI":"10.1126/science.aax0249","issue":"6476","page":"405-411","publisher":"American Association for the Advancement of Science","source":"science.org (Atypon)","title":"Single-cell transcriptional diversity is a hallmark of developmental potential","volume":"367","author":[{"family":"Gulati","given":"Gunsagar S."},{"family":"Sikandar","given":"Shaheen S."},{"family":"Wesche","given":"Daniel J."},{"family":"Manjunath","given":"Anoop"},{"family":"Bharadwaj","given":"Anjan"},{"family":"Berger","given":"Mark J."},{"family":"Ilagan","given":"Francisco"},{"family":"Kuo","given":"Angera H."},{"family":"Hsieh","given":"Robert W."},{"family":"Cai","given":"Shang"},{"family":"Zabala","given":"Maider"},{"family":"Scheeren","given":"Ferenc A."},{"family":"Lobo","given":"Neethan A."},{"family":"Qian","given":"Dalong"},{"family":"Yu","given":"Feiqiao B."},{"family":"Dirbas","given":"Frederick M."},{"family":"Clarke","given":"Michael F."},{"family":"Newman","given":"Aaron M."}],"issued":{"date-parts":[["2020",1,24]]}}}],"schema":"https://github.com/citation-style-language/schema/raw/master/csl-citation.json"} </w:instrText>
      </w:r>
      <w:r w:rsidRPr="007A682B">
        <w:rPr>
          <w:rFonts w:ascii="Arial" w:eastAsia="Malgun Gothic" w:hAnsi="Arial" w:cs="Arial"/>
          <w:kern w:val="0"/>
          <w:sz w:val="20"/>
          <w:szCs w:val="20"/>
          <w:lang w:eastAsia="ja-JP"/>
          <w14:ligatures w14:val="none"/>
        </w:rPr>
        <w:fldChar w:fldCharType="separate"/>
      </w:r>
      <w:r w:rsidR="009613F6" w:rsidRPr="007A682B">
        <w:rPr>
          <w:rFonts w:ascii="Arial" w:hAnsi="Arial" w:cs="Arial"/>
          <w:sz w:val="20"/>
          <w:szCs w:val="20"/>
          <w:lang w:eastAsia="ja-JP"/>
        </w:rPr>
        <w:t>(69)</w:t>
      </w:r>
      <w:r w:rsidRPr="007A682B">
        <w:rPr>
          <w:rFonts w:ascii="Arial" w:eastAsia="Malgun Gothic" w:hAnsi="Arial" w:cs="Arial"/>
          <w:kern w:val="0"/>
          <w:sz w:val="20"/>
          <w:szCs w:val="20"/>
          <w:lang w:eastAsia="ja-JP"/>
          <w14:ligatures w14:val="none"/>
        </w:rPr>
        <w:fldChar w:fldCharType="end"/>
      </w:r>
      <w:r w:rsidRPr="007A682B">
        <w:rPr>
          <w:rFonts w:ascii="Arial" w:eastAsia="Malgun Gothic" w:hAnsi="Arial" w:cs="Arial"/>
          <w:kern w:val="0"/>
          <w:sz w:val="20"/>
          <w:szCs w:val="20"/>
          <w:lang w:eastAsia="ja-JP"/>
          <w14:ligatures w14:val="none"/>
        </w:rPr>
        <w:t xml:space="preserve"> to score each cell between 0 (most mature) and 1 (most immature) based on the diversity of its normalized RNA expression matrix. To assess differences in cellular maturity in </w:t>
      </w:r>
      <w:r w:rsidRPr="007A682B">
        <w:rPr>
          <w:rFonts w:ascii="Arial" w:eastAsia="Malgun Gothic" w:hAnsi="Arial" w:cs="Arial"/>
          <w:kern w:val="0"/>
          <w:sz w:val="20"/>
          <w:szCs w:val="20"/>
          <w:highlight w:val="yellow"/>
          <w:lang w:eastAsia="ja-JP"/>
          <w14:ligatures w14:val="none"/>
        </w:rPr>
        <w:t>Figure S7B</w:t>
      </w:r>
      <w:r w:rsidRPr="007A682B">
        <w:rPr>
          <w:rFonts w:ascii="Arial" w:eastAsia="Malgun Gothic" w:hAnsi="Arial" w:cs="Arial"/>
          <w:kern w:val="0"/>
          <w:sz w:val="20"/>
          <w:szCs w:val="20"/>
          <w:lang w:eastAsia="ja-JP"/>
          <w14:ligatures w14:val="none"/>
        </w:rPr>
        <w:t xml:space="preserve">, we calculated the mean CytoTRACE score for each individual within each subcluster and used a fixed-effects linear model to fit CytoTRACE </w:t>
      </w:r>
      <w:r w:rsidRPr="007A682B">
        <w:rPr>
          <w:rFonts w:ascii="Arial" w:eastAsia="Malgun Gothic" w:hAnsi="Arial" w:cs="Arial"/>
          <w:kern w:val="0"/>
          <w:sz w:val="20"/>
          <w:szCs w:val="20"/>
          <w:lang w:eastAsia="ja-JP"/>
          <w14:ligatures w14:val="none"/>
        </w:rPr>
        <w:lastRenderedPageBreak/>
        <w:t xml:space="preserve">score by subcluster. Similarly, for </w:t>
      </w:r>
      <w:r w:rsidRPr="007A682B">
        <w:rPr>
          <w:rFonts w:ascii="Arial" w:eastAsia="Malgun Gothic" w:hAnsi="Arial" w:cs="Arial"/>
          <w:kern w:val="0"/>
          <w:sz w:val="20"/>
          <w:szCs w:val="20"/>
          <w:highlight w:val="yellow"/>
          <w:lang w:eastAsia="ja-JP"/>
          <w14:ligatures w14:val="none"/>
        </w:rPr>
        <w:t>Figure 5B</w:t>
      </w:r>
      <w:r w:rsidRPr="007A682B">
        <w:rPr>
          <w:rFonts w:ascii="Arial" w:eastAsia="Malgun Gothic" w:hAnsi="Arial" w:cs="Arial"/>
          <w:kern w:val="0"/>
          <w:sz w:val="20"/>
          <w:szCs w:val="20"/>
          <w:lang w:eastAsia="ja-JP"/>
          <w14:ligatures w14:val="none"/>
        </w:rPr>
        <w:t>, we fit individual mean CytoTRACE scores with phase as a fixed effect.</w:t>
      </w:r>
    </w:p>
    <w:p w14:paraId="69C3352A" w14:textId="2AE4A212" w:rsidR="00D75AD5" w:rsidRPr="007A682B" w:rsidRDefault="00F6638C" w:rsidP="00F6638C">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In analyses testing whether cellular maturity differed by phase within specific cell types, we instead used a linear mixed-effects model fitting cell-level CytoTRACE scores with nCount_RNA (the number of transcripts detected in each cell), phase, gene presence, and the phase × gene presence interaction as fixed effects, with individual included as a random effect. This was necessary because CytoTRACE measures cellular maturity based on the diversity of a cell’s transcriptome, which can be confounded when selecting cells based on the presence of a specific gene or set of genes. Including the number of transcripts detected in each cell as a covariate corrects for this potential confound.</w:t>
      </w:r>
    </w:p>
    <w:p w14:paraId="64119361" w14:textId="6B3BA203" w:rsidR="004634AC" w:rsidRPr="007A682B" w:rsidRDefault="004634AC" w:rsidP="00D75AD5">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GO Analysis</w:t>
      </w:r>
    </w:p>
    <w:p w14:paraId="51F8880B" w14:textId="77777777" w:rsidR="00F6638C" w:rsidRPr="007A682B" w:rsidRDefault="00F6638C" w:rsidP="00AC52FC">
      <w:pPr>
        <w:spacing w:after="16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Gene ontology (GO) analysis was performed using the enricher() function from the R package clusterProfiler, with pAdjustMethod = "fdr" and p- and q-value cutoffs of 0.05. Because the </w:t>
      </w:r>
      <w:r w:rsidRPr="007A682B">
        <w:rPr>
          <w:rFonts w:ascii="Arial" w:eastAsia="Malgun Gothic" w:hAnsi="Arial" w:cs="Arial"/>
          <w:i/>
          <w:iCs/>
          <w:kern w:val="0"/>
          <w:sz w:val="20"/>
          <w:szCs w:val="20"/>
          <w:lang w:eastAsia="ja-JP"/>
          <w14:ligatures w14:val="none"/>
        </w:rPr>
        <w:t>A. ocellaris</w:t>
      </w:r>
      <w:r w:rsidRPr="007A682B">
        <w:rPr>
          <w:rFonts w:ascii="Arial" w:eastAsia="Malgun Gothic" w:hAnsi="Arial" w:cs="Arial"/>
          <w:kern w:val="0"/>
          <w:sz w:val="20"/>
          <w:szCs w:val="20"/>
          <w:lang w:eastAsia="ja-JP"/>
          <w14:ligatures w14:val="none"/>
        </w:rPr>
        <w:t xml:space="preserve"> genome is poorly annotated, we used GO IDs and GO terms from the </w:t>
      </w:r>
      <w:r w:rsidRPr="007A682B">
        <w:rPr>
          <w:rFonts w:ascii="Arial" w:eastAsia="Malgun Gothic" w:hAnsi="Arial" w:cs="Arial"/>
          <w:i/>
          <w:iCs/>
          <w:kern w:val="0"/>
          <w:sz w:val="20"/>
          <w:szCs w:val="20"/>
          <w:lang w:eastAsia="ja-JP"/>
          <w14:ligatures w14:val="none"/>
        </w:rPr>
        <w:t>Homo sapiens</w:t>
      </w:r>
      <w:r w:rsidRPr="007A682B">
        <w:rPr>
          <w:rFonts w:ascii="Arial" w:eastAsia="Malgun Gothic" w:hAnsi="Arial" w:cs="Arial"/>
          <w:kern w:val="0"/>
          <w:sz w:val="20"/>
          <w:szCs w:val="20"/>
          <w:lang w:eastAsia="ja-JP"/>
          <w14:ligatures w14:val="none"/>
        </w:rPr>
        <w:t xml:space="preserve"> genome. To do this, we first mapped human orthologs using Ensembl's precomputed homology annotations, retrieved via the R package biomaRt (aocellaris_gene_ensembl dataset). Because gene symbols and Ensembl homology calls are stored under separate BioMart attribute pages, we joined these using shared Ensembl transcript IDs. For a small number of genes with well-established nomenclature discrepancies between </w:t>
      </w:r>
      <w:r w:rsidRPr="007A682B">
        <w:rPr>
          <w:rFonts w:ascii="Arial" w:eastAsia="Malgun Gothic" w:hAnsi="Arial" w:cs="Arial"/>
          <w:i/>
          <w:iCs/>
          <w:kern w:val="0"/>
          <w:sz w:val="20"/>
          <w:szCs w:val="20"/>
          <w:lang w:eastAsia="ja-JP"/>
          <w14:ligatures w14:val="none"/>
        </w:rPr>
        <w:t>A. ocellaris</w:t>
      </w:r>
      <w:r w:rsidRPr="007A682B">
        <w:rPr>
          <w:rFonts w:ascii="Arial" w:eastAsia="Malgun Gothic" w:hAnsi="Arial" w:cs="Arial"/>
          <w:kern w:val="0"/>
          <w:sz w:val="20"/>
          <w:szCs w:val="20"/>
          <w:lang w:eastAsia="ja-JP"/>
          <w14:ligatures w14:val="none"/>
        </w:rPr>
        <w:t xml:space="preserve"> and human annotations (e.g., kisspeptin, oxytocin/vasopressin, and their associated receptors), we manually corrected the assigned human ortholog based on gene identity rather than Ensembl's automated name matching.</w:t>
      </w:r>
    </w:p>
    <w:p w14:paraId="47621D97" w14:textId="1864114D" w:rsidR="00520F12" w:rsidRPr="007A682B" w:rsidRDefault="00520F12" w:rsidP="00AC52FC">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GO Gene Expression Modules</w:t>
      </w:r>
    </w:p>
    <w:p w14:paraId="7F111C2B" w14:textId="333A2BCE" w:rsidR="00FD437F" w:rsidRPr="007A682B" w:rsidRDefault="00A23928" w:rsidP="00D75AD5">
      <w:pPr>
        <w:spacing w:after="160"/>
        <w:ind w:firstLine="720"/>
        <w:rPr>
          <w:rFonts w:ascii="Arial" w:eastAsia="Malgun Gothic" w:hAnsi="Arial" w:cs="Arial"/>
          <w:kern w:val="0"/>
          <w:sz w:val="20"/>
          <w:szCs w:val="20"/>
          <w:lang w:eastAsia="ja-JP"/>
          <w14:ligatures w14:val="none"/>
        </w:rPr>
      </w:pPr>
      <w:r w:rsidRPr="007A682B">
        <w:rPr>
          <w:rFonts w:ascii="Arial" w:eastAsia="Malgun Gothic" w:hAnsi="Arial" w:cs="Arial"/>
          <w:kern w:val="0"/>
          <w:sz w:val="20"/>
          <w:szCs w:val="20"/>
          <w:lang w:eastAsia="ja-JP"/>
          <w14:ligatures w14:val="none"/>
        </w:rPr>
        <w:t xml:space="preserve">GO gene expression modules were defined as all genes sharing </w:t>
      </w:r>
      <w:r w:rsidR="00CD2B72" w:rsidRPr="007A682B">
        <w:rPr>
          <w:rFonts w:ascii="Arial" w:eastAsia="Malgun Gothic" w:hAnsi="Arial" w:cs="Arial"/>
          <w:kern w:val="0"/>
          <w:sz w:val="20"/>
          <w:szCs w:val="20"/>
          <w:lang w:eastAsia="ja-JP"/>
          <w14:ligatures w14:val="none"/>
        </w:rPr>
        <w:t>the same GO ID</w:t>
      </w:r>
      <w:r w:rsidR="00E2315F" w:rsidRPr="007A682B">
        <w:rPr>
          <w:rFonts w:ascii="Arial" w:eastAsia="Malgun Gothic" w:hAnsi="Arial" w:cs="Arial"/>
          <w:kern w:val="0"/>
          <w:sz w:val="20"/>
          <w:szCs w:val="20"/>
          <w:lang w:eastAsia="ja-JP"/>
          <w14:ligatures w14:val="none"/>
        </w:rPr>
        <w:t xml:space="preserve"> as described above</w:t>
      </w:r>
      <w:r w:rsidR="00CD2B72" w:rsidRPr="007A682B">
        <w:rPr>
          <w:rFonts w:ascii="Arial" w:eastAsia="Malgun Gothic" w:hAnsi="Arial" w:cs="Arial"/>
          <w:kern w:val="0"/>
          <w:sz w:val="20"/>
          <w:szCs w:val="20"/>
          <w:lang w:eastAsia="ja-JP"/>
          <w14:ligatures w14:val="none"/>
        </w:rPr>
        <w:t>. To calculate a GO module score, we next used the R package AUCell</w:t>
      </w:r>
      <w:r w:rsidR="00F6638C" w:rsidRPr="007A682B">
        <w:rPr>
          <w:rFonts w:ascii="Arial" w:eastAsia="Malgun Gothic" w:hAnsi="Arial" w:cs="Arial"/>
          <w:kern w:val="0"/>
          <w:sz w:val="20"/>
          <w:szCs w:val="20"/>
          <w:lang w:eastAsia="ja-JP"/>
          <w14:ligatures w14:val="none"/>
        </w:rPr>
        <w:t xml:space="preserve"> </w:t>
      </w:r>
      <w:r w:rsidR="00085C8E" w:rsidRPr="007A682B">
        <w:rPr>
          <w:rFonts w:ascii="Arial" w:eastAsia="Malgun Gothic" w:hAnsi="Arial" w:cs="Arial"/>
          <w:kern w:val="0"/>
          <w:sz w:val="20"/>
          <w:szCs w:val="20"/>
          <w:lang w:eastAsia="ja-JP"/>
          <w14:ligatures w14:val="none"/>
        </w:rPr>
        <w:fldChar w:fldCharType="begin"/>
      </w:r>
      <w:r w:rsidR="009613F6" w:rsidRPr="007A682B">
        <w:rPr>
          <w:rFonts w:ascii="Arial" w:eastAsia="Malgun Gothic" w:hAnsi="Arial" w:cs="Arial"/>
          <w:kern w:val="0"/>
          <w:sz w:val="20"/>
          <w:szCs w:val="20"/>
          <w:lang w:eastAsia="ja-JP"/>
          <w14:ligatures w14:val="none"/>
        </w:rPr>
        <w:instrText xml:space="preserve"> ADDIN ZOTERO_ITEM CSL_CITATION {"citationID":"MzIaNPka","properties":{"unsorted":false,"formattedCitation":"(70)","plainCitation":"(70)","noteIndex":0},"citationItems":[{"id":6497,"uris":["http://zotero.org/users/11313215/items/78AJKUSI"],"itemData":{"id":6497,"type":"article-journal","abstract":"SCENIC enables simultaneous regulatory network inference and robust cell clustering from single-cell RNA-seq data.","container-title":"Nature Methods","DOI":"10.1038/nmeth.4463","ISSN":"1548-7105","issue":"11","journalAbbreviation":"Nat Methods","language":"en","license":"2017 Springer Nature America, Inc.","page":"1083-1086","publisher":"Nature Publishing Group","source":"www.nature.com","title":"SCENIC: single-cell regulatory network inference and clustering","title-short":"SCENIC","volume":"14","author":[{"family":"Aibar","given":"Sara"},{"family":"González-Blas","given":"Carmen Bravo"},{"family":"Moerman","given":"Thomas"},{"family":"Huynh-Thu","given":"Vân Anh"},{"family":"Imrichova","given":"Hana"},{"family":"Hulselmans","given":"Gert"},{"family":"Rambow","given":"Florian"},{"family":"Marine","given":"Jean-Christophe"},{"family":"Geurts","given":"Pierre"},{"family":"Aerts","given":"Jan"},{"family":"Oord","given":"Joost","non-dropping-particle":"van den"},{"family":"Atak","given":"Zeynep Kalender"},{"family":"Wouters","given":"Jasper"},{"family":"Aerts","given":"Stein"}],"issued":{"date-parts":[["2017",11]]}}}],"schema":"https://github.com/citation-style-language/schema/raw/master/csl-citation.json"} </w:instrText>
      </w:r>
      <w:r w:rsidR="00085C8E" w:rsidRPr="007A682B">
        <w:rPr>
          <w:rFonts w:ascii="Arial" w:eastAsia="Malgun Gothic" w:hAnsi="Arial" w:cs="Arial"/>
          <w:kern w:val="0"/>
          <w:sz w:val="20"/>
          <w:szCs w:val="20"/>
          <w:lang w:eastAsia="ja-JP"/>
          <w14:ligatures w14:val="none"/>
        </w:rPr>
        <w:fldChar w:fldCharType="separate"/>
      </w:r>
      <w:r w:rsidR="009613F6" w:rsidRPr="007A682B">
        <w:rPr>
          <w:rFonts w:ascii="Arial" w:hAnsi="Arial" w:cs="Arial"/>
          <w:sz w:val="20"/>
          <w:szCs w:val="20"/>
          <w:lang w:eastAsia="ja-JP"/>
        </w:rPr>
        <w:t>(70)</w:t>
      </w:r>
      <w:r w:rsidR="00085C8E" w:rsidRPr="007A682B">
        <w:rPr>
          <w:rFonts w:ascii="Arial" w:eastAsia="Malgun Gothic" w:hAnsi="Arial" w:cs="Arial"/>
          <w:kern w:val="0"/>
          <w:sz w:val="20"/>
          <w:szCs w:val="20"/>
          <w:lang w:eastAsia="ja-JP"/>
          <w14:ligatures w14:val="none"/>
        </w:rPr>
        <w:fldChar w:fldCharType="end"/>
      </w:r>
      <w:r w:rsidR="009402D1" w:rsidRPr="007A682B">
        <w:rPr>
          <w:rFonts w:ascii="Arial" w:eastAsia="Malgun Gothic" w:hAnsi="Arial" w:cs="Arial"/>
          <w:kern w:val="0"/>
          <w:sz w:val="20"/>
          <w:szCs w:val="20"/>
          <w:lang w:eastAsia="ja-JP"/>
          <w14:ligatures w14:val="none"/>
        </w:rPr>
        <w:t xml:space="preserve"> to</w:t>
      </w:r>
      <w:r w:rsidR="00A5211F" w:rsidRPr="007A682B">
        <w:rPr>
          <w:rFonts w:ascii="Arial" w:eastAsia="Malgun Gothic" w:hAnsi="Arial" w:cs="Arial"/>
          <w:kern w:val="0"/>
          <w:sz w:val="20"/>
          <w:szCs w:val="20"/>
          <w:lang w:eastAsia="ja-JP"/>
          <w14:ligatures w14:val="none"/>
        </w:rPr>
        <w:t xml:space="preserve"> first </w:t>
      </w:r>
      <w:r w:rsidR="00287C69" w:rsidRPr="007A682B">
        <w:rPr>
          <w:rFonts w:ascii="Arial" w:eastAsia="Malgun Gothic" w:hAnsi="Arial" w:cs="Arial"/>
          <w:kern w:val="0"/>
          <w:sz w:val="20"/>
          <w:szCs w:val="20"/>
          <w:lang w:eastAsia="ja-JP"/>
          <w14:ligatures w14:val="none"/>
        </w:rPr>
        <w:t xml:space="preserve">build </w:t>
      </w:r>
      <w:r w:rsidR="00E2315F" w:rsidRPr="007A682B">
        <w:rPr>
          <w:rFonts w:ascii="Arial" w:eastAsia="Malgun Gothic" w:hAnsi="Arial" w:cs="Arial"/>
          <w:kern w:val="0"/>
          <w:sz w:val="20"/>
          <w:szCs w:val="20"/>
          <w:lang w:eastAsia="ja-JP"/>
          <w14:ligatures w14:val="none"/>
        </w:rPr>
        <w:t xml:space="preserve">gene expression </w:t>
      </w:r>
      <w:r w:rsidR="00287C69" w:rsidRPr="007A682B">
        <w:rPr>
          <w:rFonts w:ascii="Arial" w:eastAsia="Malgun Gothic" w:hAnsi="Arial" w:cs="Arial"/>
          <w:kern w:val="0"/>
          <w:sz w:val="20"/>
          <w:szCs w:val="20"/>
          <w:lang w:eastAsia="ja-JP"/>
          <w14:ligatures w14:val="none"/>
        </w:rPr>
        <w:t xml:space="preserve">rankings </w:t>
      </w:r>
      <w:r w:rsidR="005F1690" w:rsidRPr="007A682B">
        <w:rPr>
          <w:rFonts w:ascii="Arial" w:eastAsia="Malgun Gothic" w:hAnsi="Arial" w:cs="Arial"/>
          <w:kern w:val="0"/>
          <w:sz w:val="20"/>
          <w:szCs w:val="20"/>
          <w:lang w:eastAsia="ja-JP"/>
          <w14:ligatures w14:val="none"/>
        </w:rPr>
        <w:t>from</w:t>
      </w:r>
      <w:r w:rsidR="00287C69" w:rsidRPr="007A682B">
        <w:rPr>
          <w:rFonts w:ascii="Arial" w:eastAsia="Malgun Gothic" w:hAnsi="Arial" w:cs="Arial"/>
          <w:kern w:val="0"/>
          <w:sz w:val="20"/>
          <w:szCs w:val="20"/>
          <w:lang w:eastAsia="ja-JP"/>
          <w14:ligatures w14:val="none"/>
        </w:rPr>
        <w:t xml:space="preserve"> the </w:t>
      </w:r>
      <w:r w:rsidR="005F1690" w:rsidRPr="007A682B">
        <w:rPr>
          <w:rFonts w:ascii="Arial" w:eastAsia="Malgun Gothic" w:hAnsi="Arial" w:cs="Arial"/>
          <w:kern w:val="0"/>
          <w:sz w:val="20"/>
          <w:szCs w:val="20"/>
          <w:lang w:eastAsia="ja-JP"/>
          <w14:ligatures w14:val="none"/>
        </w:rPr>
        <w:t xml:space="preserve">normalized </w:t>
      </w:r>
      <w:r w:rsidR="00287C69" w:rsidRPr="007A682B">
        <w:rPr>
          <w:rFonts w:ascii="Arial" w:eastAsia="Malgun Gothic" w:hAnsi="Arial" w:cs="Arial"/>
          <w:kern w:val="0"/>
          <w:sz w:val="20"/>
          <w:szCs w:val="20"/>
          <w:lang w:eastAsia="ja-JP"/>
          <w14:ligatures w14:val="none"/>
        </w:rPr>
        <w:t xml:space="preserve">RNA </w:t>
      </w:r>
      <w:r w:rsidR="005F1690" w:rsidRPr="007A682B">
        <w:rPr>
          <w:rFonts w:ascii="Arial" w:eastAsia="Malgun Gothic" w:hAnsi="Arial" w:cs="Arial"/>
          <w:kern w:val="0"/>
          <w:sz w:val="20"/>
          <w:szCs w:val="20"/>
          <w:lang w:eastAsia="ja-JP"/>
          <w14:ligatures w14:val="none"/>
        </w:rPr>
        <w:t>expression</w:t>
      </w:r>
      <w:r w:rsidR="00287C69" w:rsidRPr="007A682B">
        <w:rPr>
          <w:rFonts w:ascii="Arial" w:eastAsia="Malgun Gothic" w:hAnsi="Arial" w:cs="Arial"/>
          <w:kern w:val="0"/>
          <w:sz w:val="20"/>
          <w:szCs w:val="20"/>
          <w:lang w:eastAsia="ja-JP"/>
          <w14:ligatures w14:val="none"/>
        </w:rPr>
        <w:t xml:space="preserve"> matrix</w:t>
      </w:r>
      <w:r w:rsidR="006648A8" w:rsidRPr="007A682B">
        <w:rPr>
          <w:rFonts w:ascii="Arial" w:eastAsia="Malgun Gothic" w:hAnsi="Arial" w:cs="Arial"/>
          <w:kern w:val="0"/>
          <w:sz w:val="20"/>
          <w:szCs w:val="20"/>
          <w:lang w:eastAsia="ja-JP"/>
          <w14:ligatures w14:val="none"/>
        </w:rPr>
        <w:t xml:space="preserve"> (</w:t>
      </w:r>
      <w:r w:rsidR="00E540CF" w:rsidRPr="007A682B">
        <w:rPr>
          <w:rFonts w:ascii="Arial" w:eastAsia="Malgun Gothic" w:hAnsi="Arial" w:cs="Arial"/>
          <w:kern w:val="0"/>
          <w:sz w:val="20"/>
          <w:szCs w:val="20"/>
          <w:lang w:eastAsia="ja-JP"/>
          <w14:ligatures w14:val="none"/>
        </w:rPr>
        <w:t xml:space="preserve">AUCell_buildRankings) </w:t>
      </w:r>
      <w:r w:rsidR="006648A8" w:rsidRPr="007A682B">
        <w:rPr>
          <w:rFonts w:ascii="Arial" w:eastAsia="Malgun Gothic" w:hAnsi="Arial" w:cs="Arial"/>
          <w:kern w:val="0"/>
          <w:sz w:val="20"/>
          <w:szCs w:val="20"/>
          <w:lang w:eastAsia="ja-JP"/>
          <w14:ligatures w14:val="none"/>
        </w:rPr>
        <w:t>and then</w:t>
      </w:r>
      <w:r w:rsidR="009402D1" w:rsidRPr="007A682B">
        <w:rPr>
          <w:rFonts w:ascii="Arial" w:eastAsia="Malgun Gothic" w:hAnsi="Arial" w:cs="Arial"/>
          <w:kern w:val="0"/>
          <w:sz w:val="20"/>
          <w:szCs w:val="20"/>
          <w:lang w:eastAsia="ja-JP"/>
          <w14:ligatures w14:val="none"/>
        </w:rPr>
        <w:t xml:space="preserve"> calculate </w:t>
      </w:r>
      <w:r w:rsidR="00A5211F" w:rsidRPr="007A682B">
        <w:rPr>
          <w:rFonts w:ascii="Arial" w:eastAsia="Malgun Gothic" w:hAnsi="Arial" w:cs="Arial"/>
          <w:kern w:val="0"/>
          <w:sz w:val="20"/>
          <w:szCs w:val="20"/>
          <w:lang w:eastAsia="ja-JP"/>
          <w14:ligatures w14:val="none"/>
        </w:rPr>
        <w:t>AUC scores for each cell (AUCell_calcAUC)</w:t>
      </w:r>
      <w:r w:rsidR="006648A8" w:rsidRPr="007A682B">
        <w:rPr>
          <w:rFonts w:ascii="Arial" w:eastAsia="Malgun Gothic" w:hAnsi="Arial" w:cs="Arial"/>
          <w:kern w:val="0"/>
          <w:sz w:val="20"/>
          <w:szCs w:val="20"/>
          <w:lang w:eastAsia="ja-JP"/>
          <w14:ligatures w14:val="none"/>
        </w:rPr>
        <w:t xml:space="preserve"> given </w:t>
      </w:r>
      <w:r w:rsidR="00E540CF" w:rsidRPr="007A682B">
        <w:rPr>
          <w:rFonts w:ascii="Arial" w:eastAsia="Malgun Gothic" w:hAnsi="Arial" w:cs="Arial"/>
          <w:kern w:val="0"/>
          <w:sz w:val="20"/>
          <w:szCs w:val="20"/>
          <w:lang w:eastAsia="ja-JP"/>
          <w14:ligatures w14:val="none"/>
        </w:rPr>
        <w:t>the set of genes included in the GO module described above.</w:t>
      </w:r>
      <w:r w:rsidR="00F457F3" w:rsidRPr="007A682B">
        <w:rPr>
          <w:rFonts w:ascii="Arial" w:eastAsia="Malgun Gothic" w:hAnsi="Arial" w:cs="Arial"/>
          <w:kern w:val="0"/>
          <w:sz w:val="20"/>
          <w:szCs w:val="20"/>
          <w:lang w:eastAsia="ja-JP"/>
          <w14:ligatures w14:val="none"/>
        </w:rPr>
        <w:t xml:space="preserve"> Differences in phase</w:t>
      </w:r>
      <w:r w:rsidR="00E540CF" w:rsidRPr="007A682B">
        <w:rPr>
          <w:rFonts w:ascii="Arial" w:eastAsia="Malgun Gothic" w:hAnsi="Arial" w:cs="Arial"/>
          <w:kern w:val="0"/>
          <w:sz w:val="20"/>
          <w:szCs w:val="20"/>
          <w:lang w:eastAsia="ja-JP"/>
          <w14:ligatures w14:val="none"/>
        </w:rPr>
        <w:t xml:space="preserve"> were calculated </w:t>
      </w:r>
      <w:r w:rsidR="00C869E2" w:rsidRPr="007A682B">
        <w:rPr>
          <w:rFonts w:ascii="Arial" w:eastAsia="Malgun Gothic" w:hAnsi="Arial" w:cs="Arial"/>
          <w:kern w:val="0"/>
          <w:sz w:val="20"/>
          <w:szCs w:val="20"/>
          <w:lang w:eastAsia="ja-JP"/>
          <w14:ligatures w14:val="none"/>
        </w:rPr>
        <w:t xml:space="preserve">by taking the mean AUCell score for each individual and </w:t>
      </w:r>
      <w:r w:rsidR="007D0AAA" w:rsidRPr="007A682B">
        <w:rPr>
          <w:rFonts w:ascii="Arial" w:eastAsia="Malgun Gothic" w:hAnsi="Arial" w:cs="Arial"/>
          <w:kern w:val="0"/>
          <w:sz w:val="20"/>
          <w:szCs w:val="20"/>
          <w:lang w:eastAsia="ja-JP"/>
          <w14:ligatures w14:val="none"/>
        </w:rPr>
        <w:t xml:space="preserve">fitting the mean AUCell score by phase in a fixed effects linear model. </w:t>
      </w:r>
    </w:p>
    <w:p w14:paraId="7CC262A9" w14:textId="36EE4699" w:rsidR="00166663" w:rsidRPr="007A682B" w:rsidRDefault="00166663" w:rsidP="00166663">
      <w:pPr>
        <w:rPr>
          <w:rFonts w:ascii="Arial" w:hAnsi="Arial" w:cs="Arial"/>
          <w:b/>
          <w:bCs/>
          <w:sz w:val="20"/>
          <w:szCs w:val="20"/>
        </w:rPr>
      </w:pPr>
      <w:r w:rsidRPr="007A682B">
        <w:rPr>
          <w:rFonts w:ascii="Arial" w:hAnsi="Arial" w:cs="Arial"/>
          <w:b/>
          <w:bCs/>
          <w:sz w:val="20"/>
          <w:szCs w:val="20"/>
        </w:rPr>
        <w:t>Candidate Transcription Factor Regulatory Network Analysis</w:t>
      </w:r>
    </w:p>
    <w:p w14:paraId="484FF5D7" w14:textId="012F52FB" w:rsidR="00166663" w:rsidRPr="007A682B" w:rsidRDefault="00166663" w:rsidP="00093DF6">
      <w:pPr>
        <w:ind w:firstLine="720"/>
        <w:rPr>
          <w:rFonts w:ascii="Arial" w:hAnsi="Arial" w:cs="Arial"/>
          <w:sz w:val="20"/>
          <w:szCs w:val="20"/>
        </w:rPr>
      </w:pPr>
      <w:r w:rsidRPr="007A682B">
        <w:rPr>
          <w:rFonts w:ascii="Arial" w:hAnsi="Arial" w:cs="Arial"/>
          <w:sz w:val="20"/>
          <w:szCs w:val="20"/>
        </w:rPr>
        <w:t>To identify candidate transcriptional regulators of gene-expression changes in clusters 1_RGC and 6_POA_Mixed during sex change, we integrated differential gene expression, chromatin accessibility, peak-to-gene correlations, and transcription factor (TF) motif information within each cell cluster. We first identified a restricted set of target genes for which gene expression was associated with local chromatin accessibility and either expression or accessibility differed across sex-change groups. Thus, target genes were identified through two complementary routes. First, DEGs were retained when expression of the gene was significantly correlated with accessibility of at least one locally associated ATAC peak across individuals (Pearson’s correlation, P ≤ 0.05). Second, genes associated with DARs were retained when their expression was significantly correlated with accessibility of the associated DAR (Pearson’s correlation, P ≤ 0.05). The union of genes identified through these two approaches was defined as the set of accessibility-supported target genes for subsequent regulatory analysis.</w:t>
      </w:r>
    </w:p>
    <w:p w14:paraId="3E970A1A" w14:textId="77777777" w:rsidR="00166663" w:rsidRPr="007A682B" w:rsidRDefault="00166663" w:rsidP="00166663">
      <w:pPr>
        <w:rPr>
          <w:rFonts w:ascii="Arial" w:hAnsi="Arial" w:cs="Arial"/>
          <w:sz w:val="20"/>
          <w:szCs w:val="20"/>
        </w:rPr>
      </w:pPr>
    </w:p>
    <w:p w14:paraId="671DA2DB" w14:textId="77777777" w:rsidR="00093DF6" w:rsidRPr="007A682B" w:rsidRDefault="00166663" w:rsidP="00166663">
      <w:pPr>
        <w:rPr>
          <w:rFonts w:ascii="Arial" w:hAnsi="Arial" w:cs="Arial"/>
          <w:sz w:val="20"/>
          <w:szCs w:val="20"/>
        </w:rPr>
      </w:pPr>
      <w:r w:rsidRPr="007A682B">
        <w:rPr>
          <w:rFonts w:ascii="Arial" w:hAnsi="Arial" w:cs="Arial"/>
          <w:sz w:val="20"/>
          <w:szCs w:val="20"/>
          <w:u w:val="single"/>
        </w:rPr>
        <w:t>Transcription factor motif annotation.</w:t>
      </w:r>
      <w:r w:rsidRPr="007A682B">
        <w:rPr>
          <w:rFonts w:ascii="Arial" w:hAnsi="Arial" w:cs="Arial"/>
          <w:sz w:val="20"/>
          <w:szCs w:val="20"/>
        </w:rPr>
        <w:t xml:space="preserve"> </w:t>
      </w:r>
    </w:p>
    <w:p w14:paraId="436B6ED9" w14:textId="4A3770FF" w:rsidR="00166663" w:rsidRPr="007A682B" w:rsidRDefault="00166663" w:rsidP="00093DF6">
      <w:pPr>
        <w:ind w:firstLine="720"/>
        <w:rPr>
          <w:rFonts w:ascii="Arial" w:hAnsi="Arial" w:cs="Arial"/>
          <w:sz w:val="20"/>
          <w:szCs w:val="20"/>
        </w:rPr>
      </w:pPr>
      <w:r w:rsidRPr="007A682B">
        <w:rPr>
          <w:rFonts w:ascii="Arial" w:hAnsi="Arial" w:cs="Arial"/>
          <w:sz w:val="20"/>
          <w:szCs w:val="20"/>
        </w:rPr>
        <w:t xml:space="preserve">TF-binding motifs were annotated within the ATAC-seq dataset using Signac. ATAC peak sequences were referenced to the </w:t>
      </w:r>
      <w:r w:rsidRPr="007A682B">
        <w:rPr>
          <w:rFonts w:ascii="Arial" w:hAnsi="Arial" w:cs="Arial"/>
          <w:i/>
          <w:iCs/>
          <w:sz w:val="20"/>
          <w:szCs w:val="20"/>
        </w:rPr>
        <w:t>Amphiprion ocellaris</w:t>
      </w:r>
      <w:r w:rsidRPr="007A682B">
        <w:rPr>
          <w:rFonts w:ascii="Arial" w:hAnsi="Arial" w:cs="Arial"/>
          <w:sz w:val="20"/>
          <w:szCs w:val="20"/>
        </w:rPr>
        <w:t xml:space="preserve"> reference genome FASTA used for alignment (STAR_Ref_Genome_ocellaris/fasta/genome.fa). A collection of TF position frequency matrices (PFMs) in JASPAR matrix format (motifs.pfm) was imported using TFBSTools::readJASPARMatrix. The source and version of the motif collection were </w:t>
      </w:r>
      <w:r w:rsidR="004A27C9" w:rsidRPr="004A27C9">
        <w:rPr>
          <w:rFonts w:ascii="Arial" w:hAnsi="Arial" w:cs="Arial"/>
          <w:sz w:val="20"/>
          <w:szCs w:val="20"/>
          <w:highlight w:val="yellow"/>
        </w:rPr>
        <w:t>xx</w:t>
      </w:r>
      <w:r w:rsidRPr="007A682B">
        <w:rPr>
          <w:rFonts w:ascii="Arial" w:hAnsi="Arial" w:cs="Arial"/>
          <w:sz w:val="20"/>
          <w:szCs w:val="20"/>
          <w:highlight w:val="yellow"/>
        </w:rPr>
        <w:t>Katie</w:t>
      </w:r>
      <w:r w:rsidRPr="007A682B">
        <w:rPr>
          <w:rFonts w:ascii="Arial" w:hAnsi="Arial" w:cs="Arial"/>
          <w:sz w:val="20"/>
          <w:szCs w:val="20"/>
        </w:rPr>
        <w:t xml:space="preserve">. Motif occurrences within ATAC peaks were identified using Signac::AddMotifs, with motif matching performed using motifmatchr, and the resulting peak-by-motif annotations were stored in the Motif object associated with the ATAC assay. </w:t>
      </w:r>
      <w:r w:rsidR="004A27C9" w:rsidRPr="004A27C9">
        <w:rPr>
          <w:rFonts w:ascii="Arial" w:hAnsi="Arial" w:cs="Arial"/>
          <w:sz w:val="20"/>
          <w:szCs w:val="20"/>
          <w:highlight w:val="yellow"/>
        </w:rPr>
        <w:t>xx</w:t>
      </w:r>
      <w:r w:rsidRPr="007A682B">
        <w:rPr>
          <w:rFonts w:ascii="Arial" w:hAnsi="Arial" w:cs="Arial"/>
          <w:sz w:val="20"/>
          <w:szCs w:val="20"/>
          <w:highlight w:val="yellow"/>
        </w:rPr>
        <w:t>Katie</w:t>
      </w:r>
      <w:r w:rsidRPr="007A682B">
        <w:rPr>
          <w:rFonts w:ascii="Arial" w:hAnsi="Arial" w:cs="Arial"/>
          <w:sz w:val="20"/>
          <w:szCs w:val="20"/>
        </w:rPr>
        <w:t>: please confirm source/version and composition of motifs.pfm.</w:t>
      </w:r>
    </w:p>
    <w:p w14:paraId="0B8847C9" w14:textId="77777777" w:rsidR="00166663" w:rsidRPr="007A682B" w:rsidRDefault="00166663" w:rsidP="00166663">
      <w:pPr>
        <w:rPr>
          <w:rFonts w:ascii="Arial" w:hAnsi="Arial" w:cs="Arial"/>
          <w:sz w:val="20"/>
          <w:szCs w:val="20"/>
        </w:rPr>
      </w:pPr>
    </w:p>
    <w:p w14:paraId="0636B267" w14:textId="77777777" w:rsidR="00166663" w:rsidRPr="007A682B" w:rsidRDefault="00166663" w:rsidP="00166663">
      <w:pPr>
        <w:rPr>
          <w:rFonts w:ascii="Arial" w:hAnsi="Arial" w:cs="Arial"/>
          <w:sz w:val="20"/>
          <w:szCs w:val="20"/>
          <w:u w:val="single"/>
        </w:rPr>
      </w:pPr>
      <w:r w:rsidRPr="007A682B">
        <w:rPr>
          <w:rFonts w:ascii="Arial" w:hAnsi="Arial" w:cs="Arial"/>
          <w:sz w:val="20"/>
          <w:szCs w:val="20"/>
          <w:u w:val="single"/>
        </w:rPr>
        <w:t>Regulatory network construction</w:t>
      </w:r>
    </w:p>
    <w:p w14:paraId="77CEBDF7" w14:textId="77777777" w:rsidR="00C51A54" w:rsidRPr="007A682B" w:rsidRDefault="00C51A54" w:rsidP="00166663">
      <w:pPr>
        <w:rPr>
          <w:rFonts w:ascii="Arial" w:hAnsi="Arial" w:cs="Arial"/>
          <w:sz w:val="20"/>
          <w:szCs w:val="20"/>
          <w:u w:val="single"/>
        </w:rPr>
      </w:pPr>
    </w:p>
    <w:p w14:paraId="18C1E05A" w14:textId="525F7298" w:rsidR="00C51A54" w:rsidRPr="007A682B" w:rsidRDefault="00C51A54" w:rsidP="00C51A54">
      <w:pPr>
        <w:rPr>
          <w:rFonts w:ascii="Arial" w:hAnsi="Arial" w:cs="Arial"/>
          <w:sz w:val="20"/>
          <w:szCs w:val="20"/>
        </w:rPr>
      </w:pPr>
      <w:r w:rsidRPr="007A682B">
        <w:rPr>
          <w:rFonts w:ascii="Arial" w:hAnsi="Arial" w:cs="Arial"/>
          <w:sz w:val="20"/>
          <w:szCs w:val="20"/>
        </w:rPr>
        <w:lastRenderedPageBreak/>
        <w:tab/>
        <w:t>Candidate transcription factor (TF)–target relationships were identified from TF motifs within ATAC peaks associated with target genes. Motifs were mapped to TFs represented in the RNA dataset, and TF expression was pseudobulked by individual within each cell cluster and normalized to log2 counts per million (logCPM). TFs were required to be expressed in ≥50% of individuals. Candidate TF–target relationships were retained when TF and target expression were correlated across individuals (|Pearson’s r| ≥ 0.40, P ≤ 0.10), with positive and negative correlations considered candidate activating and repressive relationships, respectively. TFs were not required to themselves be differentially expressed.</w:t>
      </w:r>
    </w:p>
    <w:p w14:paraId="674E1C9D" w14:textId="72F66EFA" w:rsidR="00C51A54" w:rsidRPr="007A682B" w:rsidRDefault="00C51A54" w:rsidP="00C51A54">
      <w:pPr>
        <w:rPr>
          <w:rFonts w:ascii="Arial" w:hAnsi="Arial" w:cs="Arial"/>
          <w:sz w:val="20"/>
          <w:szCs w:val="20"/>
        </w:rPr>
      </w:pPr>
      <w:r w:rsidRPr="007A682B">
        <w:rPr>
          <w:rFonts w:ascii="Arial" w:hAnsi="Arial" w:cs="Arial"/>
          <w:sz w:val="20"/>
          <w:szCs w:val="20"/>
        </w:rPr>
        <w:tab/>
        <w:t>For 1_RGC, network construction was restricted to target genes whose expression was significantly associated with local chromatin accessibility. TF hubs were retained when associated with at least three accessibility-supported target genes, and TF-to-TF relationships were retained. Strong correlations among target genes already represented in the network (|r| ≥ 0.60, P ≤ 0.05) were also included.</w:t>
      </w:r>
    </w:p>
    <w:p w14:paraId="7BB849FB" w14:textId="767F7906" w:rsidR="00C84A09" w:rsidRPr="007A682B" w:rsidRDefault="00C51A54" w:rsidP="00C51A54">
      <w:pPr>
        <w:rPr>
          <w:rFonts w:ascii="Arial" w:hAnsi="Arial" w:cs="Arial"/>
          <w:sz w:val="20"/>
          <w:szCs w:val="20"/>
        </w:rPr>
      </w:pPr>
      <w:r w:rsidRPr="007A682B">
        <w:rPr>
          <w:rFonts w:ascii="Arial" w:hAnsi="Arial" w:cs="Arial"/>
          <w:sz w:val="20"/>
          <w:szCs w:val="20"/>
        </w:rPr>
        <w:tab/>
        <w:t>Because fewer accessibility-coupled relationships were observed in 6_POA_Mixed, we additionally evaluated DEGs whose expression was not significantly associated with local chromatin accessibility. For these genes, candidate TF–target relationships were retained when at least one motif-containing peak was accessible in ≥50% of individuals and TF and target expression met the correlation criteria above. The final 6_POA_Mixed network integrated these relationships with the accessibility-coupled relationships and was focused on neuroendocrine genes implicated in regulation of the reproductive axis and their associated regulators and connected targets.</w:t>
      </w:r>
    </w:p>
    <w:p w14:paraId="2FD39240" w14:textId="77777777" w:rsidR="00093DF6" w:rsidRPr="007A682B" w:rsidRDefault="00093DF6" w:rsidP="00093DF6">
      <w:pPr>
        <w:ind w:firstLine="720"/>
        <w:rPr>
          <w:rFonts w:ascii="Arial" w:hAnsi="Arial" w:cs="Arial"/>
          <w:sz w:val="20"/>
          <w:szCs w:val="20"/>
        </w:rPr>
      </w:pPr>
    </w:p>
    <w:p w14:paraId="374C1D7D" w14:textId="28A5CD0E" w:rsidR="002F2A67" w:rsidRPr="007A682B" w:rsidRDefault="00345212" w:rsidP="00E051B3">
      <w:pPr>
        <w:spacing w:after="160"/>
        <w:rPr>
          <w:rFonts w:ascii="Arial" w:eastAsia="Malgun Gothic" w:hAnsi="Arial" w:cs="Arial"/>
          <w:b/>
          <w:bCs/>
          <w:kern w:val="0"/>
          <w:sz w:val="20"/>
          <w:szCs w:val="20"/>
          <w:lang w:eastAsia="ja-JP"/>
          <w14:ligatures w14:val="none"/>
        </w:rPr>
      </w:pPr>
      <w:r w:rsidRPr="007A682B">
        <w:rPr>
          <w:rFonts w:ascii="Arial" w:eastAsia="Malgun Gothic" w:hAnsi="Arial" w:cs="Arial"/>
          <w:b/>
          <w:bCs/>
          <w:kern w:val="0"/>
          <w:sz w:val="20"/>
          <w:szCs w:val="20"/>
          <w:lang w:eastAsia="ja-JP"/>
          <w14:ligatures w14:val="none"/>
        </w:rPr>
        <w:t>Data Availability</w:t>
      </w:r>
    </w:p>
    <w:p w14:paraId="0666ED6B" w14:textId="20BB035B" w:rsidR="004B14B0" w:rsidRPr="007A682B" w:rsidRDefault="00555E1C" w:rsidP="004816FA">
      <w:pPr>
        <w:rPr>
          <w:rFonts w:ascii="Arial" w:hAnsi="Arial" w:cs="Arial"/>
          <w:sz w:val="20"/>
          <w:szCs w:val="20"/>
        </w:rPr>
      </w:pPr>
      <w:r w:rsidRPr="007A682B">
        <w:rPr>
          <w:rFonts w:ascii="Arial" w:hAnsi="Arial" w:cs="Arial"/>
          <w:sz w:val="20"/>
          <w:szCs w:val="20"/>
          <w:highlight w:val="yellow"/>
        </w:rPr>
        <w:t>(…) I will make a Github repo</w:t>
      </w:r>
      <w:r w:rsidR="00E46755" w:rsidRPr="007A682B">
        <w:rPr>
          <w:rFonts w:ascii="Arial" w:hAnsi="Arial" w:cs="Arial"/>
          <w:sz w:val="20"/>
          <w:szCs w:val="20"/>
          <w:highlight w:val="yellow"/>
        </w:rPr>
        <w:t xml:space="preserve"> and</w:t>
      </w:r>
      <w:r w:rsidR="00166663" w:rsidRPr="007A682B">
        <w:rPr>
          <w:rFonts w:ascii="Arial" w:hAnsi="Arial" w:cs="Arial"/>
          <w:sz w:val="20"/>
          <w:szCs w:val="20"/>
          <w:highlight w:val="yellow"/>
        </w:rPr>
        <w:t xml:space="preserve"> </w:t>
      </w:r>
      <w:r w:rsidR="00E46755" w:rsidRPr="007A682B">
        <w:rPr>
          <w:rFonts w:ascii="Arial" w:hAnsi="Arial" w:cs="Arial"/>
          <w:sz w:val="20"/>
          <w:szCs w:val="20"/>
          <w:highlight w:val="yellow"/>
        </w:rPr>
        <w:t>GEO</w:t>
      </w:r>
      <w:r w:rsidR="00166663" w:rsidRPr="007A682B">
        <w:rPr>
          <w:rFonts w:ascii="Arial" w:hAnsi="Arial" w:cs="Arial"/>
          <w:sz w:val="20"/>
          <w:szCs w:val="20"/>
          <w:highlight w:val="yellow"/>
        </w:rPr>
        <w:t>/ Zenodo deposit</w:t>
      </w:r>
      <w:r w:rsidRPr="007A682B">
        <w:rPr>
          <w:rFonts w:ascii="Arial" w:hAnsi="Arial" w:cs="Arial"/>
          <w:sz w:val="20"/>
          <w:szCs w:val="20"/>
          <w:highlight w:val="yellow"/>
        </w:rPr>
        <w:t xml:space="preserve"> when we are done</w:t>
      </w:r>
    </w:p>
    <w:p w14:paraId="3C6350C8" w14:textId="33ABEB91" w:rsidR="00551E7E" w:rsidRPr="007A682B" w:rsidRDefault="00551E7E" w:rsidP="004816FA">
      <w:pPr>
        <w:rPr>
          <w:rFonts w:ascii="Arial" w:hAnsi="Arial" w:cs="Arial"/>
          <w:b/>
          <w:bCs/>
          <w:sz w:val="20"/>
          <w:szCs w:val="20"/>
        </w:rPr>
      </w:pPr>
      <w:r w:rsidRPr="007A682B">
        <w:rPr>
          <w:rFonts w:ascii="Arial" w:hAnsi="Arial" w:cs="Arial"/>
          <w:b/>
          <w:bCs/>
          <w:sz w:val="20"/>
          <w:szCs w:val="20"/>
        </w:rPr>
        <w:t>Acknowledgements</w:t>
      </w:r>
    </w:p>
    <w:p w14:paraId="269EA36F" w14:textId="09D4BBD3" w:rsidR="00551E7E" w:rsidRPr="007A682B" w:rsidRDefault="00551E7E" w:rsidP="004816FA">
      <w:pPr>
        <w:rPr>
          <w:rFonts w:ascii="Arial" w:hAnsi="Arial" w:cs="Arial"/>
          <w:sz w:val="20"/>
          <w:szCs w:val="20"/>
        </w:rPr>
      </w:pPr>
      <w:r w:rsidRPr="007A682B">
        <w:rPr>
          <w:rFonts w:ascii="Arial" w:hAnsi="Arial" w:cs="Arial"/>
          <w:sz w:val="20"/>
          <w:szCs w:val="20"/>
          <w:highlight w:val="yellow"/>
        </w:rPr>
        <w:t>CmTO, UIUC Core facilities, research board grant</w:t>
      </w:r>
    </w:p>
    <w:p w14:paraId="348E09AE" w14:textId="77777777" w:rsidR="0066495D" w:rsidRPr="007A682B" w:rsidRDefault="0066495D" w:rsidP="0066495D">
      <w:pPr>
        <w:rPr>
          <w:rFonts w:ascii="Arial" w:hAnsi="Arial" w:cs="Arial"/>
          <w:b/>
          <w:bCs/>
          <w:sz w:val="20"/>
          <w:szCs w:val="20"/>
        </w:rPr>
      </w:pPr>
    </w:p>
    <w:p w14:paraId="123DFFEE" w14:textId="77777777" w:rsidR="0066495D" w:rsidRPr="007A682B" w:rsidRDefault="0066495D">
      <w:pPr>
        <w:rPr>
          <w:rFonts w:ascii="Arial" w:hAnsi="Arial" w:cs="Arial"/>
          <w:b/>
          <w:bCs/>
          <w:sz w:val="20"/>
          <w:szCs w:val="20"/>
        </w:rPr>
      </w:pPr>
      <w:r w:rsidRPr="007A682B">
        <w:rPr>
          <w:rFonts w:ascii="Arial" w:hAnsi="Arial" w:cs="Arial"/>
          <w:b/>
          <w:bCs/>
          <w:sz w:val="20"/>
          <w:szCs w:val="20"/>
        </w:rPr>
        <w:br w:type="page"/>
      </w:r>
    </w:p>
    <w:p w14:paraId="5D59D4FF" w14:textId="77777777" w:rsidR="0066495D" w:rsidRPr="007A682B" w:rsidRDefault="0066495D" w:rsidP="0066495D">
      <w:pPr>
        <w:rPr>
          <w:rFonts w:ascii="Arial" w:hAnsi="Arial" w:cs="Arial"/>
          <w:b/>
          <w:bCs/>
          <w:sz w:val="20"/>
          <w:szCs w:val="20"/>
        </w:rPr>
      </w:pPr>
      <w:r w:rsidRPr="007A682B">
        <w:rPr>
          <w:rFonts w:ascii="Arial" w:hAnsi="Arial" w:cs="Arial"/>
          <w:b/>
          <w:bCs/>
          <w:sz w:val="20"/>
          <w:szCs w:val="20"/>
        </w:rPr>
        <w:lastRenderedPageBreak/>
        <w:t>References</w:t>
      </w:r>
    </w:p>
    <w:p w14:paraId="6B3E104E" w14:textId="77777777" w:rsidR="0075146E" w:rsidRPr="0075146E" w:rsidRDefault="004F6DBB" w:rsidP="0075146E">
      <w:pPr>
        <w:pStyle w:val="Bibliography"/>
        <w:rPr>
          <w:color w:val="auto"/>
        </w:rPr>
      </w:pPr>
      <w:r w:rsidRPr="007A682B">
        <w:rPr>
          <w:rFonts w:ascii="Arial" w:hAnsi="Arial" w:cs="Arial"/>
          <w:sz w:val="20"/>
          <w:szCs w:val="20"/>
        </w:rPr>
        <w:fldChar w:fldCharType="begin"/>
      </w:r>
      <w:r w:rsidR="00423BD8" w:rsidRPr="007A682B">
        <w:rPr>
          <w:rFonts w:ascii="Arial" w:hAnsi="Arial" w:cs="Arial"/>
          <w:sz w:val="20"/>
          <w:szCs w:val="20"/>
        </w:rPr>
        <w:instrText xml:space="preserve"> ADDIN ZOTERO_BIBL {"uncited":[],"omitted":[],"custom":[]} CSL_BIBLIOGRAPHY </w:instrText>
      </w:r>
      <w:r w:rsidRPr="007A682B">
        <w:rPr>
          <w:rFonts w:ascii="Arial" w:hAnsi="Arial" w:cs="Arial"/>
          <w:sz w:val="20"/>
          <w:szCs w:val="20"/>
        </w:rPr>
        <w:fldChar w:fldCharType="separate"/>
      </w:r>
      <w:r w:rsidR="0075146E" w:rsidRPr="0075146E">
        <w:rPr>
          <w:color w:val="auto"/>
        </w:rPr>
        <w:t xml:space="preserve">1. </w:t>
      </w:r>
      <w:r w:rsidR="0075146E" w:rsidRPr="0075146E">
        <w:rPr>
          <w:color w:val="auto"/>
        </w:rPr>
        <w:tab/>
        <w:t xml:space="preserve">S. Bhasin, </w:t>
      </w:r>
      <w:r w:rsidR="0075146E" w:rsidRPr="0075146E">
        <w:rPr>
          <w:i/>
          <w:iCs/>
          <w:color w:val="auto"/>
        </w:rPr>
        <w:t>et al.</w:t>
      </w:r>
      <w:r w:rsidR="0075146E" w:rsidRPr="0075146E">
        <w:rPr>
          <w:color w:val="auto"/>
        </w:rPr>
        <w:t xml:space="preserve">, From injury to recovery: transcriptomic dynamics in zebrafish brain regeneration. </w:t>
      </w:r>
      <w:r w:rsidR="0075146E" w:rsidRPr="0075146E">
        <w:rPr>
          <w:i/>
          <w:iCs/>
          <w:color w:val="auto"/>
        </w:rPr>
        <w:t>J Transl Med</w:t>
      </w:r>
      <w:r w:rsidR="0075146E" w:rsidRPr="0075146E">
        <w:rPr>
          <w:color w:val="auto"/>
        </w:rPr>
        <w:t xml:space="preserve"> </w:t>
      </w:r>
      <w:r w:rsidR="0075146E" w:rsidRPr="0075146E">
        <w:rPr>
          <w:b/>
          <w:bCs/>
          <w:color w:val="auto"/>
        </w:rPr>
        <w:t>24</w:t>
      </w:r>
      <w:r w:rsidR="0075146E" w:rsidRPr="0075146E">
        <w:rPr>
          <w:color w:val="auto"/>
        </w:rPr>
        <w:t>, 87 (2025).</w:t>
      </w:r>
    </w:p>
    <w:p w14:paraId="470467D0" w14:textId="77777777" w:rsidR="0075146E" w:rsidRPr="0075146E" w:rsidRDefault="0075146E" w:rsidP="0075146E">
      <w:pPr>
        <w:pStyle w:val="Bibliography"/>
        <w:rPr>
          <w:color w:val="auto"/>
        </w:rPr>
      </w:pPr>
      <w:r w:rsidRPr="0075146E">
        <w:rPr>
          <w:color w:val="auto"/>
        </w:rPr>
        <w:t xml:space="preserve">2. </w:t>
      </w:r>
      <w:r w:rsidRPr="0075146E">
        <w:rPr>
          <w:color w:val="auto"/>
        </w:rPr>
        <w:tab/>
        <w:t xml:space="preserve">M. Ghibaudi, A. Zanone, L. Bonfanti, Brain structural plasticity in large-brained mammals: Not only narrowing roads. </w:t>
      </w:r>
      <w:r w:rsidRPr="0075146E">
        <w:rPr>
          <w:i/>
          <w:iCs/>
          <w:color w:val="auto"/>
        </w:rPr>
        <w:t>Neural Regen Res</w:t>
      </w:r>
      <w:r w:rsidRPr="0075146E">
        <w:rPr>
          <w:color w:val="auto"/>
        </w:rPr>
        <w:t xml:space="preserve"> </w:t>
      </w:r>
      <w:r w:rsidRPr="0075146E">
        <w:rPr>
          <w:b/>
          <w:bCs/>
          <w:color w:val="auto"/>
        </w:rPr>
        <w:t>21</w:t>
      </w:r>
      <w:r w:rsidRPr="0075146E">
        <w:rPr>
          <w:color w:val="auto"/>
        </w:rPr>
        <w:t>, 1669–1680 (2025).</w:t>
      </w:r>
    </w:p>
    <w:p w14:paraId="0F0F6A8F" w14:textId="77777777" w:rsidR="0075146E" w:rsidRPr="0075146E" w:rsidRDefault="0075146E" w:rsidP="0075146E">
      <w:pPr>
        <w:pStyle w:val="Bibliography"/>
        <w:rPr>
          <w:color w:val="auto"/>
        </w:rPr>
      </w:pPr>
      <w:r w:rsidRPr="0075146E">
        <w:rPr>
          <w:color w:val="auto"/>
        </w:rPr>
        <w:t xml:space="preserve">3. </w:t>
      </w:r>
      <w:r w:rsidRPr="0075146E">
        <w:rPr>
          <w:color w:val="auto"/>
        </w:rPr>
        <w:tab/>
        <w:t xml:space="preserve">A. Alunni, L. Bally-Cuif, A comparative view of regenerative neurogenesis in vertebrates. </w:t>
      </w:r>
      <w:r w:rsidRPr="0075146E">
        <w:rPr>
          <w:i/>
          <w:iCs/>
          <w:color w:val="auto"/>
        </w:rPr>
        <w:t>Development</w:t>
      </w:r>
      <w:r w:rsidRPr="0075146E">
        <w:rPr>
          <w:color w:val="auto"/>
        </w:rPr>
        <w:t xml:space="preserve"> </w:t>
      </w:r>
      <w:r w:rsidRPr="0075146E">
        <w:rPr>
          <w:b/>
          <w:bCs/>
          <w:color w:val="auto"/>
        </w:rPr>
        <w:t>143</w:t>
      </w:r>
      <w:r w:rsidRPr="0075146E">
        <w:rPr>
          <w:color w:val="auto"/>
        </w:rPr>
        <w:t>, 741–753 (2016).</w:t>
      </w:r>
    </w:p>
    <w:p w14:paraId="5D77BB2D" w14:textId="77777777" w:rsidR="0075146E" w:rsidRPr="0075146E" w:rsidRDefault="0075146E" w:rsidP="0075146E">
      <w:pPr>
        <w:pStyle w:val="Bibliography"/>
        <w:rPr>
          <w:color w:val="auto"/>
        </w:rPr>
      </w:pPr>
      <w:r w:rsidRPr="0075146E">
        <w:rPr>
          <w:color w:val="auto"/>
        </w:rPr>
        <w:t xml:space="preserve">4. </w:t>
      </w:r>
      <w:r w:rsidRPr="0075146E">
        <w:rPr>
          <w:color w:val="auto"/>
        </w:rPr>
        <w:tab/>
        <w:t xml:space="preserve">A. M. Matheson, </w:t>
      </w:r>
      <w:r w:rsidRPr="0075146E">
        <w:rPr>
          <w:i/>
          <w:iCs/>
          <w:color w:val="auto"/>
        </w:rPr>
        <w:t>et al.</w:t>
      </w:r>
      <w:r w:rsidRPr="0075146E">
        <w:rPr>
          <w:color w:val="auto"/>
        </w:rPr>
        <w:t>, Cell-type Plasticity Supports Behavioral Adaptations at the Water-to-Land Interface. [Preprint] (2026). Available at: https://www.biorxiv.org/content/10.64898/2026.07.25.740661v1 [Accessed 9 September 2026].</w:t>
      </w:r>
    </w:p>
    <w:p w14:paraId="55549546" w14:textId="77777777" w:rsidR="0075146E" w:rsidRPr="0075146E" w:rsidRDefault="0075146E" w:rsidP="0075146E">
      <w:pPr>
        <w:pStyle w:val="Bibliography"/>
        <w:rPr>
          <w:color w:val="auto"/>
        </w:rPr>
      </w:pPr>
      <w:r w:rsidRPr="0075146E">
        <w:rPr>
          <w:color w:val="auto"/>
        </w:rPr>
        <w:t xml:space="preserve">5. </w:t>
      </w:r>
      <w:r w:rsidRPr="0075146E">
        <w:rPr>
          <w:color w:val="auto"/>
        </w:rPr>
        <w:tab/>
        <w:t xml:space="preserve">C. G. Parker, </w:t>
      </w:r>
      <w:r w:rsidRPr="0075146E">
        <w:rPr>
          <w:i/>
          <w:iCs/>
          <w:color w:val="auto"/>
        </w:rPr>
        <w:t>et al.</w:t>
      </w:r>
      <w:r w:rsidRPr="0075146E">
        <w:rPr>
          <w:color w:val="auto"/>
        </w:rPr>
        <w:t xml:space="preserve">, Adult sex change leads to extensive forebrain reorganization in clownfish. </w:t>
      </w:r>
      <w:r w:rsidRPr="0075146E">
        <w:rPr>
          <w:i/>
          <w:iCs/>
          <w:color w:val="auto"/>
        </w:rPr>
        <w:t>Biol Sex Differ</w:t>
      </w:r>
      <w:r w:rsidRPr="0075146E">
        <w:rPr>
          <w:color w:val="auto"/>
        </w:rPr>
        <w:t xml:space="preserve"> </w:t>
      </w:r>
      <w:r w:rsidRPr="0075146E">
        <w:rPr>
          <w:b/>
          <w:bCs/>
          <w:color w:val="auto"/>
        </w:rPr>
        <w:t>15</w:t>
      </w:r>
      <w:r w:rsidRPr="0075146E">
        <w:rPr>
          <w:color w:val="auto"/>
        </w:rPr>
        <w:t>, 58 (2024).</w:t>
      </w:r>
    </w:p>
    <w:p w14:paraId="28EF75CC" w14:textId="77777777" w:rsidR="0075146E" w:rsidRPr="0075146E" w:rsidRDefault="0075146E" w:rsidP="0075146E">
      <w:pPr>
        <w:pStyle w:val="Bibliography"/>
        <w:rPr>
          <w:color w:val="auto"/>
        </w:rPr>
      </w:pPr>
      <w:r w:rsidRPr="0075146E">
        <w:rPr>
          <w:color w:val="auto"/>
        </w:rPr>
        <w:t xml:space="preserve">6. </w:t>
      </w:r>
      <w:r w:rsidRPr="0075146E">
        <w:rPr>
          <w:color w:val="auto"/>
        </w:rPr>
        <w:tab/>
        <w:t xml:space="preserve">C. G. Parker, </w:t>
      </w:r>
      <w:r w:rsidRPr="0075146E">
        <w:rPr>
          <w:i/>
          <w:iCs/>
          <w:color w:val="auto"/>
        </w:rPr>
        <w:t>et al.</w:t>
      </w:r>
      <w:r w:rsidRPr="0075146E">
        <w:rPr>
          <w:color w:val="auto"/>
        </w:rPr>
        <w:t xml:space="preserve">, New cells added to the preoptic area during sex change in the common clownfish Amphiprion ocellaris. </w:t>
      </w:r>
      <w:r w:rsidRPr="0075146E">
        <w:rPr>
          <w:i/>
          <w:iCs/>
          <w:color w:val="auto"/>
        </w:rPr>
        <w:t>General and Comparative Endocrinology</w:t>
      </w:r>
      <w:r w:rsidRPr="0075146E">
        <w:rPr>
          <w:color w:val="auto"/>
        </w:rPr>
        <w:t xml:space="preserve"> </w:t>
      </w:r>
      <w:r w:rsidRPr="0075146E">
        <w:rPr>
          <w:b/>
          <w:bCs/>
          <w:color w:val="auto"/>
        </w:rPr>
        <w:t>333</w:t>
      </w:r>
      <w:r w:rsidRPr="0075146E">
        <w:rPr>
          <w:color w:val="auto"/>
        </w:rPr>
        <w:t>, 114185 (2023).</w:t>
      </w:r>
    </w:p>
    <w:p w14:paraId="0586E503" w14:textId="77777777" w:rsidR="0075146E" w:rsidRPr="0075146E" w:rsidRDefault="0075146E" w:rsidP="0075146E">
      <w:pPr>
        <w:pStyle w:val="Bibliography"/>
        <w:rPr>
          <w:color w:val="auto"/>
        </w:rPr>
      </w:pPr>
      <w:r w:rsidRPr="0075146E">
        <w:rPr>
          <w:color w:val="auto"/>
        </w:rPr>
        <w:t xml:space="preserve">7. </w:t>
      </w:r>
      <w:r w:rsidRPr="0075146E">
        <w:rPr>
          <w:color w:val="auto"/>
        </w:rPr>
        <w:tab/>
        <w:t xml:space="preserve">C. G. Parker, J. S. Lee, A. R. Histed, S. E. Craig, J. S. Rhodes, Stable and persistent male-like behavior during male-to-female sex change in the common clownfish Amphiprion ocellaris. </w:t>
      </w:r>
      <w:r w:rsidRPr="0075146E">
        <w:rPr>
          <w:i/>
          <w:iCs/>
          <w:color w:val="auto"/>
        </w:rPr>
        <w:t>Hormones and Behavior</w:t>
      </w:r>
      <w:r w:rsidRPr="0075146E">
        <w:rPr>
          <w:color w:val="auto"/>
        </w:rPr>
        <w:t xml:space="preserve"> </w:t>
      </w:r>
      <w:r w:rsidRPr="0075146E">
        <w:rPr>
          <w:b/>
          <w:bCs/>
          <w:color w:val="auto"/>
        </w:rPr>
        <w:t>145</w:t>
      </w:r>
      <w:r w:rsidRPr="0075146E">
        <w:rPr>
          <w:color w:val="auto"/>
        </w:rPr>
        <w:t>, 105239 (2022).</w:t>
      </w:r>
    </w:p>
    <w:p w14:paraId="230C45A9" w14:textId="77777777" w:rsidR="0075146E" w:rsidRPr="0075146E" w:rsidRDefault="0075146E" w:rsidP="0075146E">
      <w:pPr>
        <w:pStyle w:val="Bibliography"/>
        <w:rPr>
          <w:color w:val="auto"/>
        </w:rPr>
      </w:pPr>
      <w:r w:rsidRPr="0075146E">
        <w:rPr>
          <w:color w:val="auto"/>
        </w:rPr>
        <w:t xml:space="preserve">8. </w:t>
      </w:r>
      <w:r w:rsidRPr="0075146E">
        <w:rPr>
          <w:color w:val="auto"/>
        </w:rPr>
        <w:tab/>
        <w:t xml:space="preserve">J. Godwin, Neuroendocrinology of sexual plasticity in teleost fishes. </w:t>
      </w:r>
      <w:r w:rsidRPr="0075146E">
        <w:rPr>
          <w:i/>
          <w:iCs/>
          <w:color w:val="auto"/>
        </w:rPr>
        <w:t>Frontiers in Neuroendocrinology</w:t>
      </w:r>
      <w:r w:rsidRPr="0075146E">
        <w:rPr>
          <w:color w:val="auto"/>
        </w:rPr>
        <w:t xml:space="preserve"> </w:t>
      </w:r>
      <w:r w:rsidRPr="0075146E">
        <w:rPr>
          <w:b/>
          <w:bCs/>
          <w:color w:val="auto"/>
        </w:rPr>
        <w:t>31</w:t>
      </w:r>
      <w:r w:rsidRPr="0075146E">
        <w:rPr>
          <w:color w:val="auto"/>
        </w:rPr>
        <w:t>, 203–216 (2010).</w:t>
      </w:r>
    </w:p>
    <w:p w14:paraId="28D92642" w14:textId="77777777" w:rsidR="0075146E" w:rsidRPr="0075146E" w:rsidRDefault="0075146E" w:rsidP="0075146E">
      <w:pPr>
        <w:pStyle w:val="Bibliography"/>
        <w:rPr>
          <w:color w:val="auto"/>
        </w:rPr>
      </w:pPr>
      <w:r w:rsidRPr="0075146E">
        <w:rPr>
          <w:color w:val="auto"/>
        </w:rPr>
        <w:t xml:space="preserve">9. </w:t>
      </w:r>
      <w:r w:rsidRPr="0075146E">
        <w:rPr>
          <w:color w:val="auto"/>
        </w:rPr>
        <w:tab/>
        <w:t xml:space="preserve">G. J. Graham, J. S. Rhodes, Plasticity of brain sexual dimorphism as revealed by sex changing fish. </w:t>
      </w:r>
      <w:r w:rsidRPr="0075146E">
        <w:rPr>
          <w:i/>
          <w:iCs/>
          <w:color w:val="auto"/>
        </w:rPr>
        <w:t>Current Opinion in Neurobiology</w:t>
      </w:r>
      <w:r w:rsidRPr="0075146E">
        <w:rPr>
          <w:color w:val="auto"/>
        </w:rPr>
        <w:t xml:space="preserve"> </w:t>
      </w:r>
      <w:r w:rsidRPr="0075146E">
        <w:rPr>
          <w:b/>
          <w:bCs/>
          <w:color w:val="auto"/>
        </w:rPr>
        <w:t>94</w:t>
      </w:r>
      <w:r w:rsidRPr="0075146E">
        <w:rPr>
          <w:color w:val="auto"/>
        </w:rPr>
        <w:t>, 103094 (2025).</w:t>
      </w:r>
    </w:p>
    <w:p w14:paraId="2D9D7EDB" w14:textId="77777777" w:rsidR="0075146E" w:rsidRPr="0075146E" w:rsidRDefault="0075146E" w:rsidP="0075146E">
      <w:pPr>
        <w:pStyle w:val="Bibliography"/>
        <w:rPr>
          <w:color w:val="auto"/>
        </w:rPr>
      </w:pPr>
      <w:r w:rsidRPr="0075146E">
        <w:rPr>
          <w:color w:val="auto"/>
        </w:rPr>
        <w:t xml:space="preserve">10. </w:t>
      </w:r>
      <w:r w:rsidRPr="0075146E">
        <w:rPr>
          <w:color w:val="auto"/>
        </w:rPr>
        <w:tab/>
        <w:t xml:space="preserve">E. Phillips, R. DeAngelis, J. V. Gogola, J. S. Rhodes, Spontaneous alloparental care of unrelated offspring by non-breeding Amphiprion ocellaris in absence of the biological parents. </w:t>
      </w:r>
      <w:r w:rsidRPr="0075146E">
        <w:rPr>
          <w:i/>
          <w:iCs/>
          <w:color w:val="auto"/>
        </w:rPr>
        <w:t>Sci Rep</w:t>
      </w:r>
      <w:r w:rsidRPr="0075146E">
        <w:rPr>
          <w:color w:val="auto"/>
        </w:rPr>
        <w:t xml:space="preserve"> </w:t>
      </w:r>
      <w:r w:rsidRPr="0075146E">
        <w:rPr>
          <w:b/>
          <w:bCs/>
          <w:color w:val="auto"/>
        </w:rPr>
        <w:t>10</w:t>
      </w:r>
      <w:r w:rsidRPr="0075146E">
        <w:rPr>
          <w:color w:val="auto"/>
        </w:rPr>
        <w:t>, 4610 (2020).</w:t>
      </w:r>
    </w:p>
    <w:p w14:paraId="0E1858F9" w14:textId="77777777" w:rsidR="0075146E" w:rsidRPr="0075146E" w:rsidRDefault="0075146E" w:rsidP="0075146E">
      <w:pPr>
        <w:pStyle w:val="Bibliography"/>
        <w:rPr>
          <w:color w:val="auto"/>
        </w:rPr>
      </w:pPr>
      <w:r w:rsidRPr="0075146E">
        <w:rPr>
          <w:color w:val="auto"/>
        </w:rPr>
        <w:t xml:space="preserve">11. </w:t>
      </w:r>
      <w:r w:rsidRPr="0075146E">
        <w:rPr>
          <w:color w:val="auto"/>
        </w:rPr>
        <w:tab/>
        <w:t xml:space="preserve">R. DeAngelis, J. S. Rhodes, Sex Differences in Steroid Hormones and Parental Effort across the Breeding Cycle in </w:t>
      </w:r>
      <w:r w:rsidRPr="0075146E">
        <w:rPr>
          <w:i/>
          <w:iCs/>
          <w:color w:val="auto"/>
        </w:rPr>
        <w:t>Amphiprion ocellaris</w:t>
      </w:r>
      <w:r w:rsidRPr="0075146E">
        <w:rPr>
          <w:color w:val="auto"/>
        </w:rPr>
        <w:t xml:space="preserve">. </w:t>
      </w:r>
      <w:r w:rsidRPr="0075146E">
        <w:rPr>
          <w:i/>
          <w:iCs/>
          <w:color w:val="auto"/>
        </w:rPr>
        <w:t>Copeia</w:t>
      </w:r>
      <w:r w:rsidRPr="0075146E">
        <w:rPr>
          <w:color w:val="auto"/>
        </w:rPr>
        <w:t xml:space="preserve"> </w:t>
      </w:r>
      <w:r w:rsidRPr="0075146E">
        <w:rPr>
          <w:b/>
          <w:bCs/>
          <w:color w:val="auto"/>
        </w:rPr>
        <w:t>104</w:t>
      </w:r>
      <w:r w:rsidRPr="0075146E">
        <w:rPr>
          <w:color w:val="auto"/>
        </w:rPr>
        <w:t>, 586–593 (2016).</w:t>
      </w:r>
    </w:p>
    <w:p w14:paraId="571A11E3" w14:textId="77777777" w:rsidR="0075146E" w:rsidRPr="0075146E" w:rsidRDefault="0075146E" w:rsidP="0075146E">
      <w:pPr>
        <w:pStyle w:val="Bibliography"/>
        <w:rPr>
          <w:color w:val="auto"/>
        </w:rPr>
      </w:pPr>
      <w:r w:rsidRPr="0075146E">
        <w:rPr>
          <w:color w:val="auto"/>
        </w:rPr>
        <w:t xml:space="preserve">12. </w:t>
      </w:r>
      <w:r w:rsidRPr="0075146E">
        <w:rPr>
          <w:color w:val="auto"/>
        </w:rPr>
        <w:tab/>
        <w:t xml:space="preserve">R. DeAngelis, L. Dodd, A. Snyder, J. S. Rhodes, Dynamic regulation of brain aromatase and isotocin receptor gene expression depends on parenting status. </w:t>
      </w:r>
      <w:r w:rsidRPr="0075146E">
        <w:rPr>
          <w:i/>
          <w:iCs/>
          <w:color w:val="auto"/>
        </w:rPr>
        <w:t>Hormones and Behavior</w:t>
      </w:r>
      <w:r w:rsidRPr="0075146E">
        <w:rPr>
          <w:color w:val="auto"/>
        </w:rPr>
        <w:t xml:space="preserve"> </w:t>
      </w:r>
      <w:r w:rsidRPr="0075146E">
        <w:rPr>
          <w:b/>
          <w:bCs/>
          <w:color w:val="auto"/>
        </w:rPr>
        <w:t>103</w:t>
      </w:r>
      <w:r w:rsidRPr="0075146E">
        <w:rPr>
          <w:color w:val="auto"/>
        </w:rPr>
        <w:t>, 62–70 (2018).</w:t>
      </w:r>
    </w:p>
    <w:p w14:paraId="1E2D0B9B" w14:textId="77777777" w:rsidR="0075146E" w:rsidRPr="0075146E" w:rsidRDefault="0075146E" w:rsidP="0075146E">
      <w:pPr>
        <w:pStyle w:val="Bibliography"/>
        <w:rPr>
          <w:color w:val="auto"/>
        </w:rPr>
      </w:pPr>
      <w:r w:rsidRPr="0075146E">
        <w:rPr>
          <w:color w:val="auto"/>
        </w:rPr>
        <w:t xml:space="preserve">13. </w:t>
      </w:r>
      <w:r w:rsidRPr="0075146E">
        <w:rPr>
          <w:color w:val="auto"/>
        </w:rPr>
        <w:tab/>
        <w:t xml:space="preserve">R. DeAngelis, L. Dodd, J. Rhodes, Nonapeptides mediate trade-offs in parental care strategy. </w:t>
      </w:r>
      <w:r w:rsidRPr="0075146E">
        <w:rPr>
          <w:i/>
          <w:iCs/>
          <w:color w:val="auto"/>
        </w:rPr>
        <w:t>Hormones and Behavior</w:t>
      </w:r>
      <w:r w:rsidRPr="0075146E">
        <w:rPr>
          <w:color w:val="auto"/>
        </w:rPr>
        <w:t xml:space="preserve"> </w:t>
      </w:r>
      <w:r w:rsidRPr="0075146E">
        <w:rPr>
          <w:b/>
          <w:bCs/>
          <w:color w:val="auto"/>
        </w:rPr>
        <w:t>121</w:t>
      </w:r>
      <w:r w:rsidRPr="0075146E">
        <w:rPr>
          <w:color w:val="auto"/>
        </w:rPr>
        <w:t>, 104717 (2020).</w:t>
      </w:r>
    </w:p>
    <w:p w14:paraId="4123007E" w14:textId="77777777" w:rsidR="0075146E" w:rsidRPr="0075146E" w:rsidRDefault="0075146E" w:rsidP="0075146E">
      <w:pPr>
        <w:pStyle w:val="Bibliography"/>
        <w:rPr>
          <w:color w:val="auto"/>
        </w:rPr>
      </w:pPr>
      <w:r w:rsidRPr="0075146E">
        <w:rPr>
          <w:color w:val="auto"/>
        </w:rPr>
        <w:t xml:space="preserve">14. </w:t>
      </w:r>
      <w:r w:rsidRPr="0075146E">
        <w:rPr>
          <w:color w:val="auto"/>
        </w:rPr>
        <w:tab/>
        <w:t xml:space="preserve">G. J. Graham, I. M. Wilton, E. K. Panczyk, J. S. Rhodes, Novel behavioural assays reveal sex-specific behavioural syndromes in anemonefish. </w:t>
      </w:r>
      <w:r w:rsidRPr="0075146E">
        <w:rPr>
          <w:i/>
          <w:iCs/>
          <w:color w:val="auto"/>
        </w:rPr>
        <w:t>J Fish Biol</w:t>
      </w:r>
      <w:r w:rsidRPr="0075146E">
        <w:rPr>
          <w:color w:val="auto"/>
        </w:rPr>
        <w:t xml:space="preserve"> </w:t>
      </w:r>
      <w:r w:rsidRPr="0075146E">
        <w:rPr>
          <w:b/>
          <w:bCs/>
          <w:color w:val="auto"/>
        </w:rPr>
        <w:t>106</w:t>
      </w:r>
      <w:r w:rsidRPr="0075146E">
        <w:rPr>
          <w:color w:val="auto"/>
        </w:rPr>
        <w:t>, 1845–1862 (2025).</w:t>
      </w:r>
    </w:p>
    <w:p w14:paraId="76D6AAAD" w14:textId="77777777" w:rsidR="0075146E" w:rsidRPr="0075146E" w:rsidRDefault="0075146E" w:rsidP="0075146E">
      <w:pPr>
        <w:pStyle w:val="Bibliography"/>
        <w:rPr>
          <w:color w:val="auto"/>
        </w:rPr>
      </w:pPr>
      <w:r w:rsidRPr="0075146E">
        <w:rPr>
          <w:color w:val="auto"/>
        </w:rPr>
        <w:lastRenderedPageBreak/>
        <w:t xml:space="preserve">15. </w:t>
      </w:r>
      <w:r w:rsidRPr="0075146E">
        <w:rPr>
          <w:color w:val="auto"/>
        </w:rPr>
        <w:tab/>
        <w:t xml:space="preserve">V. Kleshchevnikov, </w:t>
      </w:r>
      <w:r w:rsidRPr="0075146E">
        <w:rPr>
          <w:i/>
          <w:iCs/>
          <w:color w:val="auto"/>
        </w:rPr>
        <w:t>et al.</w:t>
      </w:r>
      <w:r w:rsidRPr="0075146E">
        <w:rPr>
          <w:color w:val="auto"/>
        </w:rPr>
        <w:t xml:space="preserve">, Cell2location maps fine-grained cell types in spatial transcriptomics. </w:t>
      </w:r>
      <w:r w:rsidRPr="0075146E">
        <w:rPr>
          <w:i/>
          <w:iCs/>
          <w:color w:val="auto"/>
        </w:rPr>
        <w:t>Nat Biotechnol</w:t>
      </w:r>
      <w:r w:rsidRPr="0075146E">
        <w:rPr>
          <w:color w:val="auto"/>
        </w:rPr>
        <w:t xml:space="preserve"> </w:t>
      </w:r>
      <w:r w:rsidRPr="0075146E">
        <w:rPr>
          <w:b/>
          <w:bCs/>
          <w:color w:val="auto"/>
        </w:rPr>
        <w:t>40</w:t>
      </w:r>
      <w:r w:rsidRPr="0075146E">
        <w:rPr>
          <w:color w:val="auto"/>
        </w:rPr>
        <w:t>, 661–671 (2022).</w:t>
      </w:r>
    </w:p>
    <w:p w14:paraId="245EA4F0" w14:textId="77777777" w:rsidR="0075146E" w:rsidRPr="0075146E" w:rsidRDefault="0075146E" w:rsidP="0075146E">
      <w:pPr>
        <w:pStyle w:val="Bibliography"/>
        <w:rPr>
          <w:color w:val="auto"/>
        </w:rPr>
      </w:pPr>
      <w:r w:rsidRPr="0075146E">
        <w:rPr>
          <w:color w:val="auto"/>
        </w:rPr>
        <w:t xml:space="preserve">16. </w:t>
      </w:r>
      <w:r w:rsidRPr="0075146E">
        <w:rPr>
          <w:color w:val="auto"/>
        </w:rPr>
        <w:tab/>
        <w:t xml:space="preserve">U. Herget, S. Ryu, Coexpression analysis of nine neuropeptides in the neurosecretory preoptic area of larval zebrafish. </w:t>
      </w:r>
      <w:r w:rsidRPr="0075146E">
        <w:rPr>
          <w:i/>
          <w:iCs/>
          <w:color w:val="auto"/>
        </w:rPr>
        <w:t>Front. Neuroanat.</w:t>
      </w:r>
      <w:r w:rsidRPr="0075146E">
        <w:rPr>
          <w:color w:val="auto"/>
        </w:rPr>
        <w:t xml:space="preserve"> </w:t>
      </w:r>
      <w:r w:rsidRPr="0075146E">
        <w:rPr>
          <w:b/>
          <w:bCs/>
          <w:color w:val="auto"/>
        </w:rPr>
        <w:t>9</w:t>
      </w:r>
      <w:r w:rsidRPr="0075146E">
        <w:rPr>
          <w:color w:val="auto"/>
        </w:rPr>
        <w:t xml:space="preserve"> (2015).</w:t>
      </w:r>
    </w:p>
    <w:p w14:paraId="5DEA48DA" w14:textId="77777777" w:rsidR="0075146E" w:rsidRPr="0075146E" w:rsidRDefault="0075146E" w:rsidP="0075146E">
      <w:pPr>
        <w:pStyle w:val="Bibliography"/>
        <w:rPr>
          <w:color w:val="auto"/>
        </w:rPr>
      </w:pPr>
      <w:r w:rsidRPr="0075146E">
        <w:rPr>
          <w:color w:val="auto"/>
        </w:rPr>
        <w:t xml:space="preserve">17. </w:t>
      </w:r>
      <w:r w:rsidRPr="0075146E">
        <w:rPr>
          <w:color w:val="auto"/>
        </w:rPr>
        <w:tab/>
        <w:t xml:space="preserve">J. Nagpal, U. Herget, M. K. Choi, S. Ryu, Anatomy, development, and plasticity of the neurosecretory hypothalamus in zebrafish. </w:t>
      </w:r>
      <w:r w:rsidRPr="0075146E">
        <w:rPr>
          <w:i/>
          <w:iCs/>
          <w:color w:val="auto"/>
        </w:rPr>
        <w:t>Cell Tissue Res</w:t>
      </w:r>
      <w:r w:rsidRPr="0075146E">
        <w:rPr>
          <w:color w:val="auto"/>
        </w:rPr>
        <w:t xml:space="preserve"> </w:t>
      </w:r>
      <w:r w:rsidRPr="0075146E">
        <w:rPr>
          <w:b/>
          <w:bCs/>
          <w:color w:val="auto"/>
        </w:rPr>
        <w:t>375</w:t>
      </w:r>
      <w:r w:rsidRPr="0075146E">
        <w:rPr>
          <w:color w:val="auto"/>
        </w:rPr>
        <w:t>, 5–22 (2019).</w:t>
      </w:r>
    </w:p>
    <w:p w14:paraId="7FF9BFD6" w14:textId="77777777" w:rsidR="0075146E" w:rsidRPr="0075146E" w:rsidRDefault="0075146E" w:rsidP="0075146E">
      <w:pPr>
        <w:pStyle w:val="Bibliography"/>
        <w:rPr>
          <w:color w:val="auto"/>
        </w:rPr>
      </w:pPr>
      <w:r w:rsidRPr="0075146E">
        <w:rPr>
          <w:color w:val="auto"/>
        </w:rPr>
        <w:t xml:space="preserve">18. </w:t>
      </w:r>
      <w:r w:rsidRPr="0075146E">
        <w:rPr>
          <w:color w:val="auto"/>
        </w:rPr>
        <w:tab/>
        <w:t xml:space="preserve">U. Herget, A. Wolf, M. F. Wullimann, S. Ryu, Molecular neuroanatomy and chemoarchitecture of the neurosecretory preoptic-hypothalamic area in zebrafish larvae. </w:t>
      </w:r>
      <w:r w:rsidRPr="0075146E">
        <w:rPr>
          <w:i/>
          <w:iCs/>
          <w:color w:val="auto"/>
        </w:rPr>
        <w:t>Journal of Comparative Neurology</w:t>
      </w:r>
      <w:r w:rsidRPr="0075146E">
        <w:rPr>
          <w:color w:val="auto"/>
        </w:rPr>
        <w:t xml:space="preserve"> </w:t>
      </w:r>
      <w:r w:rsidRPr="0075146E">
        <w:rPr>
          <w:b/>
          <w:bCs/>
          <w:color w:val="auto"/>
        </w:rPr>
        <w:t>522</w:t>
      </w:r>
      <w:r w:rsidRPr="0075146E">
        <w:rPr>
          <w:color w:val="auto"/>
        </w:rPr>
        <w:t>, 1542–1564 (2014).</w:t>
      </w:r>
    </w:p>
    <w:p w14:paraId="2B41837B" w14:textId="77777777" w:rsidR="0075146E" w:rsidRPr="0075146E" w:rsidRDefault="0075146E" w:rsidP="0075146E">
      <w:pPr>
        <w:pStyle w:val="Bibliography"/>
        <w:rPr>
          <w:color w:val="auto"/>
        </w:rPr>
      </w:pPr>
      <w:r w:rsidRPr="0075146E">
        <w:rPr>
          <w:color w:val="auto"/>
        </w:rPr>
        <w:t xml:space="preserve">19. </w:t>
      </w:r>
      <w:r w:rsidRPr="0075146E">
        <w:rPr>
          <w:color w:val="auto"/>
        </w:rPr>
        <w:tab/>
        <w:t xml:space="preserve">A. J. Sakharkar, M. Mazumdar, P. S. Singru, N. Subhedar, Neurosecretory neurons of the nucleus preopticus (NPO) express salmon GnRH mRNA and show reproduction phase-related variation in the female Indian major carp, </w:t>
      </w:r>
      <w:r w:rsidRPr="0075146E">
        <w:rPr>
          <w:i/>
          <w:iCs/>
          <w:color w:val="auto"/>
        </w:rPr>
        <w:t>Cirrhinus cirrhosus</w:t>
      </w:r>
      <w:r w:rsidRPr="0075146E">
        <w:rPr>
          <w:color w:val="auto"/>
        </w:rPr>
        <w:t xml:space="preserve">. </w:t>
      </w:r>
      <w:r w:rsidRPr="0075146E">
        <w:rPr>
          <w:i/>
          <w:iCs/>
          <w:color w:val="auto"/>
        </w:rPr>
        <w:t>Comparative Biochemistry and Physiology Part A: Molecular &amp; Integrative Physiology</w:t>
      </w:r>
      <w:r w:rsidRPr="0075146E">
        <w:rPr>
          <w:color w:val="auto"/>
        </w:rPr>
        <w:t xml:space="preserve"> </w:t>
      </w:r>
      <w:r w:rsidRPr="0075146E">
        <w:rPr>
          <w:b/>
          <w:bCs/>
          <w:color w:val="auto"/>
        </w:rPr>
        <w:t>151</w:t>
      </w:r>
      <w:r w:rsidRPr="0075146E">
        <w:rPr>
          <w:color w:val="auto"/>
        </w:rPr>
        <w:t>, 247–252 (2008).</w:t>
      </w:r>
    </w:p>
    <w:p w14:paraId="0B5DE093" w14:textId="77777777" w:rsidR="0075146E" w:rsidRPr="0075146E" w:rsidRDefault="0075146E" w:rsidP="0075146E">
      <w:pPr>
        <w:pStyle w:val="Bibliography"/>
        <w:rPr>
          <w:color w:val="auto"/>
        </w:rPr>
      </w:pPr>
      <w:r w:rsidRPr="0075146E">
        <w:rPr>
          <w:color w:val="auto"/>
        </w:rPr>
        <w:t xml:space="preserve">20. </w:t>
      </w:r>
      <w:r w:rsidRPr="0075146E">
        <w:rPr>
          <w:color w:val="auto"/>
        </w:rPr>
        <w:tab/>
        <w:t xml:space="preserve">M. Tibi, </w:t>
      </w:r>
      <w:r w:rsidRPr="0075146E">
        <w:rPr>
          <w:i/>
          <w:iCs/>
          <w:color w:val="auto"/>
        </w:rPr>
        <w:t>et al.</w:t>
      </w:r>
      <w:r w:rsidRPr="0075146E">
        <w:rPr>
          <w:color w:val="auto"/>
        </w:rPr>
        <w:t xml:space="preserve">, A telencephalon cell type atlas for goldfish reveals diversity in the evolution of spatial structure and cell types. </w:t>
      </w:r>
      <w:r w:rsidRPr="0075146E">
        <w:rPr>
          <w:i/>
          <w:iCs/>
          <w:color w:val="auto"/>
        </w:rPr>
        <w:t>Sci Adv</w:t>
      </w:r>
      <w:r w:rsidRPr="0075146E">
        <w:rPr>
          <w:color w:val="auto"/>
        </w:rPr>
        <w:t xml:space="preserve"> </w:t>
      </w:r>
      <w:r w:rsidRPr="0075146E">
        <w:rPr>
          <w:b/>
          <w:bCs/>
          <w:color w:val="auto"/>
        </w:rPr>
        <w:t>9</w:t>
      </w:r>
      <w:r w:rsidRPr="0075146E">
        <w:rPr>
          <w:color w:val="auto"/>
        </w:rPr>
        <w:t>, eadh7693 (2023).</w:t>
      </w:r>
    </w:p>
    <w:p w14:paraId="2B7D278B" w14:textId="77777777" w:rsidR="0075146E" w:rsidRPr="0075146E" w:rsidRDefault="0075146E" w:rsidP="0075146E">
      <w:pPr>
        <w:pStyle w:val="Bibliography"/>
        <w:rPr>
          <w:color w:val="auto"/>
        </w:rPr>
      </w:pPr>
      <w:r w:rsidRPr="0075146E">
        <w:rPr>
          <w:color w:val="auto"/>
        </w:rPr>
        <w:t xml:space="preserve">21. </w:t>
      </w:r>
      <w:r w:rsidRPr="0075146E">
        <w:rPr>
          <w:color w:val="auto"/>
        </w:rPr>
        <w:tab/>
        <w:t xml:space="preserve">N. Diotel, </w:t>
      </w:r>
      <w:r w:rsidRPr="0075146E">
        <w:rPr>
          <w:i/>
          <w:iCs/>
          <w:color w:val="auto"/>
        </w:rPr>
        <w:t>et al.</w:t>
      </w:r>
      <w:r w:rsidRPr="0075146E">
        <w:rPr>
          <w:color w:val="auto"/>
        </w:rPr>
        <w:t xml:space="preserve">, Steroid Transport, Local Synthesis, and Signaling within the Brain: Roles in Neurogenesis, Neuroprotection, and Sexual Behaviors. </w:t>
      </w:r>
      <w:r w:rsidRPr="0075146E">
        <w:rPr>
          <w:i/>
          <w:iCs/>
          <w:color w:val="auto"/>
        </w:rPr>
        <w:t>Front Neurosci</w:t>
      </w:r>
      <w:r w:rsidRPr="0075146E">
        <w:rPr>
          <w:color w:val="auto"/>
        </w:rPr>
        <w:t xml:space="preserve"> </w:t>
      </w:r>
      <w:r w:rsidRPr="0075146E">
        <w:rPr>
          <w:b/>
          <w:bCs/>
          <w:color w:val="auto"/>
        </w:rPr>
        <w:t>12</w:t>
      </w:r>
      <w:r w:rsidRPr="0075146E">
        <w:rPr>
          <w:color w:val="auto"/>
        </w:rPr>
        <w:t>, 84 (2018).</w:t>
      </w:r>
    </w:p>
    <w:p w14:paraId="7B62C58D" w14:textId="77777777" w:rsidR="0075146E" w:rsidRPr="0075146E" w:rsidRDefault="0075146E" w:rsidP="0075146E">
      <w:pPr>
        <w:pStyle w:val="Bibliography"/>
        <w:rPr>
          <w:color w:val="auto"/>
        </w:rPr>
      </w:pPr>
      <w:r w:rsidRPr="0075146E">
        <w:rPr>
          <w:color w:val="auto"/>
        </w:rPr>
        <w:t xml:space="preserve">22. </w:t>
      </w:r>
      <w:r w:rsidRPr="0075146E">
        <w:rPr>
          <w:color w:val="auto"/>
        </w:rPr>
        <w:tab/>
        <w:t xml:space="preserve">N. Diotel, </w:t>
      </w:r>
      <w:r w:rsidRPr="0075146E">
        <w:rPr>
          <w:i/>
          <w:iCs/>
          <w:color w:val="auto"/>
        </w:rPr>
        <w:t>et al.</w:t>
      </w:r>
      <w:r w:rsidRPr="0075146E">
        <w:rPr>
          <w:color w:val="auto"/>
        </w:rPr>
        <w:t xml:space="preserve">, Effects of estradiol in adult neurogenesis and brain repair in zebrafish. </w:t>
      </w:r>
      <w:r w:rsidRPr="0075146E">
        <w:rPr>
          <w:i/>
          <w:iCs/>
          <w:color w:val="auto"/>
        </w:rPr>
        <w:t>Hormones and Behavior</w:t>
      </w:r>
      <w:r w:rsidRPr="0075146E">
        <w:rPr>
          <w:color w:val="auto"/>
        </w:rPr>
        <w:t xml:space="preserve"> </w:t>
      </w:r>
      <w:r w:rsidRPr="0075146E">
        <w:rPr>
          <w:b/>
          <w:bCs/>
          <w:color w:val="auto"/>
        </w:rPr>
        <w:t>63</w:t>
      </w:r>
      <w:r w:rsidRPr="0075146E">
        <w:rPr>
          <w:color w:val="auto"/>
        </w:rPr>
        <w:t>, 193–207 (2013).</w:t>
      </w:r>
    </w:p>
    <w:p w14:paraId="1741AC0F" w14:textId="77777777" w:rsidR="0075146E" w:rsidRPr="0075146E" w:rsidRDefault="0075146E" w:rsidP="0075146E">
      <w:pPr>
        <w:pStyle w:val="Bibliography"/>
        <w:rPr>
          <w:color w:val="auto"/>
        </w:rPr>
      </w:pPr>
      <w:r w:rsidRPr="0075146E">
        <w:rPr>
          <w:color w:val="auto"/>
        </w:rPr>
        <w:t xml:space="preserve">23. </w:t>
      </w:r>
      <w:r w:rsidRPr="0075146E">
        <w:rPr>
          <w:color w:val="auto"/>
        </w:rPr>
        <w:tab/>
        <w:t xml:space="preserve">J. Briscoe, </w:t>
      </w:r>
      <w:r w:rsidRPr="0075146E">
        <w:rPr>
          <w:i/>
          <w:iCs/>
          <w:color w:val="auto"/>
        </w:rPr>
        <w:t>et al.</w:t>
      </w:r>
      <w:r w:rsidRPr="0075146E">
        <w:rPr>
          <w:color w:val="auto"/>
        </w:rPr>
        <w:t xml:space="preserve">, Homeobox gene Nkx2.2 and specification of neuronal identity by graded Sonic hedgehog signalling. </w:t>
      </w:r>
      <w:r w:rsidRPr="0075146E">
        <w:rPr>
          <w:i/>
          <w:iCs/>
          <w:color w:val="auto"/>
        </w:rPr>
        <w:t>Nature</w:t>
      </w:r>
      <w:r w:rsidRPr="0075146E">
        <w:rPr>
          <w:color w:val="auto"/>
        </w:rPr>
        <w:t xml:space="preserve"> </w:t>
      </w:r>
      <w:r w:rsidRPr="0075146E">
        <w:rPr>
          <w:b/>
          <w:bCs/>
          <w:color w:val="auto"/>
        </w:rPr>
        <w:t>398</w:t>
      </w:r>
      <w:r w:rsidRPr="0075146E">
        <w:rPr>
          <w:color w:val="auto"/>
        </w:rPr>
        <w:t>, 622–627 (1999).</w:t>
      </w:r>
    </w:p>
    <w:p w14:paraId="4D727C43" w14:textId="77777777" w:rsidR="0075146E" w:rsidRPr="0075146E" w:rsidRDefault="0075146E" w:rsidP="0075146E">
      <w:pPr>
        <w:pStyle w:val="Bibliography"/>
        <w:rPr>
          <w:color w:val="auto"/>
        </w:rPr>
      </w:pPr>
      <w:r w:rsidRPr="0075146E">
        <w:rPr>
          <w:color w:val="auto"/>
        </w:rPr>
        <w:t xml:space="preserve">24. </w:t>
      </w:r>
      <w:r w:rsidRPr="0075146E">
        <w:rPr>
          <w:color w:val="auto"/>
        </w:rPr>
        <w:tab/>
        <w:t xml:space="preserve">N. Hagiwara, Sox6, jack of all trades: A versatile regulatory protein in vertebrate development. </w:t>
      </w:r>
      <w:r w:rsidRPr="0075146E">
        <w:rPr>
          <w:i/>
          <w:iCs/>
          <w:color w:val="auto"/>
        </w:rPr>
        <w:t>Developmental Dynamics</w:t>
      </w:r>
      <w:r w:rsidRPr="0075146E">
        <w:rPr>
          <w:color w:val="auto"/>
        </w:rPr>
        <w:t xml:space="preserve"> </w:t>
      </w:r>
      <w:r w:rsidRPr="0075146E">
        <w:rPr>
          <w:b/>
          <w:bCs/>
          <w:color w:val="auto"/>
        </w:rPr>
        <w:t>240</w:t>
      </w:r>
      <w:r w:rsidRPr="0075146E">
        <w:rPr>
          <w:color w:val="auto"/>
        </w:rPr>
        <w:t>, 1311–1321 (2011).</w:t>
      </w:r>
    </w:p>
    <w:p w14:paraId="3C15F4C0" w14:textId="77777777" w:rsidR="0075146E" w:rsidRPr="0075146E" w:rsidRDefault="0075146E" w:rsidP="0075146E">
      <w:pPr>
        <w:pStyle w:val="Bibliography"/>
        <w:rPr>
          <w:color w:val="auto"/>
        </w:rPr>
      </w:pPr>
      <w:r w:rsidRPr="0075146E">
        <w:rPr>
          <w:color w:val="auto"/>
        </w:rPr>
        <w:t xml:space="preserve">25. </w:t>
      </w:r>
      <w:r w:rsidRPr="0075146E">
        <w:rPr>
          <w:color w:val="auto"/>
        </w:rPr>
        <w:tab/>
        <w:t xml:space="preserve">M. Co, A. G. Anderson, G. Konopka, FOXP transcription factors in vertebrate brain development, function, and disorders. </w:t>
      </w:r>
      <w:r w:rsidRPr="0075146E">
        <w:rPr>
          <w:i/>
          <w:iCs/>
          <w:color w:val="auto"/>
        </w:rPr>
        <w:t>WIREs Developmental Biology</w:t>
      </w:r>
      <w:r w:rsidRPr="0075146E">
        <w:rPr>
          <w:color w:val="auto"/>
        </w:rPr>
        <w:t xml:space="preserve"> </w:t>
      </w:r>
      <w:r w:rsidRPr="0075146E">
        <w:rPr>
          <w:b/>
          <w:bCs/>
          <w:color w:val="auto"/>
        </w:rPr>
        <w:t>9</w:t>
      </w:r>
      <w:r w:rsidRPr="0075146E">
        <w:rPr>
          <w:color w:val="auto"/>
        </w:rPr>
        <w:t>, e375 (2020).</w:t>
      </w:r>
    </w:p>
    <w:p w14:paraId="315B3E7F" w14:textId="77777777" w:rsidR="0075146E" w:rsidRPr="0075146E" w:rsidRDefault="0075146E" w:rsidP="0075146E">
      <w:pPr>
        <w:pStyle w:val="Bibliography"/>
        <w:rPr>
          <w:color w:val="auto"/>
        </w:rPr>
      </w:pPr>
      <w:r w:rsidRPr="0075146E">
        <w:rPr>
          <w:color w:val="auto"/>
        </w:rPr>
        <w:t xml:space="preserve">26. </w:t>
      </w:r>
      <w:r w:rsidRPr="0075146E">
        <w:rPr>
          <w:color w:val="auto"/>
        </w:rPr>
        <w:tab/>
        <w:t xml:space="preserve">A. Alzu’bi, </w:t>
      </w:r>
      <w:r w:rsidRPr="0075146E">
        <w:rPr>
          <w:i/>
          <w:iCs/>
          <w:color w:val="auto"/>
        </w:rPr>
        <w:t>et al.</w:t>
      </w:r>
      <w:r w:rsidRPr="0075146E">
        <w:rPr>
          <w:color w:val="auto"/>
        </w:rPr>
        <w:t xml:space="preserve">, The Transcription Factors COUP-TFI and COUP-TFII have Distinct Roles in Arealisation and GABAergic Interneuron Specification in the Early Human Fetal Telencephalon. </w:t>
      </w:r>
      <w:r w:rsidRPr="0075146E">
        <w:rPr>
          <w:i/>
          <w:iCs/>
          <w:color w:val="auto"/>
        </w:rPr>
        <w:t>Cereb Cortex</w:t>
      </w:r>
      <w:r w:rsidRPr="0075146E">
        <w:rPr>
          <w:color w:val="auto"/>
        </w:rPr>
        <w:t xml:space="preserve"> </w:t>
      </w:r>
      <w:r w:rsidRPr="0075146E">
        <w:rPr>
          <w:b/>
          <w:bCs/>
          <w:color w:val="auto"/>
        </w:rPr>
        <w:t>27</w:t>
      </w:r>
      <w:r w:rsidRPr="0075146E">
        <w:rPr>
          <w:color w:val="auto"/>
        </w:rPr>
        <w:t>, 4971–4987 (2017).</w:t>
      </w:r>
    </w:p>
    <w:p w14:paraId="14795253" w14:textId="77777777" w:rsidR="0075146E" w:rsidRPr="0075146E" w:rsidRDefault="0075146E" w:rsidP="0075146E">
      <w:pPr>
        <w:pStyle w:val="Bibliography"/>
        <w:rPr>
          <w:color w:val="auto"/>
        </w:rPr>
      </w:pPr>
      <w:r w:rsidRPr="0075146E">
        <w:rPr>
          <w:color w:val="auto"/>
        </w:rPr>
        <w:t xml:space="preserve">27. </w:t>
      </w:r>
      <w:r w:rsidRPr="0075146E">
        <w:rPr>
          <w:color w:val="auto"/>
        </w:rPr>
        <w:tab/>
        <w:t xml:space="preserve">B. J. Dean, B. Erdogan, J. T. Gamse, S.-Y. Wu, Dbx1b defines the dorsal habenular progenitor domain in the zebrafish epithalamus. </w:t>
      </w:r>
      <w:r w:rsidRPr="0075146E">
        <w:rPr>
          <w:i/>
          <w:iCs/>
          <w:color w:val="auto"/>
        </w:rPr>
        <w:t>Neural Dev</w:t>
      </w:r>
      <w:r w:rsidRPr="0075146E">
        <w:rPr>
          <w:color w:val="auto"/>
        </w:rPr>
        <w:t xml:space="preserve"> </w:t>
      </w:r>
      <w:r w:rsidRPr="0075146E">
        <w:rPr>
          <w:b/>
          <w:bCs/>
          <w:color w:val="auto"/>
        </w:rPr>
        <w:t>9</w:t>
      </w:r>
      <w:r w:rsidRPr="0075146E">
        <w:rPr>
          <w:color w:val="auto"/>
        </w:rPr>
        <w:t>, 20 (2014).</w:t>
      </w:r>
    </w:p>
    <w:p w14:paraId="0D57F8DF" w14:textId="77777777" w:rsidR="0075146E" w:rsidRPr="0075146E" w:rsidRDefault="0075146E" w:rsidP="0075146E">
      <w:pPr>
        <w:pStyle w:val="Bibliography"/>
        <w:rPr>
          <w:color w:val="auto"/>
        </w:rPr>
      </w:pPr>
      <w:r w:rsidRPr="0075146E">
        <w:rPr>
          <w:color w:val="auto"/>
        </w:rPr>
        <w:t xml:space="preserve">28. </w:t>
      </w:r>
      <w:r w:rsidRPr="0075146E">
        <w:rPr>
          <w:color w:val="auto"/>
        </w:rPr>
        <w:tab/>
        <w:t xml:space="preserve">M. Keleş, A. Gunel-Ozcan, HOX and MEINOX in cellular plasticity, fibrosis, and cancer. </w:t>
      </w:r>
      <w:r w:rsidRPr="0075146E">
        <w:rPr>
          <w:i/>
          <w:iCs/>
          <w:color w:val="auto"/>
        </w:rPr>
        <w:t>World J Stem Cells</w:t>
      </w:r>
      <w:r w:rsidRPr="0075146E">
        <w:rPr>
          <w:color w:val="auto"/>
        </w:rPr>
        <w:t xml:space="preserve"> </w:t>
      </w:r>
      <w:r w:rsidRPr="0075146E">
        <w:rPr>
          <w:b/>
          <w:bCs/>
          <w:color w:val="auto"/>
        </w:rPr>
        <w:t>17</w:t>
      </w:r>
      <w:r w:rsidRPr="0075146E">
        <w:rPr>
          <w:color w:val="auto"/>
        </w:rPr>
        <w:t>, 109102 (2025).</w:t>
      </w:r>
    </w:p>
    <w:p w14:paraId="02F337C4" w14:textId="77777777" w:rsidR="0075146E" w:rsidRPr="0075146E" w:rsidRDefault="0075146E" w:rsidP="0075146E">
      <w:pPr>
        <w:pStyle w:val="Bibliography"/>
        <w:rPr>
          <w:color w:val="auto"/>
        </w:rPr>
      </w:pPr>
      <w:r w:rsidRPr="0075146E">
        <w:rPr>
          <w:color w:val="auto"/>
        </w:rPr>
        <w:lastRenderedPageBreak/>
        <w:t xml:space="preserve">29. </w:t>
      </w:r>
      <w:r w:rsidRPr="0075146E">
        <w:rPr>
          <w:color w:val="auto"/>
        </w:rPr>
        <w:tab/>
        <w:t xml:space="preserve">S. Fischer, L. M. Weber, R. Liefke, Evolutionary adaptation of the Polycomb repressive complex 2. </w:t>
      </w:r>
      <w:r w:rsidRPr="0075146E">
        <w:rPr>
          <w:i/>
          <w:iCs/>
          <w:color w:val="auto"/>
        </w:rPr>
        <w:t>Epigenetics &amp; Chromatin</w:t>
      </w:r>
      <w:r w:rsidRPr="0075146E">
        <w:rPr>
          <w:color w:val="auto"/>
        </w:rPr>
        <w:t xml:space="preserve"> </w:t>
      </w:r>
      <w:r w:rsidRPr="0075146E">
        <w:rPr>
          <w:b/>
          <w:bCs/>
          <w:color w:val="auto"/>
        </w:rPr>
        <w:t>15</w:t>
      </w:r>
      <w:r w:rsidRPr="0075146E">
        <w:rPr>
          <w:color w:val="auto"/>
        </w:rPr>
        <w:t>, 7 (2022).</w:t>
      </w:r>
    </w:p>
    <w:p w14:paraId="47AF08E2" w14:textId="77777777" w:rsidR="0075146E" w:rsidRPr="0075146E" w:rsidRDefault="0075146E" w:rsidP="0075146E">
      <w:pPr>
        <w:pStyle w:val="Bibliography"/>
        <w:rPr>
          <w:color w:val="auto"/>
        </w:rPr>
      </w:pPr>
      <w:r w:rsidRPr="0075146E">
        <w:rPr>
          <w:color w:val="auto"/>
        </w:rPr>
        <w:t xml:space="preserve">30. </w:t>
      </w:r>
      <w:r w:rsidRPr="0075146E">
        <w:rPr>
          <w:color w:val="auto"/>
        </w:rPr>
        <w:tab/>
        <w:t xml:space="preserve">T. Brethouwer, A. de Mendoza, O. Bogdanovic, Non-CG DNA methylation in animal genomes. </w:t>
      </w:r>
      <w:r w:rsidRPr="0075146E">
        <w:rPr>
          <w:i/>
          <w:iCs/>
          <w:color w:val="auto"/>
        </w:rPr>
        <w:t>Nat Genet</w:t>
      </w:r>
      <w:r w:rsidRPr="0075146E">
        <w:rPr>
          <w:color w:val="auto"/>
        </w:rPr>
        <w:t xml:space="preserve"> </w:t>
      </w:r>
      <w:r w:rsidRPr="0075146E">
        <w:rPr>
          <w:b/>
          <w:bCs/>
          <w:color w:val="auto"/>
        </w:rPr>
        <w:t>57</w:t>
      </w:r>
      <w:r w:rsidRPr="0075146E">
        <w:rPr>
          <w:color w:val="auto"/>
        </w:rPr>
        <w:t>, 2395–2407 (2025).</w:t>
      </w:r>
    </w:p>
    <w:p w14:paraId="20F4A62A" w14:textId="77777777" w:rsidR="0075146E" w:rsidRPr="0075146E" w:rsidRDefault="0075146E" w:rsidP="0075146E">
      <w:pPr>
        <w:pStyle w:val="Bibliography"/>
        <w:rPr>
          <w:color w:val="auto"/>
        </w:rPr>
      </w:pPr>
      <w:r w:rsidRPr="0075146E">
        <w:rPr>
          <w:color w:val="auto"/>
        </w:rPr>
        <w:t xml:space="preserve">31. </w:t>
      </w:r>
      <w:r w:rsidRPr="0075146E">
        <w:rPr>
          <w:color w:val="auto"/>
        </w:rPr>
        <w:tab/>
        <w:t xml:space="preserve">G. S. Gulati, </w:t>
      </w:r>
      <w:r w:rsidRPr="0075146E">
        <w:rPr>
          <w:i/>
          <w:iCs/>
          <w:color w:val="auto"/>
        </w:rPr>
        <w:t>et al.</w:t>
      </w:r>
      <w:r w:rsidRPr="0075146E">
        <w:rPr>
          <w:color w:val="auto"/>
        </w:rPr>
        <w:t xml:space="preserve">, Single-cell transcriptional diversity is a hallmark of developmental potential. </w:t>
      </w:r>
      <w:r w:rsidRPr="0075146E">
        <w:rPr>
          <w:i/>
          <w:iCs/>
          <w:color w:val="auto"/>
        </w:rPr>
        <w:t>Science</w:t>
      </w:r>
      <w:r w:rsidRPr="0075146E">
        <w:rPr>
          <w:color w:val="auto"/>
        </w:rPr>
        <w:t xml:space="preserve"> </w:t>
      </w:r>
      <w:r w:rsidRPr="0075146E">
        <w:rPr>
          <w:b/>
          <w:bCs/>
          <w:color w:val="auto"/>
        </w:rPr>
        <w:t>367</w:t>
      </w:r>
      <w:r w:rsidRPr="0075146E">
        <w:rPr>
          <w:color w:val="auto"/>
        </w:rPr>
        <w:t>, 405–411 (2020).</w:t>
      </w:r>
    </w:p>
    <w:p w14:paraId="64975E7D" w14:textId="77777777" w:rsidR="0075146E" w:rsidRPr="0075146E" w:rsidRDefault="0075146E" w:rsidP="0075146E">
      <w:pPr>
        <w:pStyle w:val="Bibliography"/>
        <w:rPr>
          <w:color w:val="auto"/>
        </w:rPr>
      </w:pPr>
      <w:r w:rsidRPr="0075146E">
        <w:rPr>
          <w:color w:val="auto"/>
        </w:rPr>
        <w:t xml:space="preserve">32. </w:t>
      </w:r>
      <w:r w:rsidRPr="0075146E">
        <w:rPr>
          <w:color w:val="auto"/>
        </w:rPr>
        <w:tab/>
        <w:t xml:space="preserve">L. Hollander-Cohen, M. Golan, B. Levavi-Sivan, Differential Regulation of Gonadotropins as Revealed by Transcriptomes of Distinct LH and FSH Cells of Fish Pituitary. </w:t>
      </w:r>
      <w:r w:rsidRPr="0075146E">
        <w:rPr>
          <w:i/>
          <w:iCs/>
          <w:color w:val="auto"/>
        </w:rPr>
        <w:t>Int J Mol Sci</w:t>
      </w:r>
      <w:r w:rsidRPr="0075146E">
        <w:rPr>
          <w:color w:val="auto"/>
        </w:rPr>
        <w:t xml:space="preserve"> </w:t>
      </w:r>
      <w:r w:rsidRPr="0075146E">
        <w:rPr>
          <w:b/>
          <w:bCs/>
          <w:color w:val="auto"/>
        </w:rPr>
        <w:t>22</w:t>
      </w:r>
      <w:r w:rsidRPr="0075146E">
        <w:rPr>
          <w:color w:val="auto"/>
        </w:rPr>
        <w:t>, 6478 (2021).</w:t>
      </w:r>
    </w:p>
    <w:p w14:paraId="1E10DB52" w14:textId="77777777" w:rsidR="0075146E" w:rsidRPr="0075146E" w:rsidRDefault="0075146E" w:rsidP="0075146E">
      <w:pPr>
        <w:pStyle w:val="Bibliography"/>
        <w:rPr>
          <w:color w:val="auto"/>
        </w:rPr>
      </w:pPr>
      <w:r w:rsidRPr="0075146E">
        <w:rPr>
          <w:color w:val="auto"/>
        </w:rPr>
        <w:t xml:space="preserve">33. </w:t>
      </w:r>
      <w:r w:rsidRPr="0075146E">
        <w:rPr>
          <w:color w:val="auto"/>
        </w:rPr>
        <w:tab/>
        <w:t xml:space="preserve">A. Campo, S. Dufour, K. Rousseau, Tachykinins, new players in the control of reproduction and food intake: A comparative review in mammals and teleosts. </w:t>
      </w:r>
      <w:r w:rsidRPr="0075146E">
        <w:rPr>
          <w:i/>
          <w:iCs/>
          <w:color w:val="auto"/>
        </w:rPr>
        <w:t>Front. Endocrinol.</w:t>
      </w:r>
      <w:r w:rsidRPr="0075146E">
        <w:rPr>
          <w:color w:val="auto"/>
        </w:rPr>
        <w:t xml:space="preserve"> </w:t>
      </w:r>
      <w:r w:rsidRPr="0075146E">
        <w:rPr>
          <w:b/>
          <w:bCs/>
          <w:color w:val="auto"/>
        </w:rPr>
        <w:t>13</w:t>
      </w:r>
      <w:r w:rsidRPr="0075146E">
        <w:rPr>
          <w:color w:val="auto"/>
        </w:rPr>
        <w:t xml:space="preserve"> (2022).</w:t>
      </w:r>
    </w:p>
    <w:p w14:paraId="07BAA093" w14:textId="77777777" w:rsidR="0075146E" w:rsidRPr="0075146E" w:rsidRDefault="0075146E" w:rsidP="0075146E">
      <w:pPr>
        <w:pStyle w:val="Bibliography"/>
        <w:rPr>
          <w:color w:val="auto"/>
        </w:rPr>
      </w:pPr>
      <w:r w:rsidRPr="0075146E">
        <w:rPr>
          <w:color w:val="auto"/>
        </w:rPr>
        <w:t xml:space="preserve">34. </w:t>
      </w:r>
      <w:r w:rsidRPr="0075146E">
        <w:rPr>
          <w:color w:val="auto"/>
        </w:rPr>
        <w:tab/>
        <w:t xml:space="preserve">V. L. Trudeau, Neuroendocrine Control of Reproduction in Teleost Fish: Concepts and Controversies. </w:t>
      </w:r>
      <w:r w:rsidRPr="0075146E">
        <w:rPr>
          <w:i/>
          <w:iCs/>
          <w:color w:val="auto"/>
        </w:rPr>
        <w:t>Annual Review of Animal Biosciences</w:t>
      </w:r>
      <w:r w:rsidRPr="0075146E">
        <w:rPr>
          <w:color w:val="auto"/>
        </w:rPr>
        <w:t xml:space="preserve"> </w:t>
      </w:r>
      <w:r w:rsidRPr="0075146E">
        <w:rPr>
          <w:b/>
          <w:bCs/>
          <w:color w:val="auto"/>
        </w:rPr>
        <w:t>10</w:t>
      </w:r>
      <w:r w:rsidRPr="0075146E">
        <w:rPr>
          <w:color w:val="auto"/>
        </w:rPr>
        <w:t>, 107–130 (2022).</w:t>
      </w:r>
    </w:p>
    <w:p w14:paraId="1DAEDB54" w14:textId="77777777" w:rsidR="0075146E" w:rsidRPr="0075146E" w:rsidRDefault="0075146E" w:rsidP="0075146E">
      <w:pPr>
        <w:pStyle w:val="Bibliography"/>
        <w:rPr>
          <w:color w:val="auto"/>
        </w:rPr>
      </w:pPr>
      <w:r w:rsidRPr="0075146E">
        <w:rPr>
          <w:color w:val="auto"/>
        </w:rPr>
        <w:t xml:space="preserve">35. </w:t>
      </w:r>
      <w:r w:rsidRPr="0075146E">
        <w:rPr>
          <w:color w:val="auto"/>
        </w:rPr>
        <w:tab/>
        <w:t xml:space="preserve">L. H. Cohen, </w:t>
      </w:r>
      <w:r w:rsidRPr="0075146E">
        <w:rPr>
          <w:i/>
          <w:iCs/>
          <w:color w:val="auto"/>
        </w:rPr>
        <w:t>et al.</w:t>
      </w:r>
      <w:r w:rsidRPr="0075146E">
        <w:rPr>
          <w:color w:val="auto"/>
        </w:rPr>
        <w:t xml:space="preserve">, The satiety hormone cholecystokinin gates reproduction in fish by controlling gonadotropin secretion. </w:t>
      </w:r>
      <w:r w:rsidRPr="0075146E">
        <w:rPr>
          <w:i/>
          <w:iCs/>
          <w:color w:val="auto"/>
        </w:rPr>
        <w:t>eLife</w:t>
      </w:r>
      <w:r w:rsidRPr="0075146E">
        <w:rPr>
          <w:color w:val="auto"/>
        </w:rPr>
        <w:t xml:space="preserve"> </w:t>
      </w:r>
      <w:r w:rsidRPr="0075146E">
        <w:rPr>
          <w:b/>
          <w:bCs/>
          <w:color w:val="auto"/>
        </w:rPr>
        <w:t>13</w:t>
      </w:r>
      <w:r w:rsidRPr="0075146E">
        <w:rPr>
          <w:color w:val="auto"/>
        </w:rPr>
        <w:t xml:space="preserve"> (2024).</w:t>
      </w:r>
    </w:p>
    <w:p w14:paraId="5820FAA2" w14:textId="77777777" w:rsidR="0075146E" w:rsidRPr="0075146E" w:rsidRDefault="0075146E" w:rsidP="0075146E">
      <w:pPr>
        <w:pStyle w:val="Bibliography"/>
        <w:rPr>
          <w:color w:val="auto"/>
        </w:rPr>
      </w:pPr>
      <w:r w:rsidRPr="0075146E">
        <w:rPr>
          <w:color w:val="auto"/>
        </w:rPr>
        <w:t xml:space="preserve">36. </w:t>
      </w:r>
      <w:r w:rsidRPr="0075146E">
        <w:rPr>
          <w:color w:val="auto"/>
        </w:rPr>
        <w:tab/>
        <w:t xml:space="preserve">S. K. Uehara, </w:t>
      </w:r>
      <w:r w:rsidRPr="0075146E">
        <w:rPr>
          <w:i/>
          <w:iCs/>
          <w:color w:val="auto"/>
        </w:rPr>
        <w:t>et al.</w:t>
      </w:r>
      <w:r w:rsidRPr="0075146E">
        <w:rPr>
          <w:color w:val="auto"/>
        </w:rPr>
        <w:t xml:space="preserve">, Identification of the FSH-RH as the other gonadotropin-releasing hormone. </w:t>
      </w:r>
      <w:r w:rsidRPr="0075146E">
        <w:rPr>
          <w:i/>
          <w:iCs/>
          <w:color w:val="auto"/>
        </w:rPr>
        <w:t>Nat Commun</w:t>
      </w:r>
      <w:r w:rsidRPr="0075146E">
        <w:rPr>
          <w:color w:val="auto"/>
        </w:rPr>
        <w:t xml:space="preserve"> </w:t>
      </w:r>
      <w:r w:rsidRPr="0075146E">
        <w:rPr>
          <w:b/>
          <w:bCs/>
          <w:color w:val="auto"/>
        </w:rPr>
        <w:t>15</w:t>
      </w:r>
      <w:r w:rsidRPr="0075146E">
        <w:rPr>
          <w:color w:val="auto"/>
        </w:rPr>
        <w:t>, 5342 (2024).</w:t>
      </w:r>
    </w:p>
    <w:p w14:paraId="043BFFE2" w14:textId="77777777" w:rsidR="0075146E" w:rsidRPr="0075146E" w:rsidRDefault="0075146E" w:rsidP="0075146E">
      <w:pPr>
        <w:pStyle w:val="Bibliography"/>
        <w:rPr>
          <w:color w:val="auto"/>
        </w:rPr>
      </w:pPr>
      <w:r w:rsidRPr="0075146E">
        <w:rPr>
          <w:color w:val="auto"/>
        </w:rPr>
        <w:t xml:space="preserve">37. </w:t>
      </w:r>
      <w:r w:rsidRPr="0075146E">
        <w:rPr>
          <w:color w:val="auto"/>
        </w:rPr>
        <w:tab/>
        <w:t xml:space="preserve">J. Xu, </w:t>
      </w:r>
      <w:r w:rsidRPr="0075146E">
        <w:rPr>
          <w:i/>
          <w:iCs/>
          <w:color w:val="auto"/>
        </w:rPr>
        <w:t>et al.</w:t>
      </w:r>
      <w:r w:rsidRPr="0075146E">
        <w:rPr>
          <w:color w:val="auto"/>
        </w:rPr>
        <w:t xml:space="preserve">, Ccdc85c-Par3 condensates couple cell polarity with Notch to control neural progenitor proliferation. </w:t>
      </w:r>
      <w:r w:rsidRPr="0075146E">
        <w:rPr>
          <w:i/>
          <w:iCs/>
          <w:color w:val="auto"/>
        </w:rPr>
        <w:t>Cell Rep</w:t>
      </w:r>
      <w:r w:rsidRPr="0075146E">
        <w:rPr>
          <w:color w:val="auto"/>
        </w:rPr>
        <w:t xml:space="preserve"> </w:t>
      </w:r>
      <w:r w:rsidRPr="0075146E">
        <w:rPr>
          <w:b/>
          <w:bCs/>
          <w:color w:val="auto"/>
        </w:rPr>
        <w:t>42</w:t>
      </w:r>
      <w:r w:rsidRPr="0075146E">
        <w:rPr>
          <w:color w:val="auto"/>
        </w:rPr>
        <w:t>, 112677 (2023).</w:t>
      </w:r>
    </w:p>
    <w:p w14:paraId="0CD42B37" w14:textId="77777777" w:rsidR="0075146E" w:rsidRPr="0075146E" w:rsidRDefault="0075146E" w:rsidP="0075146E">
      <w:pPr>
        <w:pStyle w:val="Bibliography"/>
        <w:rPr>
          <w:color w:val="auto"/>
        </w:rPr>
      </w:pPr>
      <w:r w:rsidRPr="0075146E">
        <w:rPr>
          <w:color w:val="auto"/>
        </w:rPr>
        <w:t xml:space="preserve">38. </w:t>
      </w:r>
      <w:r w:rsidRPr="0075146E">
        <w:rPr>
          <w:color w:val="auto"/>
        </w:rPr>
        <w:tab/>
        <w:t xml:space="preserve">S. Simó, Y. Jossin, J. A. Cooper, Cullin 5 Regulates Cortical Layering by Modulating the Speed and Duration of Dab1-Dependent Neuronal Migration. </w:t>
      </w:r>
      <w:r w:rsidRPr="0075146E">
        <w:rPr>
          <w:i/>
          <w:iCs/>
          <w:color w:val="auto"/>
        </w:rPr>
        <w:t>J. Neurosci.</w:t>
      </w:r>
      <w:r w:rsidRPr="0075146E">
        <w:rPr>
          <w:color w:val="auto"/>
        </w:rPr>
        <w:t xml:space="preserve"> </w:t>
      </w:r>
      <w:r w:rsidRPr="0075146E">
        <w:rPr>
          <w:b/>
          <w:bCs/>
          <w:color w:val="auto"/>
        </w:rPr>
        <w:t>30</w:t>
      </w:r>
      <w:r w:rsidRPr="0075146E">
        <w:rPr>
          <w:color w:val="auto"/>
        </w:rPr>
        <w:t>, 5668–5676 (2010).</w:t>
      </w:r>
    </w:p>
    <w:p w14:paraId="428A939A" w14:textId="77777777" w:rsidR="0075146E" w:rsidRPr="0075146E" w:rsidRDefault="0075146E" w:rsidP="0075146E">
      <w:pPr>
        <w:pStyle w:val="Bibliography"/>
        <w:rPr>
          <w:color w:val="auto"/>
        </w:rPr>
      </w:pPr>
      <w:r w:rsidRPr="0075146E">
        <w:rPr>
          <w:color w:val="auto"/>
        </w:rPr>
        <w:t xml:space="preserve">39. </w:t>
      </w:r>
      <w:r w:rsidRPr="0075146E">
        <w:rPr>
          <w:color w:val="auto"/>
        </w:rPr>
        <w:tab/>
        <w:t xml:space="preserve">X. Han, </w:t>
      </w:r>
      <w:r w:rsidRPr="0075146E">
        <w:rPr>
          <w:i/>
          <w:iCs/>
          <w:color w:val="auto"/>
        </w:rPr>
        <w:t>et al.</w:t>
      </w:r>
      <w:r w:rsidRPr="0075146E">
        <w:rPr>
          <w:color w:val="auto"/>
        </w:rPr>
        <w:t xml:space="preserve">, Mapping human pluripotent stem cell differentiation pathways using high throughput single-cell RNA-sequencing. </w:t>
      </w:r>
      <w:r w:rsidRPr="0075146E">
        <w:rPr>
          <w:i/>
          <w:iCs/>
          <w:color w:val="auto"/>
        </w:rPr>
        <w:t>Genome Biol</w:t>
      </w:r>
      <w:r w:rsidRPr="0075146E">
        <w:rPr>
          <w:color w:val="auto"/>
        </w:rPr>
        <w:t xml:space="preserve"> </w:t>
      </w:r>
      <w:r w:rsidRPr="0075146E">
        <w:rPr>
          <w:b/>
          <w:bCs/>
          <w:color w:val="auto"/>
        </w:rPr>
        <w:t>19</w:t>
      </w:r>
      <w:r w:rsidRPr="0075146E">
        <w:rPr>
          <w:color w:val="auto"/>
        </w:rPr>
        <w:t>, 47 (2018).</w:t>
      </w:r>
    </w:p>
    <w:p w14:paraId="594D64BE" w14:textId="77777777" w:rsidR="0075146E" w:rsidRPr="0075146E" w:rsidRDefault="0075146E" w:rsidP="0075146E">
      <w:pPr>
        <w:pStyle w:val="Bibliography"/>
        <w:rPr>
          <w:color w:val="auto"/>
        </w:rPr>
      </w:pPr>
      <w:r w:rsidRPr="0075146E">
        <w:rPr>
          <w:color w:val="auto"/>
        </w:rPr>
        <w:t xml:space="preserve">40. </w:t>
      </w:r>
      <w:r w:rsidRPr="0075146E">
        <w:rPr>
          <w:color w:val="auto"/>
        </w:rPr>
        <w:tab/>
        <w:t xml:space="preserve">N. Sammeta, D. L. Hardin, T. S. McClintock, Uncx regulates proliferation of neural progenitor cells and neuronal survival in the olfactory epithelium. </w:t>
      </w:r>
      <w:r w:rsidRPr="0075146E">
        <w:rPr>
          <w:i/>
          <w:iCs/>
          <w:color w:val="auto"/>
        </w:rPr>
        <w:t>Molecular and Cellular Neuroscience</w:t>
      </w:r>
      <w:r w:rsidRPr="0075146E">
        <w:rPr>
          <w:color w:val="auto"/>
        </w:rPr>
        <w:t xml:space="preserve"> </w:t>
      </w:r>
      <w:r w:rsidRPr="0075146E">
        <w:rPr>
          <w:b/>
          <w:bCs/>
          <w:color w:val="auto"/>
        </w:rPr>
        <w:t>45</w:t>
      </w:r>
      <w:r w:rsidRPr="0075146E">
        <w:rPr>
          <w:color w:val="auto"/>
        </w:rPr>
        <w:t>, 398–407 (2010).</w:t>
      </w:r>
    </w:p>
    <w:p w14:paraId="091EB926" w14:textId="77777777" w:rsidR="0075146E" w:rsidRPr="0075146E" w:rsidRDefault="0075146E" w:rsidP="0075146E">
      <w:pPr>
        <w:pStyle w:val="Bibliography"/>
        <w:rPr>
          <w:color w:val="auto"/>
        </w:rPr>
      </w:pPr>
      <w:r w:rsidRPr="0075146E">
        <w:rPr>
          <w:color w:val="auto"/>
        </w:rPr>
        <w:t xml:space="preserve">41. </w:t>
      </w:r>
      <w:r w:rsidRPr="0075146E">
        <w:rPr>
          <w:color w:val="auto"/>
        </w:rPr>
        <w:tab/>
        <w:t xml:space="preserve">J. Aruga, K. Mikoshiba, Role of BMP, FGF, Calcium Signaling, and Zic Proteins in Vertebrate Neuroectodermal Differentiation. </w:t>
      </w:r>
      <w:r w:rsidRPr="0075146E">
        <w:rPr>
          <w:i/>
          <w:iCs/>
          <w:color w:val="auto"/>
        </w:rPr>
        <w:t>Neurochem Res</w:t>
      </w:r>
      <w:r w:rsidRPr="0075146E">
        <w:rPr>
          <w:color w:val="auto"/>
        </w:rPr>
        <w:t xml:space="preserve"> </w:t>
      </w:r>
      <w:r w:rsidRPr="0075146E">
        <w:rPr>
          <w:b/>
          <w:bCs/>
          <w:color w:val="auto"/>
        </w:rPr>
        <w:t>36</w:t>
      </w:r>
      <w:r w:rsidRPr="0075146E">
        <w:rPr>
          <w:color w:val="auto"/>
        </w:rPr>
        <w:t>, 1286–1292 (2011).</w:t>
      </w:r>
    </w:p>
    <w:p w14:paraId="7AB19E66" w14:textId="77777777" w:rsidR="0075146E" w:rsidRPr="0075146E" w:rsidRDefault="0075146E" w:rsidP="0075146E">
      <w:pPr>
        <w:pStyle w:val="Bibliography"/>
        <w:rPr>
          <w:color w:val="auto"/>
        </w:rPr>
      </w:pPr>
      <w:r w:rsidRPr="0075146E">
        <w:rPr>
          <w:color w:val="auto"/>
        </w:rPr>
        <w:t xml:space="preserve">42. </w:t>
      </w:r>
      <w:r w:rsidRPr="0075146E">
        <w:rPr>
          <w:color w:val="auto"/>
        </w:rPr>
        <w:tab/>
        <w:t xml:space="preserve">T. Inoue, M. Ota, M. Ogawa, K. Mikoshiba, J. Aruga, Zic1 and Zic3 regulate medial forebrain development through expansion of neuronal progenitors. </w:t>
      </w:r>
      <w:r w:rsidRPr="0075146E">
        <w:rPr>
          <w:i/>
          <w:iCs/>
          <w:color w:val="auto"/>
        </w:rPr>
        <w:t>J Neurosci</w:t>
      </w:r>
      <w:r w:rsidRPr="0075146E">
        <w:rPr>
          <w:color w:val="auto"/>
        </w:rPr>
        <w:t xml:space="preserve"> </w:t>
      </w:r>
      <w:r w:rsidRPr="0075146E">
        <w:rPr>
          <w:b/>
          <w:bCs/>
          <w:color w:val="auto"/>
        </w:rPr>
        <w:t>27</w:t>
      </w:r>
      <w:r w:rsidRPr="0075146E">
        <w:rPr>
          <w:color w:val="auto"/>
        </w:rPr>
        <w:t>, 5461–5473 (2007).</w:t>
      </w:r>
    </w:p>
    <w:p w14:paraId="0B16A6B8" w14:textId="77777777" w:rsidR="0075146E" w:rsidRPr="0075146E" w:rsidRDefault="0075146E" w:rsidP="0075146E">
      <w:pPr>
        <w:pStyle w:val="Bibliography"/>
        <w:rPr>
          <w:color w:val="auto"/>
        </w:rPr>
      </w:pPr>
      <w:r w:rsidRPr="0075146E">
        <w:rPr>
          <w:color w:val="auto"/>
        </w:rPr>
        <w:lastRenderedPageBreak/>
        <w:t xml:space="preserve">43. </w:t>
      </w:r>
      <w:r w:rsidRPr="0075146E">
        <w:rPr>
          <w:color w:val="auto"/>
        </w:rPr>
        <w:tab/>
        <w:t xml:space="preserve">E. V. Bashkirova, </w:t>
      </w:r>
      <w:r w:rsidRPr="0075146E">
        <w:rPr>
          <w:i/>
          <w:iCs/>
          <w:color w:val="auto"/>
        </w:rPr>
        <w:t>et al.</w:t>
      </w:r>
      <w:r w:rsidRPr="0075146E">
        <w:rPr>
          <w:color w:val="auto"/>
        </w:rPr>
        <w:t xml:space="preserve">, Opposing, spatially-determined epigenetic forces impose restrictions on stochastic olfactory receptor choice. </w:t>
      </w:r>
      <w:r w:rsidRPr="0075146E">
        <w:rPr>
          <w:i/>
          <w:iCs/>
          <w:color w:val="auto"/>
        </w:rPr>
        <w:t>eLife</w:t>
      </w:r>
      <w:r w:rsidRPr="0075146E">
        <w:rPr>
          <w:color w:val="auto"/>
        </w:rPr>
        <w:t xml:space="preserve"> </w:t>
      </w:r>
      <w:r w:rsidRPr="0075146E">
        <w:rPr>
          <w:b/>
          <w:bCs/>
          <w:color w:val="auto"/>
        </w:rPr>
        <w:t>12</w:t>
      </w:r>
      <w:r w:rsidRPr="0075146E">
        <w:rPr>
          <w:color w:val="auto"/>
        </w:rPr>
        <w:t>, RP87445 (2023).</w:t>
      </w:r>
    </w:p>
    <w:p w14:paraId="7F069777" w14:textId="77777777" w:rsidR="0075146E" w:rsidRPr="0075146E" w:rsidRDefault="0075146E" w:rsidP="0075146E">
      <w:pPr>
        <w:pStyle w:val="Bibliography"/>
        <w:rPr>
          <w:color w:val="auto"/>
        </w:rPr>
      </w:pPr>
      <w:r w:rsidRPr="0075146E">
        <w:rPr>
          <w:color w:val="auto"/>
        </w:rPr>
        <w:t xml:space="preserve">44. </w:t>
      </w:r>
      <w:r w:rsidRPr="0075146E">
        <w:rPr>
          <w:color w:val="auto"/>
        </w:rPr>
        <w:tab/>
        <w:t xml:space="preserve">C. R. Kramer, M. A. Imbriano, Neuropeptide Y (NPY) induces gonad reversal in the protogynous bluehead wrasse, Thalassoma bifasciatum (Teleostei: Labridae). </w:t>
      </w:r>
      <w:r w:rsidRPr="0075146E">
        <w:rPr>
          <w:i/>
          <w:iCs/>
          <w:color w:val="auto"/>
        </w:rPr>
        <w:t>Journal of Experimental Zoology</w:t>
      </w:r>
      <w:r w:rsidRPr="0075146E">
        <w:rPr>
          <w:color w:val="auto"/>
        </w:rPr>
        <w:t xml:space="preserve"> </w:t>
      </w:r>
      <w:r w:rsidRPr="0075146E">
        <w:rPr>
          <w:b/>
          <w:bCs/>
          <w:color w:val="auto"/>
        </w:rPr>
        <w:t>279</w:t>
      </w:r>
      <w:r w:rsidRPr="0075146E">
        <w:rPr>
          <w:color w:val="auto"/>
        </w:rPr>
        <w:t>, 133–144 (1997).</w:t>
      </w:r>
    </w:p>
    <w:p w14:paraId="3AED9A08" w14:textId="77777777" w:rsidR="0075146E" w:rsidRPr="0075146E" w:rsidRDefault="0075146E" w:rsidP="0075146E">
      <w:pPr>
        <w:pStyle w:val="Bibliography"/>
        <w:rPr>
          <w:color w:val="auto"/>
        </w:rPr>
      </w:pPr>
      <w:r w:rsidRPr="0075146E">
        <w:rPr>
          <w:color w:val="auto"/>
        </w:rPr>
        <w:t xml:space="preserve">45. </w:t>
      </w:r>
      <w:r w:rsidRPr="0075146E">
        <w:rPr>
          <w:color w:val="auto"/>
        </w:rPr>
        <w:tab/>
        <w:t xml:space="preserve">L. Casas, </w:t>
      </w:r>
      <w:r w:rsidRPr="0075146E">
        <w:rPr>
          <w:i/>
          <w:iCs/>
          <w:color w:val="auto"/>
        </w:rPr>
        <w:t>et al.</w:t>
      </w:r>
      <w:r w:rsidRPr="0075146E">
        <w:rPr>
          <w:color w:val="auto"/>
        </w:rPr>
        <w:t xml:space="preserve">, Sex Change in Clownfish: Molecular Insights from Transcriptome Analysis. </w:t>
      </w:r>
      <w:r w:rsidRPr="0075146E">
        <w:rPr>
          <w:i/>
          <w:iCs/>
          <w:color w:val="auto"/>
        </w:rPr>
        <w:t>Sci Rep</w:t>
      </w:r>
      <w:r w:rsidRPr="0075146E">
        <w:rPr>
          <w:color w:val="auto"/>
        </w:rPr>
        <w:t xml:space="preserve"> </w:t>
      </w:r>
      <w:r w:rsidRPr="0075146E">
        <w:rPr>
          <w:b/>
          <w:bCs/>
          <w:color w:val="auto"/>
        </w:rPr>
        <w:t>6</w:t>
      </w:r>
      <w:r w:rsidRPr="0075146E">
        <w:rPr>
          <w:color w:val="auto"/>
        </w:rPr>
        <w:t>, 35461 (2016).</w:t>
      </w:r>
    </w:p>
    <w:p w14:paraId="483AEAAA" w14:textId="77777777" w:rsidR="0075146E" w:rsidRPr="0075146E" w:rsidRDefault="0075146E" w:rsidP="0075146E">
      <w:pPr>
        <w:pStyle w:val="Bibliography"/>
        <w:rPr>
          <w:color w:val="auto"/>
        </w:rPr>
      </w:pPr>
      <w:r w:rsidRPr="0075146E">
        <w:rPr>
          <w:color w:val="auto"/>
        </w:rPr>
        <w:t xml:space="preserve">46. </w:t>
      </w:r>
      <w:r w:rsidRPr="0075146E">
        <w:rPr>
          <w:color w:val="auto"/>
        </w:rPr>
        <w:tab/>
        <w:t xml:space="preserve">N. Mizrahi, </w:t>
      </w:r>
      <w:r w:rsidRPr="0075146E">
        <w:rPr>
          <w:i/>
          <w:iCs/>
          <w:color w:val="auto"/>
        </w:rPr>
        <w:t>et al.</w:t>
      </w:r>
      <w:r w:rsidRPr="0075146E">
        <w:rPr>
          <w:color w:val="auto"/>
        </w:rPr>
        <w:t xml:space="preserve">, Deciphering Direct and Indirect Effects of Neurokinin B and GnRH in the Brain-Pituitary Axis of Tilapia. </w:t>
      </w:r>
      <w:r w:rsidRPr="0075146E">
        <w:rPr>
          <w:i/>
          <w:iCs/>
          <w:color w:val="auto"/>
        </w:rPr>
        <w:t>Front Endocrinol (Lausanne)</w:t>
      </w:r>
      <w:r w:rsidRPr="0075146E">
        <w:rPr>
          <w:color w:val="auto"/>
        </w:rPr>
        <w:t xml:space="preserve"> </w:t>
      </w:r>
      <w:r w:rsidRPr="0075146E">
        <w:rPr>
          <w:b/>
          <w:bCs/>
          <w:color w:val="auto"/>
        </w:rPr>
        <w:t>10</w:t>
      </w:r>
      <w:r w:rsidRPr="0075146E">
        <w:rPr>
          <w:color w:val="auto"/>
        </w:rPr>
        <w:t>, 469 (2019).</w:t>
      </w:r>
    </w:p>
    <w:p w14:paraId="174959B8" w14:textId="77777777" w:rsidR="0075146E" w:rsidRPr="0075146E" w:rsidRDefault="0075146E" w:rsidP="0075146E">
      <w:pPr>
        <w:pStyle w:val="Bibliography"/>
        <w:rPr>
          <w:color w:val="auto"/>
        </w:rPr>
      </w:pPr>
      <w:r w:rsidRPr="0075146E">
        <w:rPr>
          <w:color w:val="auto"/>
        </w:rPr>
        <w:t xml:space="preserve">47. </w:t>
      </w:r>
      <w:r w:rsidRPr="0075146E">
        <w:rPr>
          <w:color w:val="auto"/>
        </w:rPr>
        <w:tab/>
        <w:t xml:space="preserve">Z. Tian, </w:t>
      </w:r>
      <w:r w:rsidRPr="0075146E">
        <w:rPr>
          <w:i/>
          <w:iCs/>
          <w:color w:val="auto"/>
        </w:rPr>
        <w:t>et al.</w:t>
      </w:r>
      <w:r w:rsidRPr="0075146E">
        <w:rPr>
          <w:color w:val="auto"/>
        </w:rPr>
        <w:t>, Neurokinin B in the yellowtail kingfish (</w:t>
      </w:r>
      <w:r w:rsidRPr="0075146E">
        <w:rPr>
          <w:i/>
          <w:iCs/>
          <w:color w:val="auto"/>
        </w:rPr>
        <w:t>Seriola lalandi</w:t>
      </w:r>
      <w:r w:rsidRPr="0075146E">
        <w:rPr>
          <w:color w:val="auto"/>
        </w:rPr>
        <w:t xml:space="preserve">) and its potential role in controlling reproduction. </w:t>
      </w:r>
      <w:r w:rsidRPr="0075146E">
        <w:rPr>
          <w:i/>
          <w:iCs/>
          <w:color w:val="auto"/>
        </w:rPr>
        <w:t>Aquaculture Reports</w:t>
      </w:r>
      <w:r w:rsidRPr="0075146E">
        <w:rPr>
          <w:color w:val="auto"/>
        </w:rPr>
        <w:t xml:space="preserve"> </w:t>
      </w:r>
      <w:r w:rsidRPr="0075146E">
        <w:rPr>
          <w:b/>
          <w:bCs/>
          <w:color w:val="auto"/>
        </w:rPr>
        <w:t>36</w:t>
      </w:r>
      <w:r w:rsidRPr="0075146E">
        <w:rPr>
          <w:color w:val="auto"/>
        </w:rPr>
        <w:t>, 102167 (2024).</w:t>
      </w:r>
    </w:p>
    <w:p w14:paraId="7403B923" w14:textId="77777777" w:rsidR="0075146E" w:rsidRPr="0075146E" w:rsidRDefault="0075146E" w:rsidP="0075146E">
      <w:pPr>
        <w:pStyle w:val="Bibliography"/>
        <w:rPr>
          <w:color w:val="auto"/>
        </w:rPr>
      </w:pPr>
      <w:r w:rsidRPr="0075146E">
        <w:rPr>
          <w:color w:val="auto"/>
        </w:rPr>
        <w:t xml:space="preserve">48. </w:t>
      </w:r>
      <w:r w:rsidRPr="0075146E">
        <w:rPr>
          <w:color w:val="auto"/>
        </w:rPr>
        <w:tab/>
        <w:t xml:space="preserve">K. Santhakumar, Neuroendocrine regulation of reproduction in fish – Mini review. </w:t>
      </w:r>
      <w:r w:rsidRPr="0075146E">
        <w:rPr>
          <w:i/>
          <w:iCs/>
          <w:color w:val="auto"/>
        </w:rPr>
        <w:t>Aquaculture and Fisheries</w:t>
      </w:r>
      <w:r w:rsidRPr="0075146E">
        <w:rPr>
          <w:color w:val="auto"/>
        </w:rPr>
        <w:t xml:space="preserve"> </w:t>
      </w:r>
      <w:r w:rsidRPr="0075146E">
        <w:rPr>
          <w:b/>
          <w:bCs/>
          <w:color w:val="auto"/>
        </w:rPr>
        <w:t>9</w:t>
      </w:r>
      <w:r w:rsidRPr="0075146E">
        <w:rPr>
          <w:color w:val="auto"/>
        </w:rPr>
        <w:t>, 437–446 (2024).</w:t>
      </w:r>
    </w:p>
    <w:p w14:paraId="4DE276FD" w14:textId="77777777" w:rsidR="0075146E" w:rsidRPr="0075146E" w:rsidRDefault="0075146E" w:rsidP="0075146E">
      <w:pPr>
        <w:pStyle w:val="Bibliography"/>
        <w:rPr>
          <w:color w:val="auto"/>
        </w:rPr>
      </w:pPr>
      <w:r w:rsidRPr="0075146E">
        <w:rPr>
          <w:color w:val="auto"/>
        </w:rPr>
        <w:t xml:space="preserve">49. </w:t>
      </w:r>
      <w:r w:rsidRPr="0075146E">
        <w:rPr>
          <w:color w:val="auto"/>
        </w:rPr>
        <w:tab/>
        <w:t xml:space="preserve">P. Palma, </w:t>
      </w:r>
      <w:r w:rsidRPr="0075146E">
        <w:rPr>
          <w:i/>
          <w:iCs/>
          <w:color w:val="auto"/>
        </w:rPr>
        <w:t>et al.</w:t>
      </w:r>
      <w:r w:rsidRPr="0075146E">
        <w:rPr>
          <w:color w:val="auto"/>
        </w:rPr>
        <w:t xml:space="preserve">, Induction of Gonadal Development in Protogynous Grouper with Orally Delivered FSH DNA. </w:t>
      </w:r>
      <w:r w:rsidRPr="0075146E">
        <w:rPr>
          <w:i/>
          <w:iCs/>
          <w:color w:val="auto"/>
        </w:rPr>
        <w:t>Mar Biotechnol</w:t>
      </w:r>
      <w:r w:rsidRPr="0075146E">
        <w:rPr>
          <w:color w:val="auto"/>
        </w:rPr>
        <w:t xml:space="preserve"> </w:t>
      </w:r>
      <w:r w:rsidRPr="0075146E">
        <w:rPr>
          <w:b/>
          <w:bCs/>
          <w:color w:val="auto"/>
        </w:rPr>
        <w:t>21</w:t>
      </w:r>
      <w:r w:rsidRPr="0075146E">
        <w:rPr>
          <w:color w:val="auto"/>
        </w:rPr>
        <w:t>, 697–706 (2019).</w:t>
      </w:r>
    </w:p>
    <w:p w14:paraId="03FBAABF" w14:textId="77777777" w:rsidR="0075146E" w:rsidRPr="0075146E" w:rsidRDefault="0075146E" w:rsidP="0075146E">
      <w:pPr>
        <w:pStyle w:val="Bibliography"/>
        <w:rPr>
          <w:color w:val="auto"/>
        </w:rPr>
      </w:pPr>
      <w:r w:rsidRPr="0075146E">
        <w:rPr>
          <w:color w:val="auto"/>
        </w:rPr>
        <w:t xml:space="preserve">50. </w:t>
      </w:r>
      <w:r w:rsidRPr="0075146E">
        <w:rPr>
          <w:color w:val="auto"/>
        </w:rPr>
        <w:tab/>
        <w:t xml:space="preserve">N. Murozumi, </w:t>
      </w:r>
      <w:r w:rsidRPr="0075146E">
        <w:rPr>
          <w:i/>
          <w:iCs/>
          <w:color w:val="auto"/>
        </w:rPr>
        <w:t>et al.</w:t>
      </w:r>
      <w:r w:rsidRPr="0075146E">
        <w:rPr>
          <w:color w:val="auto"/>
        </w:rPr>
        <w:t xml:space="preserve">, Loss of Follicle-Stimulating Hormone Receptor Function Causes Masculinization and Suppression of Ovarian Development in Genetically Female Medaka. </w:t>
      </w:r>
      <w:r w:rsidRPr="0075146E">
        <w:rPr>
          <w:i/>
          <w:iCs/>
          <w:color w:val="auto"/>
        </w:rPr>
        <w:t>Endocrinology</w:t>
      </w:r>
      <w:r w:rsidRPr="0075146E">
        <w:rPr>
          <w:color w:val="auto"/>
        </w:rPr>
        <w:t xml:space="preserve"> </w:t>
      </w:r>
      <w:r w:rsidRPr="0075146E">
        <w:rPr>
          <w:b/>
          <w:bCs/>
          <w:color w:val="auto"/>
        </w:rPr>
        <w:t>155</w:t>
      </w:r>
      <w:r w:rsidRPr="0075146E">
        <w:rPr>
          <w:color w:val="auto"/>
        </w:rPr>
        <w:t>, 3136–3145 (2014).</w:t>
      </w:r>
    </w:p>
    <w:p w14:paraId="68D204E7" w14:textId="77777777" w:rsidR="0075146E" w:rsidRPr="0075146E" w:rsidRDefault="0075146E" w:rsidP="0075146E">
      <w:pPr>
        <w:pStyle w:val="Bibliography"/>
        <w:rPr>
          <w:color w:val="auto"/>
        </w:rPr>
      </w:pPr>
      <w:r w:rsidRPr="0075146E">
        <w:rPr>
          <w:color w:val="auto"/>
        </w:rPr>
        <w:t xml:space="preserve">51. </w:t>
      </w:r>
      <w:r w:rsidRPr="0075146E">
        <w:rPr>
          <w:color w:val="auto"/>
        </w:rPr>
        <w:tab/>
        <w:t xml:space="preserve">L. Chu, J. Li, Y. Liu, C. H. K. Cheng, Gonadotropin Signaling in Zebrafish Ovary and Testis Development: Insights From Gene Knockout Study. </w:t>
      </w:r>
      <w:r w:rsidRPr="0075146E">
        <w:rPr>
          <w:i/>
          <w:iCs/>
          <w:color w:val="auto"/>
        </w:rPr>
        <w:t>Mol Endocrinol</w:t>
      </w:r>
      <w:r w:rsidRPr="0075146E">
        <w:rPr>
          <w:color w:val="auto"/>
        </w:rPr>
        <w:t xml:space="preserve"> </w:t>
      </w:r>
      <w:r w:rsidRPr="0075146E">
        <w:rPr>
          <w:b/>
          <w:bCs/>
          <w:color w:val="auto"/>
        </w:rPr>
        <w:t>29</w:t>
      </w:r>
      <w:r w:rsidRPr="0075146E">
        <w:rPr>
          <w:color w:val="auto"/>
        </w:rPr>
        <w:t>, 1743–1758 (2015).</w:t>
      </w:r>
    </w:p>
    <w:p w14:paraId="5C12EF81" w14:textId="77777777" w:rsidR="0075146E" w:rsidRPr="0075146E" w:rsidRDefault="0075146E" w:rsidP="0075146E">
      <w:pPr>
        <w:pStyle w:val="Bibliography"/>
        <w:rPr>
          <w:color w:val="auto"/>
        </w:rPr>
      </w:pPr>
      <w:r w:rsidRPr="0075146E">
        <w:rPr>
          <w:color w:val="auto"/>
        </w:rPr>
        <w:t xml:space="preserve">52. </w:t>
      </w:r>
      <w:r w:rsidRPr="0075146E">
        <w:rPr>
          <w:color w:val="auto"/>
        </w:rPr>
        <w:tab/>
        <w:t xml:space="preserve">S. Koulish, C. R. Kramer, Human chorionic gonadotropin (hCG) induces gonad reversal in a protogynous fish, the bluehead wrasse, Thalassoma bifasciatum (teleostei, labridae). </w:t>
      </w:r>
      <w:r w:rsidRPr="0075146E">
        <w:rPr>
          <w:i/>
          <w:iCs/>
          <w:color w:val="auto"/>
        </w:rPr>
        <w:t>Journal of Experimental Zoology</w:t>
      </w:r>
      <w:r w:rsidRPr="0075146E">
        <w:rPr>
          <w:color w:val="auto"/>
        </w:rPr>
        <w:t xml:space="preserve"> </w:t>
      </w:r>
      <w:r w:rsidRPr="0075146E">
        <w:rPr>
          <w:b/>
          <w:bCs/>
          <w:color w:val="auto"/>
        </w:rPr>
        <w:t>252</w:t>
      </w:r>
      <w:r w:rsidRPr="0075146E">
        <w:rPr>
          <w:color w:val="auto"/>
        </w:rPr>
        <w:t>, 156–168 (1989).</w:t>
      </w:r>
    </w:p>
    <w:p w14:paraId="5D7AFCAE" w14:textId="77777777" w:rsidR="0075146E" w:rsidRPr="0075146E" w:rsidRDefault="0075146E" w:rsidP="0075146E">
      <w:pPr>
        <w:pStyle w:val="Bibliography"/>
        <w:rPr>
          <w:color w:val="auto"/>
        </w:rPr>
      </w:pPr>
      <w:r w:rsidRPr="0075146E">
        <w:rPr>
          <w:color w:val="auto"/>
        </w:rPr>
        <w:t xml:space="preserve">53. </w:t>
      </w:r>
      <w:r w:rsidRPr="0075146E">
        <w:rPr>
          <w:color w:val="auto"/>
        </w:rPr>
        <w:tab/>
        <w:t xml:space="preserve">R. Reinboth, S. Bnrusle-Sicard, Histological and ultrastructural studies on the effects of hCG on sex inversion in the protogynous teleost Coris julis. </w:t>
      </w:r>
      <w:r w:rsidRPr="0075146E">
        <w:rPr>
          <w:i/>
          <w:iCs/>
          <w:color w:val="auto"/>
        </w:rPr>
        <w:t>Journal of Fish Biology</w:t>
      </w:r>
      <w:r w:rsidRPr="0075146E">
        <w:rPr>
          <w:color w:val="auto"/>
        </w:rPr>
        <w:t xml:space="preserve"> </w:t>
      </w:r>
      <w:r w:rsidRPr="0075146E">
        <w:rPr>
          <w:b/>
          <w:bCs/>
          <w:color w:val="auto"/>
        </w:rPr>
        <w:t>51</w:t>
      </w:r>
      <w:r w:rsidRPr="0075146E">
        <w:rPr>
          <w:color w:val="auto"/>
        </w:rPr>
        <w:t>, 738–749 (1997).</w:t>
      </w:r>
    </w:p>
    <w:p w14:paraId="523C90BA" w14:textId="77777777" w:rsidR="0075146E" w:rsidRPr="0075146E" w:rsidRDefault="0075146E" w:rsidP="0075146E">
      <w:pPr>
        <w:pStyle w:val="Bibliography"/>
        <w:rPr>
          <w:color w:val="auto"/>
        </w:rPr>
      </w:pPr>
      <w:r w:rsidRPr="0075146E">
        <w:rPr>
          <w:color w:val="auto"/>
        </w:rPr>
        <w:t xml:space="preserve">54. </w:t>
      </w:r>
      <w:r w:rsidRPr="0075146E">
        <w:rPr>
          <w:color w:val="auto"/>
        </w:rPr>
        <w:tab/>
        <w:t xml:space="preserve">M. Shahjahan, T. Kitahashi, I. S. Parhar, Central Pathways Integrating Metabolism and Reproduction in Teleosts. </w:t>
      </w:r>
      <w:r w:rsidRPr="0075146E">
        <w:rPr>
          <w:i/>
          <w:iCs/>
          <w:color w:val="auto"/>
        </w:rPr>
        <w:t>Front. Endocrinol.</w:t>
      </w:r>
      <w:r w:rsidRPr="0075146E">
        <w:rPr>
          <w:color w:val="auto"/>
        </w:rPr>
        <w:t xml:space="preserve"> </w:t>
      </w:r>
      <w:r w:rsidRPr="0075146E">
        <w:rPr>
          <w:b/>
          <w:bCs/>
          <w:color w:val="auto"/>
        </w:rPr>
        <w:t>5</w:t>
      </w:r>
      <w:r w:rsidRPr="0075146E">
        <w:rPr>
          <w:color w:val="auto"/>
        </w:rPr>
        <w:t xml:space="preserve"> (2014).</w:t>
      </w:r>
    </w:p>
    <w:p w14:paraId="78891086" w14:textId="77777777" w:rsidR="0075146E" w:rsidRPr="0075146E" w:rsidRDefault="0075146E" w:rsidP="0075146E">
      <w:pPr>
        <w:pStyle w:val="Bibliography"/>
        <w:rPr>
          <w:color w:val="auto"/>
        </w:rPr>
      </w:pPr>
      <w:r w:rsidRPr="0075146E">
        <w:rPr>
          <w:color w:val="auto"/>
        </w:rPr>
        <w:t xml:space="preserve">55. </w:t>
      </w:r>
      <w:r w:rsidRPr="0075146E">
        <w:rPr>
          <w:color w:val="auto"/>
        </w:rPr>
        <w:tab/>
        <w:t xml:space="preserve">J. M. Cerdá-Reverter, L. A. Sorbera, M. Carrillo, S. Zanuy, Energetic dependence of NPY-induced LH secretion in a teleost fish (Dicentrarchus labrax). </w:t>
      </w:r>
      <w:r w:rsidRPr="0075146E">
        <w:rPr>
          <w:i/>
          <w:iCs/>
          <w:color w:val="auto"/>
        </w:rPr>
        <w:t>American Journal of Physiology-Regulatory, Integrative and Comparative Physiology</w:t>
      </w:r>
      <w:r w:rsidRPr="0075146E">
        <w:rPr>
          <w:color w:val="auto"/>
        </w:rPr>
        <w:t xml:space="preserve"> </w:t>
      </w:r>
      <w:r w:rsidRPr="0075146E">
        <w:rPr>
          <w:b/>
          <w:bCs/>
          <w:color w:val="auto"/>
        </w:rPr>
        <w:t>277</w:t>
      </w:r>
      <w:r w:rsidRPr="0075146E">
        <w:rPr>
          <w:color w:val="auto"/>
        </w:rPr>
        <w:t>, R1627–R1634 (1999).</w:t>
      </w:r>
    </w:p>
    <w:p w14:paraId="3D4BE688" w14:textId="77777777" w:rsidR="0075146E" w:rsidRPr="0075146E" w:rsidRDefault="0075146E" w:rsidP="0075146E">
      <w:pPr>
        <w:pStyle w:val="Bibliography"/>
        <w:rPr>
          <w:color w:val="auto"/>
        </w:rPr>
      </w:pPr>
      <w:r w:rsidRPr="0075146E">
        <w:rPr>
          <w:color w:val="auto"/>
        </w:rPr>
        <w:lastRenderedPageBreak/>
        <w:t xml:space="preserve">56. </w:t>
      </w:r>
      <w:r w:rsidRPr="0075146E">
        <w:rPr>
          <w:color w:val="auto"/>
        </w:rPr>
        <w:tab/>
        <w:t xml:space="preserve">Y. Benjamini, Y. Hochberg, Controlling the False Discovery Rate: A Practical and Powerful Approach to Multiple Testing. </w:t>
      </w:r>
      <w:r w:rsidRPr="0075146E">
        <w:rPr>
          <w:i/>
          <w:iCs/>
          <w:color w:val="auto"/>
        </w:rPr>
        <w:t>Journal of the Royal Statistical Society. Series B (Methodological)</w:t>
      </w:r>
      <w:r w:rsidRPr="0075146E">
        <w:rPr>
          <w:color w:val="auto"/>
        </w:rPr>
        <w:t xml:space="preserve"> </w:t>
      </w:r>
      <w:r w:rsidRPr="0075146E">
        <w:rPr>
          <w:b/>
          <w:bCs/>
          <w:color w:val="auto"/>
        </w:rPr>
        <w:t>57</w:t>
      </w:r>
      <w:r w:rsidRPr="0075146E">
        <w:rPr>
          <w:color w:val="auto"/>
        </w:rPr>
        <w:t>, 289–300 (1995).</w:t>
      </w:r>
    </w:p>
    <w:p w14:paraId="23D7C101" w14:textId="77777777" w:rsidR="0075146E" w:rsidRPr="0075146E" w:rsidRDefault="0075146E" w:rsidP="0075146E">
      <w:pPr>
        <w:pStyle w:val="Bibliography"/>
        <w:rPr>
          <w:color w:val="auto"/>
        </w:rPr>
      </w:pPr>
      <w:r w:rsidRPr="0075146E">
        <w:rPr>
          <w:color w:val="auto"/>
        </w:rPr>
        <w:t xml:space="preserve">57. </w:t>
      </w:r>
      <w:r w:rsidRPr="0075146E">
        <w:rPr>
          <w:color w:val="auto"/>
        </w:rPr>
        <w:tab/>
        <w:t xml:space="preserve">R. V. Lenth, </w:t>
      </w:r>
      <w:r w:rsidRPr="0075146E">
        <w:rPr>
          <w:i/>
          <w:iCs/>
          <w:color w:val="auto"/>
        </w:rPr>
        <w:t>et al.</w:t>
      </w:r>
      <w:r w:rsidRPr="0075146E">
        <w:rPr>
          <w:color w:val="auto"/>
        </w:rPr>
        <w:t>, emmeans: Estimated Marginal Means, aka Least-Squares Means. (2024). Deposited 21 August 2024.</w:t>
      </w:r>
    </w:p>
    <w:p w14:paraId="271415C9" w14:textId="77777777" w:rsidR="0075146E" w:rsidRPr="0075146E" w:rsidRDefault="0075146E" w:rsidP="0075146E">
      <w:pPr>
        <w:pStyle w:val="Bibliography"/>
        <w:rPr>
          <w:color w:val="auto"/>
        </w:rPr>
      </w:pPr>
      <w:r w:rsidRPr="0075146E">
        <w:rPr>
          <w:color w:val="auto"/>
        </w:rPr>
        <w:t xml:space="preserve">58. </w:t>
      </w:r>
      <w:r w:rsidRPr="0075146E">
        <w:rPr>
          <w:color w:val="auto"/>
        </w:rPr>
        <w:tab/>
        <w:t xml:space="preserve">J. Fox, </w:t>
      </w:r>
      <w:r w:rsidRPr="0075146E">
        <w:rPr>
          <w:i/>
          <w:iCs/>
          <w:color w:val="auto"/>
        </w:rPr>
        <w:t>et al.</w:t>
      </w:r>
      <w:r w:rsidRPr="0075146E">
        <w:rPr>
          <w:color w:val="auto"/>
        </w:rPr>
        <w:t>, car: Companion to Applied Regression. (2023). Deposited 30 March 2023.</w:t>
      </w:r>
    </w:p>
    <w:p w14:paraId="4894925E" w14:textId="77777777" w:rsidR="0075146E" w:rsidRPr="0075146E" w:rsidRDefault="0075146E" w:rsidP="0075146E">
      <w:pPr>
        <w:pStyle w:val="Bibliography"/>
        <w:rPr>
          <w:color w:val="auto"/>
        </w:rPr>
      </w:pPr>
      <w:r w:rsidRPr="0075146E">
        <w:rPr>
          <w:color w:val="auto"/>
        </w:rPr>
        <w:t xml:space="preserve">59. </w:t>
      </w:r>
      <w:r w:rsidRPr="0075146E">
        <w:rPr>
          <w:color w:val="auto"/>
        </w:rPr>
        <w:tab/>
        <w:t xml:space="preserve">J. Godwin, Behavioural aspects of protandrous sex change in the anemonefish, </w:t>
      </w:r>
      <w:r w:rsidRPr="0075146E">
        <w:rPr>
          <w:i/>
          <w:iCs/>
          <w:color w:val="auto"/>
        </w:rPr>
        <w:t>Amphiprion melanopus</w:t>
      </w:r>
      <w:r w:rsidRPr="0075146E">
        <w:rPr>
          <w:color w:val="auto"/>
        </w:rPr>
        <w:t xml:space="preserve">, and endocrine correlates. </w:t>
      </w:r>
      <w:r w:rsidRPr="0075146E">
        <w:rPr>
          <w:i/>
          <w:iCs/>
          <w:color w:val="auto"/>
        </w:rPr>
        <w:t>Animal Behaviour</w:t>
      </w:r>
      <w:r w:rsidRPr="0075146E">
        <w:rPr>
          <w:color w:val="auto"/>
        </w:rPr>
        <w:t xml:space="preserve"> </w:t>
      </w:r>
      <w:r w:rsidRPr="0075146E">
        <w:rPr>
          <w:b/>
          <w:bCs/>
          <w:color w:val="auto"/>
        </w:rPr>
        <w:t>48</w:t>
      </w:r>
      <w:r w:rsidRPr="0075146E">
        <w:rPr>
          <w:color w:val="auto"/>
        </w:rPr>
        <w:t>, 551–567 (1994).</w:t>
      </w:r>
    </w:p>
    <w:p w14:paraId="06BFEB88" w14:textId="77777777" w:rsidR="0075146E" w:rsidRPr="0075146E" w:rsidRDefault="0075146E" w:rsidP="0075146E">
      <w:pPr>
        <w:pStyle w:val="Bibliography"/>
        <w:rPr>
          <w:color w:val="auto"/>
        </w:rPr>
      </w:pPr>
      <w:r w:rsidRPr="0075146E">
        <w:rPr>
          <w:color w:val="auto"/>
        </w:rPr>
        <w:t xml:space="preserve">60. </w:t>
      </w:r>
      <w:r w:rsidRPr="0075146E">
        <w:rPr>
          <w:color w:val="auto"/>
        </w:rPr>
        <w:tab/>
        <w:t xml:space="preserve">H. M. Kang, </w:t>
      </w:r>
      <w:r w:rsidRPr="0075146E">
        <w:rPr>
          <w:i/>
          <w:iCs/>
          <w:color w:val="auto"/>
        </w:rPr>
        <w:t>et al.</w:t>
      </w:r>
      <w:r w:rsidRPr="0075146E">
        <w:rPr>
          <w:color w:val="auto"/>
        </w:rPr>
        <w:t xml:space="preserve">, Multiplexed droplet single-cell RNA-sequencing using natural genetic variation. </w:t>
      </w:r>
      <w:r w:rsidRPr="0075146E">
        <w:rPr>
          <w:i/>
          <w:iCs/>
          <w:color w:val="auto"/>
        </w:rPr>
        <w:t>Nat Biotechnol</w:t>
      </w:r>
      <w:r w:rsidRPr="0075146E">
        <w:rPr>
          <w:color w:val="auto"/>
        </w:rPr>
        <w:t xml:space="preserve"> </w:t>
      </w:r>
      <w:r w:rsidRPr="0075146E">
        <w:rPr>
          <w:b/>
          <w:bCs/>
          <w:color w:val="auto"/>
        </w:rPr>
        <w:t>36</w:t>
      </w:r>
      <w:r w:rsidRPr="0075146E">
        <w:rPr>
          <w:color w:val="auto"/>
        </w:rPr>
        <w:t>, 89–94 (2018).</w:t>
      </w:r>
    </w:p>
    <w:p w14:paraId="0BBB698C" w14:textId="77777777" w:rsidR="0075146E" w:rsidRPr="0075146E" w:rsidRDefault="0075146E" w:rsidP="0075146E">
      <w:pPr>
        <w:pStyle w:val="Bibliography"/>
        <w:rPr>
          <w:color w:val="auto"/>
        </w:rPr>
      </w:pPr>
      <w:r w:rsidRPr="0075146E">
        <w:rPr>
          <w:color w:val="auto"/>
        </w:rPr>
        <w:t xml:space="preserve">61. </w:t>
      </w:r>
      <w:r w:rsidRPr="0075146E">
        <w:rPr>
          <w:color w:val="auto"/>
        </w:rPr>
        <w:tab/>
        <w:t xml:space="preserve">H. Heaton, </w:t>
      </w:r>
      <w:r w:rsidRPr="0075146E">
        <w:rPr>
          <w:i/>
          <w:iCs/>
          <w:color w:val="auto"/>
        </w:rPr>
        <w:t>et al.</w:t>
      </w:r>
      <w:r w:rsidRPr="0075146E">
        <w:rPr>
          <w:color w:val="auto"/>
        </w:rPr>
        <w:t xml:space="preserve">, Souporcell: robust clustering of single-cell RNA-seq data by genotype without reference genotypes. </w:t>
      </w:r>
      <w:r w:rsidRPr="0075146E">
        <w:rPr>
          <w:i/>
          <w:iCs/>
          <w:color w:val="auto"/>
        </w:rPr>
        <w:t>Nat Methods</w:t>
      </w:r>
      <w:r w:rsidRPr="0075146E">
        <w:rPr>
          <w:color w:val="auto"/>
        </w:rPr>
        <w:t xml:space="preserve"> </w:t>
      </w:r>
      <w:r w:rsidRPr="0075146E">
        <w:rPr>
          <w:b/>
          <w:bCs/>
          <w:color w:val="auto"/>
        </w:rPr>
        <w:t>17</w:t>
      </w:r>
      <w:r w:rsidRPr="0075146E">
        <w:rPr>
          <w:color w:val="auto"/>
        </w:rPr>
        <w:t>, 615–620 (2020).</w:t>
      </w:r>
    </w:p>
    <w:p w14:paraId="2FCCC89F" w14:textId="77777777" w:rsidR="0075146E" w:rsidRPr="0075146E" w:rsidRDefault="0075146E" w:rsidP="0075146E">
      <w:pPr>
        <w:pStyle w:val="Bibliography"/>
        <w:rPr>
          <w:color w:val="auto"/>
        </w:rPr>
      </w:pPr>
      <w:r w:rsidRPr="0075146E">
        <w:rPr>
          <w:color w:val="auto"/>
        </w:rPr>
        <w:t xml:space="preserve">62. </w:t>
      </w:r>
      <w:r w:rsidRPr="0075146E">
        <w:rPr>
          <w:color w:val="auto"/>
        </w:rPr>
        <w:tab/>
        <w:t xml:space="preserve">S. Megas, V. Lorenzi, J. C. Marioni, EmptyDropsMultiome discriminates real cells from background in single-cell multiomics assays. </w:t>
      </w:r>
      <w:r w:rsidRPr="0075146E">
        <w:rPr>
          <w:i/>
          <w:iCs/>
          <w:color w:val="auto"/>
        </w:rPr>
        <w:t>Genome Biology</w:t>
      </w:r>
      <w:r w:rsidRPr="0075146E">
        <w:rPr>
          <w:color w:val="auto"/>
        </w:rPr>
        <w:t xml:space="preserve"> </w:t>
      </w:r>
      <w:r w:rsidRPr="0075146E">
        <w:rPr>
          <w:b/>
          <w:bCs/>
          <w:color w:val="auto"/>
        </w:rPr>
        <w:t>25</w:t>
      </w:r>
      <w:r w:rsidRPr="0075146E">
        <w:rPr>
          <w:color w:val="auto"/>
        </w:rPr>
        <w:t>, 121 (2024).</w:t>
      </w:r>
    </w:p>
    <w:p w14:paraId="5E394E68" w14:textId="77777777" w:rsidR="0075146E" w:rsidRPr="0075146E" w:rsidRDefault="0075146E" w:rsidP="0075146E">
      <w:pPr>
        <w:pStyle w:val="Bibliography"/>
        <w:rPr>
          <w:color w:val="auto"/>
        </w:rPr>
      </w:pPr>
      <w:r w:rsidRPr="0075146E">
        <w:rPr>
          <w:color w:val="auto"/>
        </w:rPr>
        <w:t xml:space="preserve">63. </w:t>
      </w:r>
      <w:r w:rsidRPr="0075146E">
        <w:rPr>
          <w:color w:val="auto"/>
        </w:rPr>
        <w:tab/>
        <w:t xml:space="preserve">I. Korsunsky, </w:t>
      </w:r>
      <w:r w:rsidRPr="0075146E">
        <w:rPr>
          <w:i/>
          <w:iCs/>
          <w:color w:val="auto"/>
        </w:rPr>
        <w:t>et al.</w:t>
      </w:r>
      <w:r w:rsidRPr="0075146E">
        <w:rPr>
          <w:color w:val="auto"/>
        </w:rPr>
        <w:t xml:space="preserve">, Fast, sensitive, and accurate integration of single cell data with Harmony. </w:t>
      </w:r>
      <w:r w:rsidRPr="0075146E">
        <w:rPr>
          <w:i/>
          <w:iCs/>
          <w:color w:val="auto"/>
        </w:rPr>
        <w:t>Nat Methods</w:t>
      </w:r>
      <w:r w:rsidRPr="0075146E">
        <w:rPr>
          <w:color w:val="auto"/>
        </w:rPr>
        <w:t xml:space="preserve"> </w:t>
      </w:r>
      <w:r w:rsidRPr="0075146E">
        <w:rPr>
          <w:b/>
          <w:bCs/>
          <w:color w:val="auto"/>
        </w:rPr>
        <w:t>16</w:t>
      </w:r>
      <w:r w:rsidRPr="0075146E">
        <w:rPr>
          <w:color w:val="auto"/>
        </w:rPr>
        <w:t>, 1289–1296 (2019).</w:t>
      </w:r>
    </w:p>
    <w:p w14:paraId="5781D308" w14:textId="77777777" w:rsidR="0075146E" w:rsidRPr="0075146E" w:rsidRDefault="0075146E" w:rsidP="0075146E">
      <w:pPr>
        <w:pStyle w:val="Bibliography"/>
        <w:rPr>
          <w:color w:val="auto"/>
        </w:rPr>
      </w:pPr>
      <w:r w:rsidRPr="0075146E">
        <w:rPr>
          <w:color w:val="auto"/>
        </w:rPr>
        <w:t xml:space="preserve">64. </w:t>
      </w:r>
      <w:r w:rsidRPr="0075146E">
        <w:rPr>
          <w:color w:val="auto"/>
        </w:rPr>
        <w:tab/>
        <w:t>Y. Bai, L. Chu, A Graph-based Approach to Estimating the Number of Clusters. [Preprint] (2024). Available at: http://arxiv.org/abs/2402.15600 [Accessed 11 March 2025].</w:t>
      </w:r>
    </w:p>
    <w:p w14:paraId="2A89BF49" w14:textId="77777777" w:rsidR="0075146E" w:rsidRPr="0075146E" w:rsidRDefault="0075146E" w:rsidP="0075146E">
      <w:pPr>
        <w:pStyle w:val="Bibliography"/>
        <w:rPr>
          <w:color w:val="auto"/>
        </w:rPr>
      </w:pPr>
      <w:r w:rsidRPr="0075146E">
        <w:rPr>
          <w:color w:val="auto"/>
        </w:rPr>
        <w:t xml:space="preserve">65. </w:t>
      </w:r>
      <w:r w:rsidRPr="0075146E">
        <w:rPr>
          <w:color w:val="auto"/>
        </w:rPr>
        <w:tab/>
        <w:t xml:space="preserve">K. P. Maruska, J. M. Butler, K. E. Field, D. T. Porter, Localization of glutamatergic, GABAergic, and cholinergic neurons in the brain of the African cichlid fish, Astatotilapia burtoni. </w:t>
      </w:r>
      <w:r w:rsidRPr="0075146E">
        <w:rPr>
          <w:i/>
          <w:iCs/>
          <w:color w:val="auto"/>
        </w:rPr>
        <w:t>J Comp Neurol</w:t>
      </w:r>
      <w:r w:rsidRPr="0075146E">
        <w:rPr>
          <w:color w:val="auto"/>
        </w:rPr>
        <w:t xml:space="preserve"> </w:t>
      </w:r>
      <w:r w:rsidRPr="0075146E">
        <w:rPr>
          <w:b/>
          <w:bCs/>
          <w:color w:val="auto"/>
        </w:rPr>
        <w:t>525</w:t>
      </w:r>
      <w:r w:rsidRPr="0075146E">
        <w:rPr>
          <w:color w:val="auto"/>
        </w:rPr>
        <w:t>, 610–638 (2017).</w:t>
      </w:r>
    </w:p>
    <w:p w14:paraId="017C2426" w14:textId="77777777" w:rsidR="0075146E" w:rsidRPr="0075146E" w:rsidRDefault="0075146E" w:rsidP="0075146E">
      <w:pPr>
        <w:pStyle w:val="Bibliography"/>
        <w:rPr>
          <w:color w:val="auto"/>
        </w:rPr>
      </w:pPr>
      <w:r w:rsidRPr="0075146E">
        <w:rPr>
          <w:color w:val="auto"/>
        </w:rPr>
        <w:t xml:space="preserve">66. </w:t>
      </w:r>
      <w:r w:rsidRPr="0075146E">
        <w:rPr>
          <w:color w:val="auto"/>
        </w:rPr>
        <w:tab/>
        <w:t xml:space="preserve">Z. V. Johnson, </w:t>
      </w:r>
      <w:r w:rsidRPr="0075146E">
        <w:rPr>
          <w:i/>
          <w:iCs/>
          <w:color w:val="auto"/>
        </w:rPr>
        <w:t>et al.</w:t>
      </w:r>
      <w:r w:rsidRPr="0075146E">
        <w:rPr>
          <w:color w:val="auto"/>
        </w:rPr>
        <w:t xml:space="preserve">, Cellular profiling of a recently-evolved social behavior in cichlid fishes. </w:t>
      </w:r>
      <w:r w:rsidRPr="0075146E">
        <w:rPr>
          <w:i/>
          <w:iCs/>
          <w:color w:val="auto"/>
        </w:rPr>
        <w:t>Nat Commun</w:t>
      </w:r>
      <w:r w:rsidRPr="0075146E">
        <w:rPr>
          <w:color w:val="auto"/>
        </w:rPr>
        <w:t xml:space="preserve"> </w:t>
      </w:r>
      <w:r w:rsidRPr="0075146E">
        <w:rPr>
          <w:b/>
          <w:bCs/>
          <w:color w:val="auto"/>
        </w:rPr>
        <w:t>14</w:t>
      </w:r>
      <w:r w:rsidRPr="0075146E">
        <w:rPr>
          <w:color w:val="auto"/>
        </w:rPr>
        <w:t>, 4891 (2023).</w:t>
      </w:r>
    </w:p>
    <w:p w14:paraId="12836401" w14:textId="77777777" w:rsidR="0075146E" w:rsidRPr="0075146E" w:rsidRDefault="0075146E" w:rsidP="0075146E">
      <w:pPr>
        <w:pStyle w:val="Bibliography"/>
        <w:rPr>
          <w:color w:val="auto"/>
        </w:rPr>
      </w:pPr>
      <w:r w:rsidRPr="0075146E">
        <w:rPr>
          <w:color w:val="auto"/>
        </w:rPr>
        <w:t xml:space="preserve">67. </w:t>
      </w:r>
      <w:r w:rsidRPr="0075146E">
        <w:rPr>
          <w:color w:val="auto"/>
        </w:rPr>
        <w:tab/>
        <w:t xml:space="preserve">M. G. Connolly, </w:t>
      </w:r>
      <w:r w:rsidRPr="0075146E">
        <w:rPr>
          <w:i/>
          <w:iCs/>
          <w:color w:val="auto"/>
        </w:rPr>
        <w:t>et al.</w:t>
      </w:r>
      <w:r w:rsidRPr="0075146E">
        <w:rPr>
          <w:color w:val="auto"/>
        </w:rPr>
        <w:t xml:space="preserve">, Single-Nucleus RNA Sequencing Reveals Enduring Signatures of Acute Stress and Chronic Exercise in Striatal Microglia. </w:t>
      </w:r>
      <w:r w:rsidRPr="0075146E">
        <w:rPr>
          <w:i/>
          <w:iCs/>
          <w:color w:val="auto"/>
        </w:rPr>
        <w:t>Genes, Brain and Behavior</w:t>
      </w:r>
      <w:r w:rsidRPr="0075146E">
        <w:rPr>
          <w:color w:val="auto"/>
        </w:rPr>
        <w:t xml:space="preserve"> </w:t>
      </w:r>
      <w:r w:rsidRPr="0075146E">
        <w:rPr>
          <w:b/>
          <w:bCs/>
          <w:color w:val="auto"/>
        </w:rPr>
        <w:t>24</w:t>
      </w:r>
      <w:r w:rsidRPr="0075146E">
        <w:rPr>
          <w:color w:val="auto"/>
        </w:rPr>
        <w:t>, e70019 (2025).</w:t>
      </w:r>
    </w:p>
    <w:p w14:paraId="55A0358F" w14:textId="77777777" w:rsidR="0075146E" w:rsidRPr="0075146E" w:rsidRDefault="0075146E" w:rsidP="0075146E">
      <w:pPr>
        <w:pStyle w:val="Bibliography"/>
        <w:rPr>
          <w:color w:val="auto"/>
        </w:rPr>
      </w:pPr>
      <w:r w:rsidRPr="0075146E">
        <w:rPr>
          <w:color w:val="auto"/>
        </w:rPr>
        <w:t xml:space="preserve">68. </w:t>
      </w:r>
      <w:r w:rsidRPr="0075146E">
        <w:rPr>
          <w:color w:val="auto"/>
        </w:rPr>
        <w:tab/>
        <w:t xml:space="preserve">D. Bates, </w:t>
      </w:r>
      <w:r w:rsidRPr="0075146E">
        <w:rPr>
          <w:i/>
          <w:iCs/>
          <w:color w:val="auto"/>
        </w:rPr>
        <w:t>et al.</w:t>
      </w:r>
      <w:r w:rsidRPr="0075146E">
        <w:rPr>
          <w:color w:val="auto"/>
        </w:rPr>
        <w:t>, lme4: Linear Mixed-Effects Models using “Eigen” and S4. (2024). Deposited 3 July 2024.</w:t>
      </w:r>
    </w:p>
    <w:p w14:paraId="7E3380F4" w14:textId="77777777" w:rsidR="0075146E" w:rsidRPr="0075146E" w:rsidRDefault="0075146E" w:rsidP="0075146E">
      <w:pPr>
        <w:pStyle w:val="Bibliography"/>
        <w:rPr>
          <w:color w:val="auto"/>
        </w:rPr>
      </w:pPr>
      <w:r w:rsidRPr="0075146E">
        <w:rPr>
          <w:color w:val="auto"/>
        </w:rPr>
        <w:t xml:space="preserve">69. </w:t>
      </w:r>
      <w:r w:rsidRPr="0075146E">
        <w:rPr>
          <w:color w:val="auto"/>
        </w:rPr>
        <w:tab/>
        <w:t xml:space="preserve">G. S. Gulati, </w:t>
      </w:r>
      <w:r w:rsidRPr="0075146E">
        <w:rPr>
          <w:i/>
          <w:iCs/>
          <w:color w:val="auto"/>
        </w:rPr>
        <w:t>et al.</w:t>
      </w:r>
      <w:r w:rsidRPr="0075146E">
        <w:rPr>
          <w:color w:val="auto"/>
        </w:rPr>
        <w:t xml:space="preserve">, Single-cell transcriptional diversity is a hallmark of developmental potential. </w:t>
      </w:r>
      <w:r w:rsidRPr="0075146E">
        <w:rPr>
          <w:i/>
          <w:iCs/>
          <w:color w:val="auto"/>
        </w:rPr>
        <w:t>Science</w:t>
      </w:r>
      <w:r w:rsidRPr="0075146E">
        <w:rPr>
          <w:color w:val="auto"/>
        </w:rPr>
        <w:t xml:space="preserve"> </w:t>
      </w:r>
      <w:r w:rsidRPr="0075146E">
        <w:rPr>
          <w:b/>
          <w:bCs/>
          <w:color w:val="auto"/>
        </w:rPr>
        <w:t>367</w:t>
      </w:r>
      <w:r w:rsidRPr="0075146E">
        <w:rPr>
          <w:color w:val="auto"/>
        </w:rPr>
        <w:t>, 405–411 (2020).</w:t>
      </w:r>
    </w:p>
    <w:p w14:paraId="18E71C9C" w14:textId="77777777" w:rsidR="0075146E" w:rsidRPr="0075146E" w:rsidRDefault="0075146E" w:rsidP="0075146E">
      <w:pPr>
        <w:pStyle w:val="Bibliography"/>
        <w:rPr>
          <w:color w:val="auto"/>
        </w:rPr>
      </w:pPr>
      <w:r w:rsidRPr="0075146E">
        <w:rPr>
          <w:color w:val="auto"/>
        </w:rPr>
        <w:t xml:space="preserve">70. </w:t>
      </w:r>
      <w:r w:rsidRPr="0075146E">
        <w:rPr>
          <w:color w:val="auto"/>
        </w:rPr>
        <w:tab/>
        <w:t xml:space="preserve">S. Aibar, </w:t>
      </w:r>
      <w:r w:rsidRPr="0075146E">
        <w:rPr>
          <w:i/>
          <w:iCs/>
          <w:color w:val="auto"/>
        </w:rPr>
        <w:t>et al.</w:t>
      </w:r>
      <w:r w:rsidRPr="0075146E">
        <w:rPr>
          <w:color w:val="auto"/>
        </w:rPr>
        <w:t xml:space="preserve">, SCENIC: single-cell regulatory network inference and clustering. </w:t>
      </w:r>
      <w:r w:rsidRPr="0075146E">
        <w:rPr>
          <w:i/>
          <w:iCs/>
          <w:color w:val="auto"/>
        </w:rPr>
        <w:t>Nat Methods</w:t>
      </w:r>
      <w:r w:rsidRPr="0075146E">
        <w:rPr>
          <w:color w:val="auto"/>
        </w:rPr>
        <w:t xml:space="preserve"> </w:t>
      </w:r>
      <w:r w:rsidRPr="0075146E">
        <w:rPr>
          <w:b/>
          <w:bCs/>
          <w:color w:val="auto"/>
        </w:rPr>
        <w:t>14</w:t>
      </w:r>
      <w:r w:rsidRPr="0075146E">
        <w:rPr>
          <w:color w:val="auto"/>
        </w:rPr>
        <w:t>, 1083–1086 (2017).</w:t>
      </w:r>
    </w:p>
    <w:p w14:paraId="15D1B0F5" w14:textId="75414BD5" w:rsidR="002613B6" w:rsidRPr="007A682B" w:rsidRDefault="004F6DBB" w:rsidP="0075146E">
      <w:pPr>
        <w:pStyle w:val="Bibliography"/>
        <w:rPr>
          <w:rFonts w:ascii="Arial" w:hAnsi="Arial" w:cs="Arial"/>
          <w:sz w:val="20"/>
          <w:szCs w:val="20"/>
        </w:rPr>
      </w:pPr>
      <w:r w:rsidRPr="007A682B">
        <w:rPr>
          <w:rFonts w:ascii="Arial" w:hAnsi="Arial" w:cs="Arial"/>
          <w:sz w:val="20"/>
          <w:szCs w:val="20"/>
        </w:rPr>
        <w:fldChar w:fldCharType="end"/>
      </w:r>
    </w:p>
    <w:sectPr w:rsidR="002613B6" w:rsidRPr="007A682B" w:rsidSect="00551E7E">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Graham, Gabriel J." w:date="2026-10-08T19:18:00Z" w:initials="GGJ">
    <w:p w14:paraId="160B58DC" w14:textId="77777777" w:rsidR="00861E9A" w:rsidRDefault="00861E9A" w:rsidP="00861E9A">
      <w:r>
        <w:rPr>
          <w:rStyle w:val="CommentReference"/>
        </w:rPr>
        <w:annotationRef/>
      </w:r>
      <w:r>
        <w:rPr>
          <w:sz w:val="20"/>
          <w:szCs w:val="20"/>
        </w:rPr>
        <w:t>Note this is fold change of log10 transformed, should it be in raw scale instead which is closer to 20</w:t>
      </w:r>
    </w:p>
  </w:comment>
  <w:comment w:id="1" w:author="Graham, Gabriel J." w:date="2026-08-24T12:14:00Z" w:initials="GGJ">
    <w:p w14:paraId="3C4ECC42" w14:textId="2379CC57" w:rsidR="00715C76" w:rsidRDefault="00715C76" w:rsidP="00715C76">
      <w:r>
        <w:rPr>
          <w:rStyle w:val="CommentReference"/>
        </w:rPr>
        <w:annotationRef/>
      </w:r>
      <w:r>
        <w:rPr>
          <w:sz w:val="20"/>
          <w:szCs w:val="20"/>
        </w:rPr>
        <w:t>Coltan can you review the figure and see if there is anything you want to change about it</w:t>
      </w:r>
    </w:p>
  </w:comment>
  <w:comment w:id="2" w:author="Graham, Gabriel J." w:date="2026-10-07T21:50:00Z" w:initials="GGJ">
    <w:p w14:paraId="547D4B9C" w14:textId="77777777" w:rsidR="00385EE8" w:rsidRDefault="00385EE8" w:rsidP="00385EE8">
      <w:r>
        <w:rPr>
          <w:rStyle w:val="CommentReference"/>
        </w:rPr>
        <w:annotationRef/>
      </w:r>
      <w:r>
        <w:rPr>
          <w:sz w:val="20"/>
          <w:szCs w:val="20"/>
        </w:rPr>
        <w:t>Do we need both hedges g and F value?</w:t>
      </w:r>
    </w:p>
  </w:comment>
  <w:comment w:id="3" w:author="Graham, Gabriel J." w:date="2026-10-09T15:54:00Z" w:initials="GGJ">
    <w:p w14:paraId="30A58DDD" w14:textId="77777777" w:rsidR="00913D54" w:rsidRDefault="00913D54" w:rsidP="00913D54">
      <w:r>
        <w:rPr>
          <w:rStyle w:val="CommentReference"/>
        </w:rPr>
        <w:annotationRef/>
      </w:r>
      <w:r>
        <w:rPr>
          <w:sz w:val="20"/>
          <w:szCs w:val="20"/>
        </w:rPr>
        <w:t>Which file are these data from? I can put in supplemental</w:t>
      </w:r>
    </w:p>
  </w:comment>
  <w:comment w:id="4" w:author="Graham, Gabriel J." w:date="2026-10-09T15:55:00Z" w:initials="GGJ">
    <w:p w14:paraId="509769D1" w14:textId="77777777" w:rsidR="00913D54" w:rsidRDefault="00913D54" w:rsidP="00913D54">
      <w:r>
        <w:rPr>
          <w:rStyle w:val="CommentReference"/>
        </w:rPr>
        <w:annotationRef/>
      </w:r>
      <w:r>
        <w:rPr>
          <w:sz w:val="20"/>
          <w:szCs w:val="20"/>
        </w:rPr>
        <w:t>same question as above</w:t>
      </w:r>
    </w:p>
  </w:comment>
  <w:comment w:id="5" w:author="Rhodes, Justin S" w:date="2026-10-01T15:21:00Z" w:initials="JR">
    <w:p w14:paraId="7842C088" w14:textId="77777777" w:rsidR="00135D5F" w:rsidRDefault="00135D5F" w:rsidP="00135D5F">
      <w:pPr>
        <w:pStyle w:val="CommentText"/>
      </w:pPr>
      <w:r>
        <w:rPr>
          <w:rStyle w:val="CommentReference"/>
        </w:rPr>
        <w:annotationRef/>
      </w:r>
      <w:r>
        <w:t>I don’t like this sentence, it does not seem to follow, just because they are uncorrelated does not mean there is additional control beyond uncx, what is the logic there? Of course there is additinoal control beyond uncx, we identify many different contributors, these regulatory networks are exclusive meaning they exclude many other genes that are related, focusing on the most positive ones, also gene expression does not mean activtiy of the protein as you know.</w:t>
      </w:r>
    </w:p>
  </w:comment>
  <w:comment w:id="6" w:author="Graham, Gabriel J." w:date="2026-10-10T14:05:00Z" w:initials="GGJ">
    <w:p w14:paraId="2F6ED39A" w14:textId="77777777" w:rsidR="00680E5C" w:rsidRDefault="00680E5C" w:rsidP="00680E5C">
      <w:r>
        <w:rPr>
          <w:rStyle w:val="CommentReference"/>
        </w:rPr>
        <w:annotationRef/>
      </w:r>
      <w:r>
        <w:rPr>
          <w:sz w:val="20"/>
          <w:szCs w:val="20"/>
        </w:rPr>
        <w:t xml:space="preserve">Im not really sure how to square this so you can make the edits to this paragraph. To me it seems confusing that one TF has two opposing actions to different genes at different times, and i dont know how we can say that without any in vitro evidence </w:t>
      </w:r>
    </w:p>
  </w:comment>
  <w:comment w:id="8" w:author="Rhodes, Justin S" w:date="2026-10-01T15:18:00Z" w:initials="JR">
    <w:p w14:paraId="317650FE" w14:textId="77777777" w:rsidR="00135D5F" w:rsidRDefault="00135D5F" w:rsidP="00135D5F">
      <w:pPr>
        <w:pStyle w:val="CommentText"/>
      </w:pPr>
      <w:r>
        <w:rPr>
          <w:rStyle w:val="CommentReference"/>
        </w:rPr>
        <w:annotationRef/>
      </w:r>
      <w:r>
        <w:t xml:space="preserve">I don’t know if I agree with this statement.  If it were just the circulating E2 then there should be increased expression of ESR2B genes in cluster 1 also.  In addition, the increased accessibility that you observed and cited here provides the most direct mechanism, the increase is due to changes in chromatin accessibility, not local or ciculating levels of E2.  </w:t>
      </w:r>
    </w:p>
  </w:comment>
  <w:comment w:id="7" w:author="Rhodes, Justin S" w:date="2026-10-01T15:32:00Z" w:initials="JR">
    <w:p w14:paraId="2BA00BFB" w14:textId="77777777" w:rsidR="006E6DD9" w:rsidRDefault="006E6DD9" w:rsidP="006E6DD9">
      <w:pPr>
        <w:pStyle w:val="CommentText"/>
      </w:pPr>
      <w:r>
        <w:rPr>
          <w:rStyle w:val="CommentReference"/>
        </w:rPr>
        <w:annotationRef/>
      </w:r>
      <w:r>
        <w:t xml:space="preserve">I think this section deserves more careful consideration about what we want to include.  I think the conclusion is for different receptors there are likely different mechanisms driving changes during sex change.  And it is super dynamic and complex.    Androgen receptors don’’t seem to change during sex change in the POA, neither does gene expression of androgen associated genes in general, or accessibilty in general, but certain genes, like znf, stx show altered regulation by AR during sex chagne late up and down regulated, could be related to difference in circulating 11KT, or accessibilty ( I should check accessibility between groups for these genes)..  For PGR, it seems likely the ligand either from the blood or local in the brain, since PGR gene expression generally goes up in females, while pgr goes transiently down, with no change in accessibility.  ESR2B genes generally go up in females and also accessibilty, suggesting accessibilty accounts for this.   </w:t>
      </w:r>
    </w:p>
  </w:comment>
  <w:comment w:id="9" w:author="Rhodes, Justin S" w:date="2026-10-02T10:19:00Z" w:initials="JR">
    <w:p w14:paraId="3231B06A" w14:textId="77777777" w:rsidR="009E60BC" w:rsidRDefault="009E60BC" w:rsidP="009E60BC">
      <w:pPr>
        <w:pStyle w:val="CommentText"/>
      </w:pPr>
      <w:r>
        <w:rPr>
          <w:rStyle w:val="CommentReference"/>
        </w:rPr>
        <w:annotationRef/>
      </w:r>
      <w:r>
        <w:t>Can we say more about what this means.  I don’t understand.  Are there references we can provide for this?</w:t>
      </w:r>
    </w:p>
  </w:comment>
  <w:comment w:id="10" w:author="Graham, Gabriel J." w:date="2026-10-05T14:10:00Z" w:initials="GGJ">
    <w:p w14:paraId="49761346" w14:textId="77777777" w:rsidR="009613F6" w:rsidRDefault="009613F6" w:rsidP="009613F6">
      <w:r>
        <w:rPr>
          <w:rStyle w:val="CommentReference"/>
        </w:rPr>
        <w:annotationRef/>
      </w:r>
      <w:r>
        <w:rPr>
          <w:sz w:val="20"/>
          <w:szCs w:val="20"/>
        </w:rPr>
        <w:t>This is from Katies QC but what it means is cells that are not expressing at least 55% of the genes from the FindVariableGenes() function are removed, is I believe part of the satija lab workflow thout katie could speak more to it</w:t>
      </w:r>
    </w:p>
  </w:comment>
  <w:comment w:id="11" w:author="Rhodes, Justin S" w:date="2026-10-02T10:20:00Z" w:initials="JR">
    <w:p w14:paraId="12FED78F" w14:textId="77777777" w:rsidR="009E60BC" w:rsidRDefault="009E60BC" w:rsidP="009E60BC">
      <w:pPr>
        <w:pStyle w:val="CommentText"/>
      </w:pPr>
      <w:r>
        <w:rPr>
          <w:rStyle w:val="CommentReference"/>
        </w:rPr>
        <w:annotationRef/>
      </w:r>
      <w:r>
        <w:t>Why did we use these criteria, following another paper or standard...</w:t>
      </w:r>
    </w:p>
  </w:comment>
  <w:comment w:id="12" w:author="Graham, Gabriel J." w:date="2026-10-05T14:10:00Z" w:initials="GGJ">
    <w:p w14:paraId="361006A4" w14:textId="77777777" w:rsidR="009613F6" w:rsidRDefault="009613F6" w:rsidP="009613F6">
      <w:r>
        <w:rPr>
          <w:rStyle w:val="CommentReference"/>
        </w:rPr>
        <w:annotationRef/>
      </w:r>
      <w:r>
        <w:rPr>
          <w:sz w:val="20"/>
          <w:szCs w:val="20"/>
        </w:rPr>
        <w:t>Again, ask Katie, though most of this is standard</w:t>
      </w:r>
    </w:p>
  </w:comment>
  <w:comment w:id="13" w:author="Graham, Gabriel J." w:date="2026-10-09T15:56:00Z" w:initials="GGJ">
    <w:p w14:paraId="49D8820A" w14:textId="77777777" w:rsidR="00913D54" w:rsidRDefault="00913D54" w:rsidP="00913D54">
      <w:r>
        <w:rPr>
          <w:rStyle w:val="CommentReference"/>
        </w:rPr>
        <w:annotationRef/>
      </w:r>
      <w:r>
        <w:rPr>
          <w:sz w:val="20"/>
          <w:szCs w:val="20"/>
        </w:rPr>
        <w:t>Need this table, do you really think this is necessary though?</w:t>
      </w:r>
    </w:p>
  </w:comment>
  <w:comment w:id="14" w:author="Graham, Gabriel J." w:date="2026-10-08T19:00:00Z" w:initials="GGJ">
    <w:p w14:paraId="05D2AABA" w14:textId="77777777" w:rsidR="00E079F4" w:rsidRDefault="00E079F4" w:rsidP="00E079F4">
      <w:r>
        <w:rPr>
          <w:rStyle w:val="CommentReference"/>
        </w:rPr>
        <w:annotationRef/>
      </w:r>
      <w:r>
        <w:rPr>
          <w:sz w:val="20"/>
          <w:szCs w:val="20"/>
        </w:rPr>
        <w:t>Justin how much of this can we remove cause to my eye it is all told in " we followed the manufacturers recommendation" and the rest is a description of that</w:t>
      </w:r>
    </w:p>
  </w:comment>
  <w:comment w:id="15" w:author="Graham, Gabriel J." w:date="2026-08-10T13:14:00Z" w:initials="GGJ">
    <w:p w14:paraId="4211409F" w14:textId="77777777" w:rsidR="00D20A6D" w:rsidRDefault="00D20A6D" w:rsidP="00D20A6D">
      <w:r>
        <w:rPr>
          <w:rStyle w:val="CommentReference"/>
        </w:rPr>
        <w:annotationRef/>
      </w:r>
      <w:r>
        <w:rPr>
          <w:sz w:val="20"/>
          <w:szCs w:val="20"/>
        </w:rPr>
        <w:t>Need jenny to write basically everything she did upstream of giving us the object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60B58DC" w15:done="0"/>
  <w15:commentEx w15:paraId="3C4ECC42" w15:done="0"/>
  <w15:commentEx w15:paraId="547D4B9C" w15:done="0"/>
  <w15:commentEx w15:paraId="30A58DDD" w15:done="0"/>
  <w15:commentEx w15:paraId="509769D1" w15:done="0"/>
  <w15:commentEx w15:paraId="7842C088" w15:done="0"/>
  <w15:commentEx w15:paraId="2F6ED39A" w15:paraIdParent="7842C088" w15:done="0"/>
  <w15:commentEx w15:paraId="317650FE" w15:done="0"/>
  <w15:commentEx w15:paraId="2BA00BFB" w15:done="0"/>
  <w15:commentEx w15:paraId="3231B06A" w15:done="0"/>
  <w15:commentEx w15:paraId="49761346" w15:paraIdParent="3231B06A" w15:done="0"/>
  <w15:commentEx w15:paraId="12FED78F" w15:done="0"/>
  <w15:commentEx w15:paraId="361006A4" w15:paraIdParent="12FED78F" w15:done="0"/>
  <w15:commentEx w15:paraId="49D8820A" w15:done="0"/>
  <w15:commentEx w15:paraId="05D2AABA" w15:done="0"/>
  <w15:commentEx w15:paraId="421140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FAB0F5A" w16cex:dateUtc="2026-10-08T23:18:00Z"/>
  <w16cex:commentExtensible w16cex:durableId="433C772E" w16cex:dateUtc="2026-08-24T16:14:00Z"/>
  <w16cex:commentExtensible w16cex:durableId="7D1E6C1C" w16cex:dateUtc="2026-10-08T01:50:00Z"/>
  <w16cex:commentExtensible w16cex:durableId="4854A006" w16cex:dateUtc="2026-10-09T19:54:00Z"/>
  <w16cex:commentExtensible w16cex:durableId="0B506FD9" w16cex:dateUtc="2026-10-09T19:55:00Z"/>
  <w16cex:commentExtensible w16cex:durableId="465231E1" w16cex:dateUtc="2026-10-01T20:21:00Z"/>
  <w16cex:commentExtensible w16cex:durableId="2C6F3F9F" w16cex:dateUtc="2026-10-10T18:05:00Z"/>
  <w16cex:commentExtensible w16cex:durableId="788BB19D" w16cex:dateUtc="2026-10-01T20:18:00Z"/>
  <w16cex:commentExtensible w16cex:durableId="6B4B8AEA" w16cex:dateUtc="2026-10-01T20:32:00Z"/>
  <w16cex:commentExtensible w16cex:durableId="4EA48AB1" w16cex:dateUtc="2026-10-02T15:19:00Z"/>
  <w16cex:commentExtensible w16cex:durableId="7FB6B3D1" w16cex:dateUtc="2026-10-05T18:10:00Z"/>
  <w16cex:commentExtensible w16cex:durableId="4FB49A17" w16cex:dateUtc="2026-10-02T15:20:00Z"/>
  <w16cex:commentExtensible w16cex:durableId="0AF10FE5" w16cex:dateUtc="2026-10-05T18:10:00Z"/>
  <w16cex:commentExtensible w16cex:durableId="62899C02" w16cex:dateUtc="2026-10-09T19:56:00Z"/>
  <w16cex:commentExtensible w16cex:durableId="71A7CE24" w16cex:dateUtc="2026-10-08T23:00:00Z"/>
  <w16cex:commentExtensible w16cex:durableId="41C7445F" w16cex:dateUtc="2026-08-10T17: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60B58DC" w16cid:durableId="0FAB0F5A"/>
  <w16cid:commentId w16cid:paraId="3C4ECC42" w16cid:durableId="433C772E"/>
  <w16cid:commentId w16cid:paraId="547D4B9C" w16cid:durableId="7D1E6C1C"/>
  <w16cid:commentId w16cid:paraId="30A58DDD" w16cid:durableId="4854A006"/>
  <w16cid:commentId w16cid:paraId="509769D1" w16cid:durableId="0B506FD9"/>
  <w16cid:commentId w16cid:paraId="7842C088" w16cid:durableId="465231E1"/>
  <w16cid:commentId w16cid:paraId="2F6ED39A" w16cid:durableId="2C6F3F9F"/>
  <w16cid:commentId w16cid:paraId="317650FE" w16cid:durableId="788BB19D"/>
  <w16cid:commentId w16cid:paraId="2BA00BFB" w16cid:durableId="6B4B8AEA"/>
  <w16cid:commentId w16cid:paraId="3231B06A" w16cid:durableId="4EA48AB1"/>
  <w16cid:commentId w16cid:paraId="49761346" w16cid:durableId="7FB6B3D1"/>
  <w16cid:commentId w16cid:paraId="12FED78F" w16cid:durableId="4FB49A17"/>
  <w16cid:commentId w16cid:paraId="361006A4" w16cid:durableId="0AF10FE5"/>
  <w16cid:commentId w16cid:paraId="49D8820A" w16cid:durableId="62899C02"/>
  <w16cid:commentId w16cid:paraId="05D2AABA" w16cid:durableId="71A7CE24"/>
  <w16cid:commentId w16cid:paraId="4211409F" w16cid:durableId="41C744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F74A58" w14:textId="77777777" w:rsidR="00685651" w:rsidRDefault="00685651" w:rsidP="00485133">
      <w:r>
        <w:separator/>
      </w:r>
    </w:p>
  </w:endnote>
  <w:endnote w:type="continuationSeparator" w:id="0">
    <w:p w14:paraId="2C122FB9" w14:textId="77777777" w:rsidR="00685651" w:rsidRDefault="00685651" w:rsidP="004851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B37BB3" w14:textId="77777777" w:rsidR="00685651" w:rsidRDefault="00685651" w:rsidP="00485133">
      <w:r>
        <w:separator/>
      </w:r>
    </w:p>
  </w:footnote>
  <w:footnote w:type="continuationSeparator" w:id="0">
    <w:p w14:paraId="3D44D78E" w14:textId="77777777" w:rsidR="00685651" w:rsidRDefault="00685651" w:rsidP="004851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4DD6FA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710663C"/>
    <w:multiLevelType w:val="hybridMultilevel"/>
    <w:tmpl w:val="824658D2"/>
    <w:lvl w:ilvl="0" w:tplc="D74ADD8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A6524C"/>
    <w:multiLevelType w:val="hybridMultilevel"/>
    <w:tmpl w:val="B428FE5E"/>
    <w:lvl w:ilvl="0" w:tplc="8DFEC09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6B6749D"/>
    <w:multiLevelType w:val="hybridMultilevel"/>
    <w:tmpl w:val="5046F57C"/>
    <w:lvl w:ilvl="0" w:tplc="F8ACA6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3F3BAE"/>
    <w:multiLevelType w:val="hybridMultilevel"/>
    <w:tmpl w:val="2550C8A4"/>
    <w:lvl w:ilvl="0" w:tplc="02EA0B62">
      <w:start w:val="2"/>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15:restartNumberingAfterBreak="0">
    <w:nsid w:val="74442713"/>
    <w:multiLevelType w:val="hybridMultilevel"/>
    <w:tmpl w:val="FC060E64"/>
    <w:lvl w:ilvl="0" w:tplc="97621368">
      <w:start w:val="1"/>
      <w:numFmt w:val="bullet"/>
      <w:lvlText w:val=""/>
      <w:lvlJc w:val="left"/>
      <w:pPr>
        <w:ind w:left="720" w:hanging="360"/>
      </w:pPr>
      <w:rPr>
        <w:rFonts w:ascii="Symbol" w:eastAsiaTheme="minorHAnsi" w:hAnsi="Symbol"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50847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7AB002BC"/>
    <w:multiLevelType w:val="hybridMultilevel"/>
    <w:tmpl w:val="56124152"/>
    <w:lvl w:ilvl="0" w:tplc="46A47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7038209">
    <w:abstractNumId w:val="7"/>
  </w:num>
  <w:num w:numId="2" w16cid:durableId="1920164938">
    <w:abstractNumId w:val="2"/>
  </w:num>
  <w:num w:numId="3" w16cid:durableId="2128348">
    <w:abstractNumId w:val="5"/>
  </w:num>
  <w:num w:numId="4" w16cid:durableId="438066328">
    <w:abstractNumId w:val="1"/>
  </w:num>
  <w:num w:numId="5" w16cid:durableId="449131336">
    <w:abstractNumId w:val="4"/>
  </w:num>
  <w:num w:numId="6" w16cid:durableId="607322564">
    <w:abstractNumId w:val="3"/>
  </w:num>
  <w:num w:numId="7" w16cid:durableId="1139496976">
    <w:abstractNumId w:val="0"/>
  </w:num>
  <w:num w:numId="8" w16cid:durableId="187885751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raham, Gabriel J.">
    <w15:presenceInfo w15:providerId="AD" w15:userId="S::gjg2134@cumc.columbia.edu::d04249e3-dddd-46f1-a69e-ff52b6530909"/>
  </w15:person>
  <w15:person w15:author="Rhodes, Justin S">
    <w15:presenceInfo w15:providerId="AD" w15:userId="S::jrhodes@illinois.edu::27bcc96f-859c-4b57-a2a0-7a1e2125262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6FA"/>
    <w:rsid w:val="0000259D"/>
    <w:rsid w:val="0000678A"/>
    <w:rsid w:val="00007CA9"/>
    <w:rsid w:val="00013B2B"/>
    <w:rsid w:val="00013D8B"/>
    <w:rsid w:val="000160E8"/>
    <w:rsid w:val="0001613D"/>
    <w:rsid w:val="00017C6D"/>
    <w:rsid w:val="00021BBD"/>
    <w:rsid w:val="00021DFB"/>
    <w:rsid w:val="00024751"/>
    <w:rsid w:val="000256B5"/>
    <w:rsid w:val="000260E3"/>
    <w:rsid w:val="00026866"/>
    <w:rsid w:val="00026EE3"/>
    <w:rsid w:val="00027947"/>
    <w:rsid w:val="00031B43"/>
    <w:rsid w:val="00032EC3"/>
    <w:rsid w:val="00036181"/>
    <w:rsid w:val="00036E25"/>
    <w:rsid w:val="00040572"/>
    <w:rsid w:val="00042EF3"/>
    <w:rsid w:val="000471EB"/>
    <w:rsid w:val="00047516"/>
    <w:rsid w:val="00047A9E"/>
    <w:rsid w:val="0005005F"/>
    <w:rsid w:val="00051CD7"/>
    <w:rsid w:val="00052114"/>
    <w:rsid w:val="00053087"/>
    <w:rsid w:val="000532BC"/>
    <w:rsid w:val="00056B81"/>
    <w:rsid w:val="00057566"/>
    <w:rsid w:val="00060A4E"/>
    <w:rsid w:val="00063103"/>
    <w:rsid w:val="00063CC7"/>
    <w:rsid w:val="00064EA0"/>
    <w:rsid w:val="00065EE2"/>
    <w:rsid w:val="000720FC"/>
    <w:rsid w:val="00073A7B"/>
    <w:rsid w:val="000745C4"/>
    <w:rsid w:val="00081B4A"/>
    <w:rsid w:val="00081C22"/>
    <w:rsid w:val="00083E1E"/>
    <w:rsid w:val="00084CB5"/>
    <w:rsid w:val="00085080"/>
    <w:rsid w:val="00085C8E"/>
    <w:rsid w:val="00085EC5"/>
    <w:rsid w:val="0009095F"/>
    <w:rsid w:val="00093DF6"/>
    <w:rsid w:val="00093E8E"/>
    <w:rsid w:val="0009486A"/>
    <w:rsid w:val="00094EA5"/>
    <w:rsid w:val="000A04FB"/>
    <w:rsid w:val="000A129F"/>
    <w:rsid w:val="000A3209"/>
    <w:rsid w:val="000A3941"/>
    <w:rsid w:val="000A694F"/>
    <w:rsid w:val="000A7BB6"/>
    <w:rsid w:val="000B01EA"/>
    <w:rsid w:val="000B2652"/>
    <w:rsid w:val="000B4F36"/>
    <w:rsid w:val="000B7848"/>
    <w:rsid w:val="000C33B0"/>
    <w:rsid w:val="000C584D"/>
    <w:rsid w:val="000E12FE"/>
    <w:rsid w:val="000E3306"/>
    <w:rsid w:val="000E3F08"/>
    <w:rsid w:val="000E7AF0"/>
    <w:rsid w:val="000F0BD7"/>
    <w:rsid w:val="000F5120"/>
    <w:rsid w:val="000F5186"/>
    <w:rsid w:val="000F54D0"/>
    <w:rsid w:val="000F67DE"/>
    <w:rsid w:val="00112078"/>
    <w:rsid w:val="00112B33"/>
    <w:rsid w:val="0011470A"/>
    <w:rsid w:val="00120D6D"/>
    <w:rsid w:val="00120EF9"/>
    <w:rsid w:val="00121609"/>
    <w:rsid w:val="00121AE8"/>
    <w:rsid w:val="001225C7"/>
    <w:rsid w:val="00123917"/>
    <w:rsid w:val="00127676"/>
    <w:rsid w:val="001277A8"/>
    <w:rsid w:val="0013116C"/>
    <w:rsid w:val="0013365A"/>
    <w:rsid w:val="00133953"/>
    <w:rsid w:val="00135D5F"/>
    <w:rsid w:val="00137AED"/>
    <w:rsid w:val="00141C2A"/>
    <w:rsid w:val="00142C03"/>
    <w:rsid w:val="00146E01"/>
    <w:rsid w:val="00152ED0"/>
    <w:rsid w:val="001575EF"/>
    <w:rsid w:val="00161CC6"/>
    <w:rsid w:val="0016224F"/>
    <w:rsid w:val="00166663"/>
    <w:rsid w:val="00167572"/>
    <w:rsid w:val="00170D0A"/>
    <w:rsid w:val="00173A1E"/>
    <w:rsid w:val="00174060"/>
    <w:rsid w:val="00175C20"/>
    <w:rsid w:val="00176DB5"/>
    <w:rsid w:val="001770F5"/>
    <w:rsid w:val="0018081A"/>
    <w:rsid w:val="0018132A"/>
    <w:rsid w:val="00181D2D"/>
    <w:rsid w:val="001856E9"/>
    <w:rsid w:val="00185E00"/>
    <w:rsid w:val="00190090"/>
    <w:rsid w:val="001942D0"/>
    <w:rsid w:val="001960C6"/>
    <w:rsid w:val="0019641B"/>
    <w:rsid w:val="001A15EB"/>
    <w:rsid w:val="001A5C06"/>
    <w:rsid w:val="001A65DE"/>
    <w:rsid w:val="001B0395"/>
    <w:rsid w:val="001B7043"/>
    <w:rsid w:val="001C3785"/>
    <w:rsid w:val="001C3D08"/>
    <w:rsid w:val="001C4E6C"/>
    <w:rsid w:val="001C7F1E"/>
    <w:rsid w:val="001D3188"/>
    <w:rsid w:val="001D3AD4"/>
    <w:rsid w:val="001D4EEB"/>
    <w:rsid w:val="001E03AD"/>
    <w:rsid w:val="001E145A"/>
    <w:rsid w:val="001E33C3"/>
    <w:rsid w:val="001E3631"/>
    <w:rsid w:val="001E447B"/>
    <w:rsid w:val="001E59FF"/>
    <w:rsid w:val="001F1449"/>
    <w:rsid w:val="00202D27"/>
    <w:rsid w:val="00202DDC"/>
    <w:rsid w:val="0020355D"/>
    <w:rsid w:val="00204F66"/>
    <w:rsid w:val="002108AE"/>
    <w:rsid w:val="00212FC0"/>
    <w:rsid w:val="0021381B"/>
    <w:rsid w:val="00215E72"/>
    <w:rsid w:val="0023174B"/>
    <w:rsid w:val="0023338A"/>
    <w:rsid w:val="00234ECB"/>
    <w:rsid w:val="0023586C"/>
    <w:rsid w:val="00240ECF"/>
    <w:rsid w:val="00247AA6"/>
    <w:rsid w:val="0025005C"/>
    <w:rsid w:val="00250B02"/>
    <w:rsid w:val="0025138F"/>
    <w:rsid w:val="00256506"/>
    <w:rsid w:val="002613B6"/>
    <w:rsid w:val="002636B9"/>
    <w:rsid w:val="0026403A"/>
    <w:rsid w:val="00264301"/>
    <w:rsid w:val="00264846"/>
    <w:rsid w:val="00264867"/>
    <w:rsid w:val="002661BD"/>
    <w:rsid w:val="0026691F"/>
    <w:rsid w:val="00266E78"/>
    <w:rsid w:val="00267A9B"/>
    <w:rsid w:val="00271E33"/>
    <w:rsid w:val="00276BC3"/>
    <w:rsid w:val="00277514"/>
    <w:rsid w:val="00277795"/>
    <w:rsid w:val="0028234A"/>
    <w:rsid w:val="002839DF"/>
    <w:rsid w:val="0028615F"/>
    <w:rsid w:val="00287262"/>
    <w:rsid w:val="00287C69"/>
    <w:rsid w:val="00290B1A"/>
    <w:rsid w:val="002925D5"/>
    <w:rsid w:val="00294540"/>
    <w:rsid w:val="00294947"/>
    <w:rsid w:val="00294B19"/>
    <w:rsid w:val="00296CF0"/>
    <w:rsid w:val="002A0494"/>
    <w:rsid w:val="002A568F"/>
    <w:rsid w:val="002B52D9"/>
    <w:rsid w:val="002B6B13"/>
    <w:rsid w:val="002C0089"/>
    <w:rsid w:val="002C130D"/>
    <w:rsid w:val="002C292C"/>
    <w:rsid w:val="002C3982"/>
    <w:rsid w:val="002C4026"/>
    <w:rsid w:val="002C63FE"/>
    <w:rsid w:val="002C76BB"/>
    <w:rsid w:val="002C7C6B"/>
    <w:rsid w:val="002D1A1A"/>
    <w:rsid w:val="002D1FFB"/>
    <w:rsid w:val="002D3F77"/>
    <w:rsid w:val="002D4401"/>
    <w:rsid w:val="002D5F81"/>
    <w:rsid w:val="002D6A85"/>
    <w:rsid w:val="002D7F34"/>
    <w:rsid w:val="002E29FC"/>
    <w:rsid w:val="002E7186"/>
    <w:rsid w:val="002F0AE6"/>
    <w:rsid w:val="002F2A67"/>
    <w:rsid w:val="002F5974"/>
    <w:rsid w:val="0030268C"/>
    <w:rsid w:val="00304865"/>
    <w:rsid w:val="00306D5A"/>
    <w:rsid w:val="003139C8"/>
    <w:rsid w:val="0031506B"/>
    <w:rsid w:val="00315CA8"/>
    <w:rsid w:val="00316A3A"/>
    <w:rsid w:val="00317AC5"/>
    <w:rsid w:val="00321681"/>
    <w:rsid w:val="003218DF"/>
    <w:rsid w:val="003247AC"/>
    <w:rsid w:val="00326DD1"/>
    <w:rsid w:val="003341ED"/>
    <w:rsid w:val="003372A9"/>
    <w:rsid w:val="003405A4"/>
    <w:rsid w:val="00340F8A"/>
    <w:rsid w:val="00344061"/>
    <w:rsid w:val="003440F3"/>
    <w:rsid w:val="0034452B"/>
    <w:rsid w:val="00345212"/>
    <w:rsid w:val="00345CB0"/>
    <w:rsid w:val="00346140"/>
    <w:rsid w:val="003471BC"/>
    <w:rsid w:val="003509A3"/>
    <w:rsid w:val="0035227F"/>
    <w:rsid w:val="00353774"/>
    <w:rsid w:val="0035522B"/>
    <w:rsid w:val="00357350"/>
    <w:rsid w:val="00360180"/>
    <w:rsid w:val="003609C5"/>
    <w:rsid w:val="00360E1D"/>
    <w:rsid w:val="00361EB1"/>
    <w:rsid w:val="003628DE"/>
    <w:rsid w:val="00362C1C"/>
    <w:rsid w:val="00363A7B"/>
    <w:rsid w:val="003645DC"/>
    <w:rsid w:val="00364E61"/>
    <w:rsid w:val="00370690"/>
    <w:rsid w:val="00371CA8"/>
    <w:rsid w:val="003732BC"/>
    <w:rsid w:val="00376C7F"/>
    <w:rsid w:val="00382D0D"/>
    <w:rsid w:val="00382FC9"/>
    <w:rsid w:val="00385EE8"/>
    <w:rsid w:val="003861FB"/>
    <w:rsid w:val="00392151"/>
    <w:rsid w:val="00393C5E"/>
    <w:rsid w:val="00395B26"/>
    <w:rsid w:val="00395F94"/>
    <w:rsid w:val="003964CD"/>
    <w:rsid w:val="003979F8"/>
    <w:rsid w:val="003A2C4D"/>
    <w:rsid w:val="003A38D8"/>
    <w:rsid w:val="003A3E1A"/>
    <w:rsid w:val="003A55B1"/>
    <w:rsid w:val="003B11D7"/>
    <w:rsid w:val="003B67E0"/>
    <w:rsid w:val="003B69C0"/>
    <w:rsid w:val="003C0375"/>
    <w:rsid w:val="003C61F2"/>
    <w:rsid w:val="003C65F0"/>
    <w:rsid w:val="003C6D7C"/>
    <w:rsid w:val="003D37DF"/>
    <w:rsid w:val="003D6751"/>
    <w:rsid w:val="003E4206"/>
    <w:rsid w:val="003E4DDF"/>
    <w:rsid w:val="003E7C41"/>
    <w:rsid w:val="003F13DB"/>
    <w:rsid w:val="003F230C"/>
    <w:rsid w:val="003F3C8F"/>
    <w:rsid w:val="003F42C7"/>
    <w:rsid w:val="003F53CC"/>
    <w:rsid w:val="003F6938"/>
    <w:rsid w:val="003F6DE9"/>
    <w:rsid w:val="0040232C"/>
    <w:rsid w:val="00412F78"/>
    <w:rsid w:val="004136AC"/>
    <w:rsid w:val="00414B4E"/>
    <w:rsid w:val="00415AF2"/>
    <w:rsid w:val="00422C46"/>
    <w:rsid w:val="00423BD8"/>
    <w:rsid w:val="00433010"/>
    <w:rsid w:val="0043315D"/>
    <w:rsid w:val="00433BD8"/>
    <w:rsid w:val="004340FC"/>
    <w:rsid w:val="00437591"/>
    <w:rsid w:val="00440AC4"/>
    <w:rsid w:val="004428A4"/>
    <w:rsid w:val="00445981"/>
    <w:rsid w:val="00446156"/>
    <w:rsid w:val="004554AD"/>
    <w:rsid w:val="00461386"/>
    <w:rsid w:val="00461D0A"/>
    <w:rsid w:val="004634AC"/>
    <w:rsid w:val="004648F4"/>
    <w:rsid w:val="00466473"/>
    <w:rsid w:val="00467056"/>
    <w:rsid w:val="004671DB"/>
    <w:rsid w:val="00467A00"/>
    <w:rsid w:val="00471523"/>
    <w:rsid w:val="00471DCC"/>
    <w:rsid w:val="004741B8"/>
    <w:rsid w:val="0048000D"/>
    <w:rsid w:val="004816FA"/>
    <w:rsid w:val="004828F1"/>
    <w:rsid w:val="00484C13"/>
    <w:rsid w:val="00485133"/>
    <w:rsid w:val="00485DB7"/>
    <w:rsid w:val="00486CB8"/>
    <w:rsid w:val="004878FE"/>
    <w:rsid w:val="00491F69"/>
    <w:rsid w:val="00494DCD"/>
    <w:rsid w:val="004958FF"/>
    <w:rsid w:val="004A2114"/>
    <w:rsid w:val="004A27C9"/>
    <w:rsid w:val="004A2F02"/>
    <w:rsid w:val="004A7A7C"/>
    <w:rsid w:val="004B14B0"/>
    <w:rsid w:val="004B219E"/>
    <w:rsid w:val="004B30CE"/>
    <w:rsid w:val="004B376B"/>
    <w:rsid w:val="004B7996"/>
    <w:rsid w:val="004C751B"/>
    <w:rsid w:val="004D00FE"/>
    <w:rsid w:val="004D3B43"/>
    <w:rsid w:val="004D49F9"/>
    <w:rsid w:val="004D60C4"/>
    <w:rsid w:val="004E043A"/>
    <w:rsid w:val="004E2E78"/>
    <w:rsid w:val="004E4E61"/>
    <w:rsid w:val="004F008D"/>
    <w:rsid w:val="004F4BE8"/>
    <w:rsid w:val="004F6DBB"/>
    <w:rsid w:val="00512BA9"/>
    <w:rsid w:val="00513C00"/>
    <w:rsid w:val="00514562"/>
    <w:rsid w:val="00515930"/>
    <w:rsid w:val="0051799D"/>
    <w:rsid w:val="00520F12"/>
    <w:rsid w:val="005225B0"/>
    <w:rsid w:val="0052265A"/>
    <w:rsid w:val="005263E4"/>
    <w:rsid w:val="00527BCA"/>
    <w:rsid w:val="00530E82"/>
    <w:rsid w:val="005311A9"/>
    <w:rsid w:val="005339FF"/>
    <w:rsid w:val="00536D5D"/>
    <w:rsid w:val="00540717"/>
    <w:rsid w:val="00543726"/>
    <w:rsid w:val="0054434D"/>
    <w:rsid w:val="00546599"/>
    <w:rsid w:val="0055180A"/>
    <w:rsid w:val="00551E7E"/>
    <w:rsid w:val="00555C7B"/>
    <w:rsid w:val="00555CB5"/>
    <w:rsid w:val="00555E1C"/>
    <w:rsid w:val="00557AEB"/>
    <w:rsid w:val="0057036D"/>
    <w:rsid w:val="00571B44"/>
    <w:rsid w:val="0057324D"/>
    <w:rsid w:val="005739D4"/>
    <w:rsid w:val="00574054"/>
    <w:rsid w:val="005750F7"/>
    <w:rsid w:val="00577390"/>
    <w:rsid w:val="00577575"/>
    <w:rsid w:val="005777FD"/>
    <w:rsid w:val="005779D6"/>
    <w:rsid w:val="005805F7"/>
    <w:rsid w:val="00581F6A"/>
    <w:rsid w:val="00582F40"/>
    <w:rsid w:val="005924E4"/>
    <w:rsid w:val="0059476D"/>
    <w:rsid w:val="005969A0"/>
    <w:rsid w:val="005A5266"/>
    <w:rsid w:val="005A5613"/>
    <w:rsid w:val="005A5924"/>
    <w:rsid w:val="005A6CD0"/>
    <w:rsid w:val="005A7B72"/>
    <w:rsid w:val="005B29AC"/>
    <w:rsid w:val="005B3EFA"/>
    <w:rsid w:val="005B6A84"/>
    <w:rsid w:val="005C10F3"/>
    <w:rsid w:val="005C1206"/>
    <w:rsid w:val="005C15E1"/>
    <w:rsid w:val="005C2135"/>
    <w:rsid w:val="005C3963"/>
    <w:rsid w:val="005C41EC"/>
    <w:rsid w:val="005D53D7"/>
    <w:rsid w:val="005D608E"/>
    <w:rsid w:val="005E0F93"/>
    <w:rsid w:val="005E11A7"/>
    <w:rsid w:val="005E315B"/>
    <w:rsid w:val="005E352F"/>
    <w:rsid w:val="005E6D3B"/>
    <w:rsid w:val="005F0F41"/>
    <w:rsid w:val="005F1690"/>
    <w:rsid w:val="005F2690"/>
    <w:rsid w:val="005F3162"/>
    <w:rsid w:val="005F3D1A"/>
    <w:rsid w:val="005F5289"/>
    <w:rsid w:val="006006B8"/>
    <w:rsid w:val="006044D0"/>
    <w:rsid w:val="00604C38"/>
    <w:rsid w:val="006056B6"/>
    <w:rsid w:val="00606D62"/>
    <w:rsid w:val="006112BF"/>
    <w:rsid w:val="0061407C"/>
    <w:rsid w:val="006145D5"/>
    <w:rsid w:val="006146C0"/>
    <w:rsid w:val="00615890"/>
    <w:rsid w:val="00616AEC"/>
    <w:rsid w:val="006229E7"/>
    <w:rsid w:val="006237C8"/>
    <w:rsid w:val="00623BE2"/>
    <w:rsid w:val="00624645"/>
    <w:rsid w:val="00624B3D"/>
    <w:rsid w:val="00624FDC"/>
    <w:rsid w:val="00632C04"/>
    <w:rsid w:val="0063462A"/>
    <w:rsid w:val="006352E1"/>
    <w:rsid w:val="006363E5"/>
    <w:rsid w:val="006365CB"/>
    <w:rsid w:val="00636965"/>
    <w:rsid w:val="00636B11"/>
    <w:rsid w:val="006414B3"/>
    <w:rsid w:val="00641B20"/>
    <w:rsid w:val="006424C0"/>
    <w:rsid w:val="00646584"/>
    <w:rsid w:val="006468B0"/>
    <w:rsid w:val="00646BA7"/>
    <w:rsid w:val="00647315"/>
    <w:rsid w:val="00653426"/>
    <w:rsid w:val="006537FF"/>
    <w:rsid w:val="00653835"/>
    <w:rsid w:val="00662040"/>
    <w:rsid w:val="00663046"/>
    <w:rsid w:val="006648A8"/>
    <w:rsid w:val="0066495D"/>
    <w:rsid w:val="00664EF3"/>
    <w:rsid w:val="00665C44"/>
    <w:rsid w:val="00666EF2"/>
    <w:rsid w:val="00671CA5"/>
    <w:rsid w:val="006728FC"/>
    <w:rsid w:val="00675A71"/>
    <w:rsid w:val="0067618D"/>
    <w:rsid w:val="00676B87"/>
    <w:rsid w:val="00680E5C"/>
    <w:rsid w:val="00681942"/>
    <w:rsid w:val="0068232A"/>
    <w:rsid w:val="006841D9"/>
    <w:rsid w:val="00685644"/>
    <w:rsid w:val="00685651"/>
    <w:rsid w:val="00686A03"/>
    <w:rsid w:val="00686B22"/>
    <w:rsid w:val="00687AB0"/>
    <w:rsid w:val="00691563"/>
    <w:rsid w:val="006915ED"/>
    <w:rsid w:val="00693770"/>
    <w:rsid w:val="006943DC"/>
    <w:rsid w:val="00694459"/>
    <w:rsid w:val="00695D81"/>
    <w:rsid w:val="006960D4"/>
    <w:rsid w:val="00697079"/>
    <w:rsid w:val="006A3906"/>
    <w:rsid w:val="006A58A0"/>
    <w:rsid w:val="006A58B2"/>
    <w:rsid w:val="006A5E9A"/>
    <w:rsid w:val="006A6964"/>
    <w:rsid w:val="006A74D0"/>
    <w:rsid w:val="006B2C09"/>
    <w:rsid w:val="006B5E2E"/>
    <w:rsid w:val="006C2F07"/>
    <w:rsid w:val="006C4906"/>
    <w:rsid w:val="006C59EE"/>
    <w:rsid w:val="006C603E"/>
    <w:rsid w:val="006C6D1D"/>
    <w:rsid w:val="006D1586"/>
    <w:rsid w:val="006D23BB"/>
    <w:rsid w:val="006D6D4B"/>
    <w:rsid w:val="006E0C84"/>
    <w:rsid w:val="006E17C5"/>
    <w:rsid w:val="006E1E2E"/>
    <w:rsid w:val="006E2FB6"/>
    <w:rsid w:val="006E3D9C"/>
    <w:rsid w:val="006E4B96"/>
    <w:rsid w:val="006E6A73"/>
    <w:rsid w:val="006E6DD9"/>
    <w:rsid w:val="006E711B"/>
    <w:rsid w:val="00704475"/>
    <w:rsid w:val="00706198"/>
    <w:rsid w:val="00706EBA"/>
    <w:rsid w:val="00706FDF"/>
    <w:rsid w:val="007127AF"/>
    <w:rsid w:val="00713BC1"/>
    <w:rsid w:val="00715C76"/>
    <w:rsid w:val="0071780B"/>
    <w:rsid w:val="007207D1"/>
    <w:rsid w:val="00722AF7"/>
    <w:rsid w:val="0072390C"/>
    <w:rsid w:val="00723FEE"/>
    <w:rsid w:val="00725FD3"/>
    <w:rsid w:val="007276EA"/>
    <w:rsid w:val="0072779C"/>
    <w:rsid w:val="0073643B"/>
    <w:rsid w:val="00736DDD"/>
    <w:rsid w:val="00737F9A"/>
    <w:rsid w:val="007407FC"/>
    <w:rsid w:val="00740D5D"/>
    <w:rsid w:val="00743B20"/>
    <w:rsid w:val="0074463F"/>
    <w:rsid w:val="00747DD7"/>
    <w:rsid w:val="00750B82"/>
    <w:rsid w:val="0075146E"/>
    <w:rsid w:val="00753B93"/>
    <w:rsid w:val="00753C87"/>
    <w:rsid w:val="007558D5"/>
    <w:rsid w:val="0076007E"/>
    <w:rsid w:val="00760B46"/>
    <w:rsid w:val="00765A31"/>
    <w:rsid w:val="00767F95"/>
    <w:rsid w:val="00771E24"/>
    <w:rsid w:val="00772C22"/>
    <w:rsid w:val="00773EB3"/>
    <w:rsid w:val="0077473A"/>
    <w:rsid w:val="007748F6"/>
    <w:rsid w:val="0078035B"/>
    <w:rsid w:val="00781F06"/>
    <w:rsid w:val="00794BD9"/>
    <w:rsid w:val="00795D6D"/>
    <w:rsid w:val="00796469"/>
    <w:rsid w:val="007A682B"/>
    <w:rsid w:val="007B28CF"/>
    <w:rsid w:val="007B3AC0"/>
    <w:rsid w:val="007B5324"/>
    <w:rsid w:val="007D0AAA"/>
    <w:rsid w:val="007D232F"/>
    <w:rsid w:val="007D381D"/>
    <w:rsid w:val="007D4E1D"/>
    <w:rsid w:val="007E0ACD"/>
    <w:rsid w:val="007E445A"/>
    <w:rsid w:val="007E46B8"/>
    <w:rsid w:val="007E5738"/>
    <w:rsid w:val="007E5E79"/>
    <w:rsid w:val="007E61AC"/>
    <w:rsid w:val="007E72A3"/>
    <w:rsid w:val="007F07B7"/>
    <w:rsid w:val="007F2078"/>
    <w:rsid w:val="007F73C2"/>
    <w:rsid w:val="007F7B85"/>
    <w:rsid w:val="0080702E"/>
    <w:rsid w:val="008073F9"/>
    <w:rsid w:val="00810536"/>
    <w:rsid w:val="00810A40"/>
    <w:rsid w:val="0081143E"/>
    <w:rsid w:val="008127F8"/>
    <w:rsid w:val="00815DA7"/>
    <w:rsid w:val="00817393"/>
    <w:rsid w:val="008219FB"/>
    <w:rsid w:val="008252DF"/>
    <w:rsid w:val="00825820"/>
    <w:rsid w:val="00830BD3"/>
    <w:rsid w:val="0083537C"/>
    <w:rsid w:val="0083565B"/>
    <w:rsid w:val="008376D2"/>
    <w:rsid w:val="00837E4E"/>
    <w:rsid w:val="00847A45"/>
    <w:rsid w:val="00852AB4"/>
    <w:rsid w:val="00853F0F"/>
    <w:rsid w:val="008544F0"/>
    <w:rsid w:val="00856E2A"/>
    <w:rsid w:val="00860220"/>
    <w:rsid w:val="00861E9A"/>
    <w:rsid w:val="00871B4A"/>
    <w:rsid w:val="00871D0A"/>
    <w:rsid w:val="00873441"/>
    <w:rsid w:val="008751EA"/>
    <w:rsid w:val="0087743C"/>
    <w:rsid w:val="00882F08"/>
    <w:rsid w:val="00883078"/>
    <w:rsid w:val="008847F6"/>
    <w:rsid w:val="008A06AB"/>
    <w:rsid w:val="008A4446"/>
    <w:rsid w:val="008A7784"/>
    <w:rsid w:val="008C1A15"/>
    <w:rsid w:val="008C397B"/>
    <w:rsid w:val="008C3B03"/>
    <w:rsid w:val="008C3E81"/>
    <w:rsid w:val="008C5902"/>
    <w:rsid w:val="008C6120"/>
    <w:rsid w:val="008C6AF5"/>
    <w:rsid w:val="008D0F6D"/>
    <w:rsid w:val="008D37D7"/>
    <w:rsid w:val="008D40AE"/>
    <w:rsid w:val="008D4159"/>
    <w:rsid w:val="008D4815"/>
    <w:rsid w:val="008D78EA"/>
    <w:rsid w:val="008D7F0E"/>
    <w:rsid w:val="008E2FAC"/>
    <w:rsid w:val="008E5C00"/>
    <w:rsid w:val="008E5D07"/>
    <w:rsid w:val="008F02EC"/>
    <w:rsid w:val="008F17DE"/>
    <w:rsid w:val="008F18CE"/>
    <w:rsid w:val="008F2643"/>
    <w:rsid w:val="008F54E9"/>
    <w:rsid w:val="008F5F53"/>
    <w:rsid w:val="008F7A2F"/>
    <w:rsid w:val="009021B3"/>
    <w:rsid w:val="009076FF"/>
    <w:rsid w:val="0090798C"/>
    <w:rsid w:val="009100F9"/>
    <w:rsid w:val="00910508"/>
    <w:rsid w:val="00910DBE"/>
    <w:rsid w:val="009112E5"/>
    <w:rsid w:val="00913D54"/>
    <w:rsid w:val="00915B2F"/>
    <w:rsid w:val="009208CE"/>
    <w:rsid w:val="00921877"/>
    <w:rsid w:val="00921CD4"/>
    <w:rsid w:val="00922B58"/>
    <w:rsid w:val="00922C5D"/>
    <w:rsid w:val="009244C4"/>
    <w:rsid w:val="0092464E"/>
    <w:rsid w:val="00933230"/>
    <w:rsid w:val="00935218"/>
    <w:rsid w:val="00935F98"/>
    <w:rsid w:val="00936738"/>
    <w:rsid w:val="00940122"/>
    <w:rsid w:val="009402D1"/>
    <w:rsid w:val="00940846"/>
    <w:rsid w:val="00940979"/>
    <w:rsid w:val="0094374A"/>
    <w:rsid w:val="00943A57"/>
    <w:rsid w:val="00946194"/>
    <w:rsid w:val="009527A3"/>
    <w:rsid w:val="0095315E"/>
    <w:rsid w:val="0095372E"/>
    <w:rsid w:val="009539CB"/>
    <w:rsid w:val="009539CC"/>
    <w:rsid w:val="00953BF7"/>
    <w:rsid w:val="00954328"/>
    <w:rsid w:val="00960B36"/>
    <w:rsid w:val="009613F6"/>
    <w:rsid w:val="009638F7"/>
    <w:rsid w:val="00970814"/>
    <w:rsid w:val="009724E6"/>
    <w:rsid w:val="0097327E"/>
    <w:rsid w:val="009737B1"/>
    <w:rsid w:val="0097409C"/>
    <w:rsid w:val="00976804"/>
    <w:rsid w:val="00977985"/>
    <w:rsid w:val="009811C6"/>
    <w:rsid w:val="00981F27"/>
    <w:rsid w:val="00985AED"/>
    <w:rsid w:val="00991F18"/>
    <w:rsid w:val="00993703"/>
    <w:rsid w:val="00997370"/>
    <w:rsid w:val="00997F7F"/>
    <w:rsid w:val="009B0FE5"/>
    <w:rsid w:val="009B4AA7"/>
    <w:rsid w:val="009B4B26"/>
    <w:rsid w:val="009B7419"/>
    <w:rsid w:val="009B745B"/>
    <w:rsid w:val="009C1A9D"/>
    <w:rsid w:val="009C1C7A"/>
    <w:rsid w:val="009C36A2"/>
    <w:rsid w:val="009C5659"/>
    <w:rsid w:val="009D1420"/>
    <w:rsid w:val="009D2526"/>
    <w:rsid w:val="009D42E4"/>
    <w:rsid w:val="009D66E3"/>
    <w:rsid w:val="009D76F1"/>
    <w:rsid w:val="009E0925"/>
    <w:rsid w:val="009E152A"/>
    <w:rsid w:val="009E3FD8"/>
    <w:rsid w:val="009E49E6"/>
    <w:rsid w:val="009E60BC"/>
    <w:rsid w:val="009F25AA"/>
    <w:rsid w:val="009F4952"/>
    <w:rsid w:val="00A04A52"/>
    <w:rsid w:val="00A13AF8"/>
    <w:rsid w:val="00A15165"/>
    <w:rsid w:val="00A23928"/>
    <w:rsid w:val="00A26A09"/>
    <w:rsid w:val="00A31F21"/>
    <w:rsid w:val="00A335BB"/>
    <w:rsid w:val="00A367F6"/>
    <w:rsid w:val="00A5211F"/>
    <w:rsid w:val="00A548FB"/>
    <w:rsid w:val="00A549A6"/>
    <w:rsid w:val="00A56AAE"/>
    <w:rsid w:val="00A571E1"/>
    <w:rsid w:val="00A60423"/>
    <w:rsid w:val="00A60E15"/>
    <w:rsid w:val="00A62EB2"/>
    <w:rsid w:val="00A66F6A"/>
    <w:rsid w:val="00A7398D"/>
    <w:rsid w:val="00A73A92"/>
    <w:rsid w:val="00A802D8"/>
    <w:rsid w:val="00A84C82"/>
    <w:rsid w:val="00A85F90"/>
    <w:rsid w:val="00A90752"/>
    <w:rsid w:val="00A925D6"/>
    <w:rsid w:val="00A967A5"/>
    <w:rsid w:val="00A974E0"/>
    <w:rsid w:val="00AA2D9D"/>
    <w:rsid w:val="00AA6439"/>
    <w:rsid w:val="00AB18FA"/>
    <w:rsid w:val="00AB19C0"/>
    <w:rsid w:val="00AB2D47"/>
    <w:rsid w:val="00AB52C8"/>
    <w:rsid w:val="00AC133B"/>
    <w:rsid w:val="00AC4828"/>
    <w:rsid w:val="00AC52FC"/>
    <w:rsid w:val="00AE0676"/>
    <w:rsid w:val="00AE103B"/>
    <w:rsid w:val="00AE13A1"/>
    <w:rsid w:val="00AE16ED"/>
    <w:rsid w:val="00AE1E99"/>
    <w:rsid w:val="00AF03D5"/>
    <w:rsid w:val="00AF0BB8"/>
    <w:rsid w:val="00AF1966"/>
    <w:rsid w:val="00B01C34"/>
    <w:rsid w:val="00B01EFF"/>
    <w:rsid w:val="00B04808"/>
    <w:rsid w:val="00B07A8D"/>
    <w:rsid w:val="00B117D6"/>
    <w:rsid w:val="00B13A2F"/>
    <w:rsid w:val="00B169CA"/>
    <w:rsid w:val="00B16A1B"/>
    <w:rsid w:val="00B16F07"/>
    <w:rsid w:val="00B20310"/>
    <w:rsid w:val="00B24ECA"/>
    <w:rsid w:val="00B25474"/>
    <w:rsid w:val="00B267E5"/>
    <w:rsid w:val="00B26804"/>
    <w:rsid w:val="00B27562"/>
    <w:rsid w:val="00B278B6"/>
    <w:rsid w:val="00B32C93"/>
    <w:rsid w:val="00B36C6C"/>
    <w:rsid w:val="00B3738B"/>
    <w:rsid w:val="00B37FE2"/>
    <w:rsid w:val="00B5051C"/>
    <w:rsid w:val="00B505C6"/>
    <w:rsid w:val="00B56453"/>
    <w:rsid w:val="00B56E4A"/>
    <w:rsid w:val="00B57062"/>
    <w:rsid w:val="00B57B95"/>
    <w:rsid w:val="00B6161D"/>
    <w:rsid w:val="00B63B31"/>
    <w:rsid w:val="00B66BE2"/>
    <w:rsid w:val="00B66FAB"/>
    <w:rsid w:val="00B677E1"/>
    <w:rsid w:val="00B67DA7"/>
    <w:rsid w:val="00B70931"/>
    <w:rsid w:val="00B73602"/>
    <w:rsid w:val="00B746A3"/>
    <w:rsid w:val="00B747A1"/>
    <w:rsid w:val="00B75C16"/>
    <w:rsid w:val="00B75E22"/>
    <w:rsid w:val="00B764DB"/>
    <w:rsid w:val="00B802CF"/>
    <w:rsid w:val="00B80674"/>
    <w:rsid w:val="00B84D5C"/>
    <w:rsid w:val="00B85D20"/>
    <w:rsid w:val="00B91E4A"/>
    <w:rsid w:val="00B931D9"/>
    <w:rsid w:val="00B944A6"/>
    <w:rsid w:val="00B965EE"/>
    <w:rsid w:val="00B96A83"/>
    <w:rsid w:val="00BA05D3"/>
    <w:rsid w:val="00BA21DD"/>
    <w:rsid w:val="00BA4CCE"/>
    <w:rsid w:val="00BA77E1"/>
    <w:rsid w:val="00BB1D69"/>
    <w:rsid w:val="00BB3ACB"/>
    <w:rsid w:val="00BB5B02"/>
    <w:rsid w:val="00BB7A98"/>
    <w:rsid w:val="00BC05E8"/>
    <w:rsid w:val="00BC1A9E"/>
    <w:rsid w:val="00BD29CF"/>
    <w:rsid w:val="00BD3704"/>
    <w:rsid w:val="00BD3B17"/>
    <w:rsid w:val="00BE0608"/>
    <w:rsid w:val="00BE15FE"/>
    <w:rsid w:val="00BE2E09"/>
    <w:rsid w:val="00BE39A3"/>
    <w:rsid w:val="00BE3ABD"/>
    <w:rsid w:val="00BE4FE1"/>
    <w:rsid w:val="00BE65FB"/>
    <w:rsid w:val="00BF1E03"/>
    <w:rsid w:val="00BF1F55"/>
    <w:rsid w:val="00BF6921"/>
    <w:rsid w:val="00C02425"/>
    <w:rsid w:val="00C024DD"/>
    <w:rsid w:val="00C02633"/>
    <w:rsid w:val="00C05010"/>
    <w:rsid w:val="00C0534F"/>
    <w:rsid w:val="00C054BD"/>
    <w:rsid w:val="00C10A2B"/>
    <w:rsid w:val="00C14968"/>
    <w:rsid w:val="00C14CF5"/>
    <w:rsid w:val="00C15ED9"/>
    <w:rsid w:val="00C16BE9"/>
    <w:rsid w:val="00C223B0"/>
    <w:rsid w:val="00C27653"/>
    <w:rsid w:val="00C2794B"/>
    <w:rsid w:val="00C32F02"/>
    <w:rsid w:val="00C334F5"/>
    <w:rsid w:val="00C4164E"/>
    <w:rsid w:val="00C448A3"/>
    <w:rsid w:val="00C51A54"/>
    <w:rsid w:val="00C538DF"/>
    <w:rsid w:val="00C551F6"/>
    <w:rsid w:val="00C56EB9"/>
    <w:rsid w:val="00C613B5"/>
    <w:rsid w:val="00C61BB7"/>
    <w:rsid w:val="00C6492A"/>
    <w:rsid w:val="00C65318"/>
    <w:rsid w:val="00C72D9E"/>
    <w:rsid w:val="00C7398C"/>
    <w:rsid w:val="00C742E7"/>
    <w:rsid w:val="00C743E6"/>
    <w:rsid w:val="00C76F28"/>
    <w:rsid w:val="00C77AD7"/>
    <w:rsid w:val="00C800B2"/>
    <w:rsid w:val="00C82188"/>
    <w:rsid w:val="00C84A09"/>
    <w:rsid w:val="00C84A93"/>
    <w:rsid w:val="00C864D6"/>
    <w:rsid w:val="00C8659C"/>
    <w:rsid w:val="00C869E2"/>
    <w:rsid w:val="00C91E74"/>
    <w:rsid w:val="00C93467"/>
    <w:rsid w:val="00C93560"/>
    <w:rsid w:val="00C94021"/>
    <w:rsid w:val="00C951A0"/>
    <w:rsid w:val="00C96FF7"/>
    <w:rsid w:val="00C97163"/>
    <w:rsid w:val="00C97676"/>
    <w:rsid w:val="00CA1D55"/>
    <w:rsid w:val="00CB26A9"/>
    <w:rsid w:val="00CB3966"/>
    <w:rsid w:val="00CB445F"/>
    <w:rsid w:val="00CC0144"/>
    <w:rsid w:val="00CC01A0"/>
    <w:rsid w:val="00CC0E7C"/>
    <w:rsid w:val="00CC4CF3"/>
    <w:rsid w:val="00CC6736"/>
    <w:rsid w:val="00CD0D94"/>
    <w:rsid w:val="00CD2B72"/>
    <w:rsid w:val="00CD494C"/>
    <w:rsid w:val="00CD7E4F"/>
    <w:rsid w:val="00CE26B5"/>
    <w:rsid w:val="00CE3295"/>
    <w:rsid w:val="00CE482C"/>
    <w:rsid w:val="00CE51AB"/>
    <w:rsid w:val="00CE5A22"/>
    <w:rsid w:val="00CF0966"/>
    <w:rsid w:val="00CF0C60"/>
    <w:rsid w:val="00CF23C8"/>
    <w:rsid w:val="00CF4436"/>
    <w:rsid w:val="00CF496A"/>
    <w:rsid w:val="00CF51E5"/>
    <w:rsid w:val="00CF7C9C"/>
    <w:rsid w:val="00CF7C9D"/>
    <w:rsid w:val="00D017AF"/>
    <w:rsid w:val="00D01C4C"/>
    <w:rsid w:val="00D047AE"/>
    <w:rsid w:val="00D04814"/>
    <w:rsid w:val="00D105E1"/>
    <w:rsid w:val="00D14500"/>
    <w:rsid w:val="00D14B33"/>
    <w:rsid w:val="00D15EB5"/>
    <w:rsid w:val="00D1686A"/>
    <w:rsid w:val="00D202B5"/>
    <w:rsid w:val="00D2074E"/>
    <w:rsid w:val="00D20926"/>
    <w:rsid w:val="00D20A6D"/>
    <w:rsid w:val="00D231FF"/>
    <w:rsid w:val="00D24F7D"/>
    <w:rsid w:val="00D24FC1"/>
    <w:rsid w:val="00D31A85"/>
    <w:rsid w:val="00D33ED4"/>
    <w:rsid w:val="00D3765E"/>
    <w:rsid w:val="00D4017F"/>
    <w:rsid w:val="00D44132"/>
    <w:rsid w:val="00D533BF"/>
    <w:rsid w:val="00D606D4"/>
    <w:rsid w:val="00D62361"/>
    <w:rsid w:val="00D62C93"/>
    <w:rsid w:val="00D660FA"/>
    <w:rsid w:val="00D666C6"/>
    <w:rsid w:val="00D66DFA"/>
    <w:rsid w:val="00D6765B"/>
    <w:rsid w:val="00D70532"/>
    <w:rsid w:val="00D7250E"/>
    <w:rsid w:val="00D737B1"/>
    <w:rsid w:val="00D73BFC"/>
    <w:rsid w:val="00D75AD5"/>
    <w:rsid w:val="00D76C01"/>
    <w:rsid w:val="00D770B1"/>
    <w:rsid w:val="00D808E4"/>
    <w:rsid w:val="00D847BA"/>
    <w:rsid w:val="00D96386"/>
    <w:rsid w:val="00DA1F8D"/>
    <w:rsid w:val="00DB34A4"/>
    <w:rsid w:val="00DB4306"/>
    <w:rsid w:val="00DB6277"/>
    <w:rsid w:val="00DC133F"/>
    <w:rsid w:val="00DC13FD"/>
    <w:rsid w:val="00DC30C8"/>
    <w:rsid w:val="00DC329C"/>
    <w:rsid w:val="00DC3495"/>
    <w:rsid w:val="00DC551E"/>
    <w:rsid w:val="00DD2C55"/>
    <w:rsid w:val="00DD445A"/>
    <w:rsid w:val="00DD5AF2"/>
    <w:rsid w:val="00DD6424"/>
    <w:rsid w:val="00DD66E0"/>
    <w:rsid w:val="00DE0B50"/>
    <w:rsid w:val="00DE38F9"/>
    <w:rsid w:val="00DE5581"/>
    <w:rsid w:val="00DE6435"/>
    <w:rsid w:val="00DF0001"/>
    <w:rsid w:val="00DF78E6"/>
    <w:rsid w:val="00E01B46"/>
    <w:rsid w:val="00E01DA9"/>
    <w:rsid w:val="00E046C6"/>
    <w:rsid w:val="00E04B65"/>
    <w:rsid w:val="00E051B3"/>
    <w:rsid w:val="00E06DBA"/>
    <w:rsid w:val="00E074EF"/>
    <w:rsid w:val="00E077D8"/>
    <w:rsid w:val="00E079A0"/>
    <w:rsid w:val="00E079F4"/>
    <w:rsid w:val="00E10162"/>
    <w:rsid w:val="00E10872"/>
    <w:rsid w:val="00E1149A"/>
    <w:rsid w:val="00E12101"/>
    <w:rsid w:val="00E1687F"/>
    <w:rsid w:val="00E16D82"/>
    <w:rsid w:val="00E16FFA"/>
    <w:rsid w:val="00E2315F"/>
    <w:rsid w:val="00E24CD5"/>
    <w:rsid w:val="00E2702B"/>
    <w:rsid w:val="00E2709A"/>
    <w:rsid w:val="00E31021"/>
    <w:rsid w:val="00E318E3"/>
    <w:rsid w:val="00E34A71"/>
    <w:rsid w:val="00E413D0"/>
    <w:rsid w:val="00E4476A"/>
    <w:rsid w:val="00E44871"/>
    <w:rsid w:val="00E44D1F"/>
    <w:rsid w:val="00E46755"/>
    <w:rsid w:val="00E471D6"/>
    <w:rsid w:val="00E50DD5"/>
    <w:rsid w:val="00E53DE5"/>
    <w:rsid w:val="00E540CF"/>
    <w:rsid w:val="00E5529F"/>
    <w:rsid w:val="00E55315"/>
    <w:rsid w:val="00E57312"/>
    <w:rsid w:val="00E654EB"/>
    <w:rsid w:val="00E71265"/>
    <w:rsid w:val="00E71627"/>
    <w:rsid w:val="00E71A84"/>
    <w:rsid w:val="00E74112"/>
    <w:rsid w:val="00E75029"/>
    <w:rsid w:val="00E76D4D"/>
    <w:rsid w:val="00E84409"/>
    <w:rsid w:val="00E939CE"/>
    <w:rsid w:val="00EA408F"/>
    <w:rsid w:val="00EA5C51"/>
    <w:rsid w:val="00EA726B"/>
    <w:rsid w:val="00EA7B09"/>
    <w:rsid w:val="00EB0F9F"/>
    <w:rsid w:val="00EB403D"/>
    <w:rsid w:val="00EB4946"/>
    <w:rsid w:val="00EB6456"/>
    <w:rsid w:val="00EB67D3"/>
    <w:rsid w:val="00EC4DDB"/>
    <w:rsid w:val="00ED0A94"/>
    <w:rsid w:val="00ED189D"/>
    <w:rsid w:val="00ED5593"/>
    <w:rsid w:val="00EE0CC4"/>
    <w:rsid w:val="00EE2CF7"/>
    <w:rsid w:val="00EE418C"/>
    <w:rsid w:val="00EE6FAB"/>
    <w:rsid w:val="00EE797F"/>
    <w:rsid w:val="00EF2E87"/>
    <w:rsid w:val="00EF66D2"/>
    <w:rsid w:val="00EF68F9"/>
    <w:rsid w:val="00F0028A"/>
    <w:rsid w:val="00F00CD3"/>
    <w:rsid w:val="00F02AF1"/>
    <w:rsid w:val="00F1566A"/>
    <w:rsid w:val="00F17056"/>
    <w:rsid w:val="00F20567"/>
    <w:rsid w:val="00F2184E"/>
    <w:rsid w:val="00F25BED"/>
    <w:rsid w:val="00F25DEB"/>
    <w:rsid w:val="00F27886"/>
    <w:rsid w:val="00F3162F"/>
    <w:rsid w:val="00F32437"/>
    <w:rsid w:val="00F339F4"/>
    <w:rsid w:val="00F354FD"/>
    <w:rsid w:val="00F35B6E"/>
    <w:rsid w:val="00F3627F"/>
    <w:rsid w:val="00F3752B"/>
    <w:rsid w:val="00F40EEE"/>
    <w:rsid w:val="00F41A9D"/>
    <w:rsid w:val="00F457F3"/>
    <w:rsid w:val="00F53B62"/>
    <w:rsid w:val="00F54267"/>
    <w:rsid w:val="00F61EA0"/>
    <w:rsid w:val="00F653BE"/>
    <w:rsid w:val="00F65F7E"/>
    <w:rsid w:val="00F6638C"/>
    <w:rsid w:val="00F70850"/>
    <w:rsid w:val="00F70959"/>
    <w:rsid w:val="00F71408"/>
    <w:rsid w:val="00F818EB"/>
    <w:rsid w:val="00F84539"/>
    <w:rsid w:val="00F87F11"/>
    <w:rsid w:val="00F90DC5"/>
    <w:rsid w:val="00F9175F"/>
    <w:rsid w:val="00F92B50"/>
    <w:rsid w:val="00F94CDE"/>
    <w:rsid w:val="00FA2712"/>
    <w:rsid w:val="00FA51D0"/>
    <w:rsid w:val="00FA5D9F"/>
    <w:rsid w:val="00FA7CDB"/>
    <w:rsid w:val="00FB021F"/>
    <w:rsid w:val="00FB0418"/>
    <w:rsid w:val="00FB08DE"/>
    <w:rsid w:val="00FB20A3"/>
    <w:rsid w:val="00FB32CF"/>
    <w:rsid w:val="00FB4938"/>
    <w:rsid w:val="00FC0AE9"/>
    <w:rsid w:val="00FC1908"/>
    <w:rsid w:val="00FC2262"/>
    <w:rsid w:val="00FC4A4D"/>
    <w:rsid w:val="00FC57CB"/>
    <w:rsid w:val="00FC5F35"/>
    <w:rsid w:val="00FC7527"/>
    <w:rsid w:val="00FC7B0D"/>
    <w:rsid w:val="00FD0053"/>
    <w:rsid w:val="00FD16BF"/>
    <w:rsid w:val="00FD437F"/>
    <w:rsid w:val="00FD4A26"/>
    <w:rsid w:val="00FD5498"/>
    <w:rsid w:val="00FE4DCE"/>
    <w:rsid w:val="00FE6B86"/>
    <w:rsid w:val="00FF1F55"/>
    <w:rsid w:val="00FF53C2"/>
    <w:rsid w:val="00FF577F"/>
    <w:rsid w:val="00FF6E5D"/>
    <w:rsid w:val="00FF75EB"/>
    <w:rsid w:val="00FF776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5C975"/>
  <w15:chartTrackingRefBased/>
  <w15:docId w15:val="{EBD1BCE9-DD73-AF46-A56D-F3353CEC1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Body CS)"/>
        <w:color w:val="000000" w:themeColor="text1"/>
        <w:kern w:val="2"/>
        <w:sz w:val="24"/>
        <w:szCs w:val="30"/>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46E"/>
  </w:style>
  <w:style w:type="paragraph" w:styleId="Heading1">
    <w:name w:val="heading 1"/>
    <w:basedOn w:val="Normal"/>
    <w:next w:val="Normal"/>
    <w:link w:val="Heading1Char"/>
    <w:uiPriority w:val="9"/>
    <w:qFormat/>
    <w:rsid w:val="00481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6F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6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16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16F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16F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16F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16F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6F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6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816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816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816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816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816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816FA"/>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816F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4816F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6F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816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16FA"/>
    <w:rPr>
      <w:i/>
      <w:iCs/>
      <w:color w:val="404040" w:themeColor="text1" w:themeTint="BF"/>
    </w:rPr>
  </w:style>
  <w:style w:type="paragraph" w:styleId="ListParagraph">
    <w:name w:val="List Paragraph"/>
    <w:basedOn w:val="Normal"/>
    <w:uiPriority w:val="34"/>
    <w:qFormat/>
    <w:rsid w:val="004816FA"/>
    <w:pPr>
      <w:ind w:left="720"/>
      <w:contextualSpacing/>
    </w:pPr>
  </w:style>
  <w:style w:type="character" w:styleId="IntenseEmphasis">
    <w:name w:val="Intense Emphasis"/>
    <w:basedOn w:val="DefaultParagraphFont"/>
    <w:uiPriority w:val="21"/>
    <w:qFormat/>
    <w:rsid w:val="004816FA"/>
    <w:rPr>
      <w:i/>
      <w:iCs/>
      <w:color w:val="0F4761" w:themeColor="accent1" w:themeShade="BF"/>
    </w:rPr>
  </w:style>
  <w:style w:type="paragraph" w:styleId="IntenseQuote">
    <w:name w:val="Intense Quote"/>
    <w:basedOn w:val="Normal"/>
    <w:next w:val="Normal"/>
    <w:link w:val="IntenseQuoteChar"/>
    <w:uiPriority w:val="30"/>
    <w:qFormat/>
    <w:rsid w:val="00481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6FA"/>
    <w:rPr>
      <w:i/>
      <w:iCs/>
      <w:color w:val="0F4761" w:themeColor="accent1" w:themeShade="BF"/>
    </w:rPr>
  </w:style>
  <w:style w:type="character" w:styleId="IntenseReference">
    <w:name w:val="Intense Reference"/>
    <w:basedOn w:val="DefaultParagraphFont"/>
    <w:uiPriority w:val="32"/>
    <w:qFormat/>
    <w:rsid w:val="004816FA"/>
    <w:rPr>
      <w:b/>
      <w:bCs/>
      <w:smallCaps/>
      <w:color w:val="0F4761" w:themeColor="accent1" w:themeShade="BF"/>
      <w:spacing w:val="5"/>
    </w:rPr>
  </w:style>
  <w:style w:type="character" w:styleId="CommentReference">
    <w:name w:val="annotation reference"/>
    <w:basedOn w:val="DefaultParagraphFont"/>
    <w:uiPriority w:val="99"/>
    <w:semiHidden/>
    <w:unhideWhenUsed/>
    <w:rsid w:val="004816FA"/>
    <w:rPr>
      <w:sz w:val="16"/>
      <w:szCs w:val="16"/>
    </w:rPr>
  </w:style>
  <w:style w:type="paragraph" w:styleId="CommentText">
    <w:name w:val="annotation text"/>
    <w:basedOn w:val="Normal"/>
    <w:link w:val="CommentTextChar"/>
    <w:uiPriority w:val="99"/>
    <w:unhideWhenUsed/>
    <w:rsid w:val="004816FA"/>
    <w:rPr>
      <w:sz w:val="20"/>
      <w:szCs w:val="20"/>
    </w:rPr>
  </w:style>
  <w:style w:type="character" w:customStyle="1" w:styleId="CommentTextChar">
    <w:name w:val="Comment Text Char"/>
    <w:basedOn w:val="DefaultParagraphFont"/>
    <w:link w:val="CommentText"/>
    <w:uiPriority w:val="99"/>
    <w:rsid w:val="004816FA"/>
    <w:rPr>
      <w:sz w:val="20"/>
      <w:szCs w:val="20"/>
    </w:rPr>
  </w:style>
  <w:style w:type="paragraph" w:styleId="CommentSubject">
    <w:name w:val="annotation subject"/>
    <w:basedOn w:val="CommentText"/>
    <w:next w:val="CommentText"/>
    <w:link w:val="CommentSubjectChar"/>
    <w:uiPriority w:val="99"/>
    <w:semiHidden/>
    <w:unhideWhenUsed/>
    <w:rsid w:val="004816FA"/>
    <w:rPr>
      <w:b/>
      <w:bCs/>
    </w:rPr>
  </w:style>
  <w:style w:type="character" w:customStyle="1" w:styleId="CommentSubjectChar">
    <w:name w:val="Comment Subject Char"/>
    <w:basedOn w:val="CommentTextChar"/>
    <w:link w:val="CommentSubject"/>
    <w:uiPriority w:val="99"/>
    <w:semiHidden/>
    <w:rsid w:val="004816FA"/>
    <w:rPr>
      <w:b/>
      <w:bCs/>
      <w:sz w:val="20"/>
      <w:szCs w:val="20"/>
    </w:rPr>
  </w:style>
  <w:style w:type="paragraph" w:styleId="Header">
    <w:name w:val="header"/>
    <w:basedOn w:val="Normal"/>
    <w:link w:val="HeaderChar"/>
    <w:uiPriority w:val="99"/>
    <w:unhideWhenUsed/>
    <w:rsid w:val="004816FA"/>
    <w:pPr>
      <w:tabs>
        <w:tab w:val="center" w:pos="4680"/>
        <w:tab w:val="right" w:pos="9360"/>
      </w:tabs>
    </w:pPr>
  </w:style>
  <w:style w:type="character" w:customStyle="1" w:styleId="HeaderChar">
    <w:name w:val="Header Char"/>
    <w:basedOn w:val="DefaultParagraphFont"/>
    <w:link w:val="Header"/>
    <w:uiPriority w:val="99"/>
    <w:rsid w:val="004816FA"/>
  </w:style>
  <w:style w:type="paragraph" w:styleId="Footer">
    <w:name w:val="footer"/>
    <w:basedOn w:val="Normal"/>
    <w:link w:val="FooterChar"/>
    <w:uiPriority w:val="99"/>
    <w:unhideWhenUsed/>
    <w:rsid w:val="004816FA"/>
    <w:pPr>
      <w:tabs>
        <w:tab w:val="center" w:pos="4680"/>
        <w:tab w:val="right" w:pos="9360"/>
      </w:tabs>
    </w:pPr>
  </w:style>
  <w:style w:type="character" w:customStyle="1" w:styleId="FooterChar">
    <w:name w:val="Footer Char"/>
    <w:basedOn w:val="DefaultParagraphFont"/>
    <w:link w:val="Footer"/>
    <w:uiPriority w:val="99"/>
    <w:rsid w:val="004816FA"/>
  </w:style>
  <w:style w:type="paragraph" w:styleId="Caption">
    <w:name w:val="caption"/>
    <w:basedOn w:val="Normal"/>
    <w:next w:val="Normal"/>
    <w:uiPriority w:val="35"/>
    <w:unhideWhenUsed/>
    <w:qFormat/>
    <w:rsid w:val="004816FA"/>
    <w:pPr>
      <w:spacing w:after="200"/>
    </w:pPr>
    <w:rPr>
      <w:i/>
      <w:iCs/>
      <w:color w:val="0E2841" w:themeColor="text2"/>
      <w:sz w:val="18"/>
      <w:szCs w:val="18"/>
    </w:rPr>
  </w:style>
  <w:style w:type="paragraph" w:styleId="NormalWeb">
    <w:name w:val="Normal (Web)"/>
    <w:basedOn w:val="Normal"/>
    <w:uiPriority w:val="99"/>
    <w:semiHidden/>
    <w:unhideWhenUsed/>
    <w:rsid w:val="004816FA"/>
    <w:pPr>
      <w:spacing w:before="100" w:beforeAutospacing="1" w:after="100" w:afterAutospacing="1"/>
    </w:pPr>
    <w:rPr>
      <w:rFonts w:eastAsia="Times New Roman" w:cs="Times New Roman"/>
      <w:color w:val="auto"/>
      <w:kern w:val="0"/>
      <w:szCs w:val="24"/>
      <w14:ligatures w14:val="none"/>
    </w:rPr>
  </w:style>
  <w:style w:type="paragraph" w:styleId="Bibliography">
    <w:name w:val="Bibliography"/>
    <w:basedOn w:val="Normal"/>
    <w:next w:val="Normal"/>
    <w:uiPriority w:val="37"/>
    <w:unhideWhenUsed/>
    <w:rsid w:val="004816FA"/>
    <w:pPr>
      <w:tabs>
        <w:tab w:val="left" w:pos="504"/>
      </w:tabs>
      <w:spacing w:after="240"/>
      <w:ind w:left="504" w:hanging="504"/>
    </w:pPr>
  </w:style>
  <w:style w:type="paragraph" w:styleId="NoSpacing">
    <w:name w:val="No Spacing"/>
    <w:uiPriority w:val="1"/>
    <w:qFormat/>
    <w:rsid w:val="004816FA"/>
  </w:style>
  <w:style w:type="paragraph" w:styleId="Revision">
    <w:name w:val="Revision"/>
    <w:hidden/>
    <w:uiPriority w:val="99"/>
    <w:semiHidden/>
    <w:rsid w:val="003218DF"/>
  </w:style>
  <w:style w:type="paragraph" w:customStyle="1" w:styleId="Default">
    <w:name w:val="Default"/>
    <w:rsid w:val="00771E24"/>
    <w:pPr>
      <w:autoSpaceDE w:val="0"/>
      <w:autoSpaceDN w:val="0"/>
      <w:adjustRightInd w:val="0"/>
    </w:pPr>
    <w:rPr>
      <w:rFonts w:cs="Times New Roman"/>
      <w:color w:val="000000"/>
      <w:kern w:val="0"/>
      <w:szCs w:val="24"/>
    </w:rPr>
  </w:style>
  <w:style w:type="character" w:styleId="Hyperlink">
    <w:name w:val="Hyperlink"/>
    <w:basedOn w:val="DefaultParagraphFont"/>
    <w:uiPriority w:val="99"/>
    <w:unhideWhenUsed/>
    <w:rsid w:val="00C84A09"/>
    <w:rPr>
      <w:color w:val="467886" w:themeColor="hyperlink"/>
      <w:u w:val="single"/>
    </w:rPr>
  </w:style>
  <w:style w:type="character" w:styleId="UnresolvedMention">
    <w:name w:val="Unresolved Mention"/>
    <w:basedOn w:val="DefaultParagraphFont"/>
    <w:uiPriority w:val="99"/>
    <w:semiHidden/>
    <w:unhideWhenUsed/>
    <w:rsid w:val="00C84A09"/>
    <w:rPr>
      <w:color w:val="605E5C"/>
      <w:shd w:val="clear" w:color="auto" w:fill="E1DFDD"/>
    </w:rPr>
  </w:style>
  <w:style w:type="character" w:styleId="LineNumber">
    <w:name w:val="line number"/>
    <w:basedOn w:val="DefaultParagraphFont"/>
    <w:uiPriority w:val="99"/>
    <w:semiHidden/>
    <w:unhideWhenUsed/>
    <w:rsid w:val="00551E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B7879191E50A4AAAE05B439EDDC02C" ma:contentTypeVersion="10" ma:contentTypeDescription="Create a new document." ma:contentTypeScope="" ma:versionID="3f2d7982759a07367ccfdef1137c2b1a">
  <xsd:schema xmlns:xsd="http://www.w3.org/2001/XMLSchema" xmlns:xs="http://www.w3.org/2001/XMLSchema" xmlns:p="http://schemas.microsoft.com/office/2006/metadata/properties" xmlns:ns3="571a3d99-6795-4360-9ac0-0295bb4ceb32" targetNamespace="http://schemas.microsoft.com/office/2006/metadata/properties" ma:root="true" ma:fieldsID="cb871dbdfaf26c47009d691a4e72a0c1" ns3:_="">
    <xsd:import namespace="571a3d99-6795-4360-9ac0-0295bb4ceb3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BillingMetadata"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1a3d99-6795-4360-9ac0-0295bb4ceb3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BillingMetadata" ma:index="13" nillable="true" ma:displayName="MediaServiceBillingMetadata" ma:hidden="true" ma:internalName="MediaServiceBillingMetadata" ma:readOnly="true">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71a3d99-6795-4360-9ac0-0295bb4ceb3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C2B541-83A6-4E61-BB3A-CF0DF096A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1a3d99-6795-4360-9ac0-0295bb4ceb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481B94-8CC3-4C26-A5D3-A9237C285D69}">
  <ds:schemaRefs>
    <ds:schemaRef ds:uri="http://schemas.microsoft.com/office/2006/metadata/properties"/>
    <ds:schemaRef ds:uri="http://schemas.microsoft.com/office/infopath/2007/PartnerControls"/>
    <ds:schemaRef ds:uri="571a3d99-6795-4360-9ac0-0295bb4ceb32"/>
  </ds:schemaRefs>
</ds:datastoreItem>
</file>

<file path=customXml/itemProps3.xml><?xml version="1.0" encoding="utf-8"?>
<ds:datastoreItem xmlns:ds="http://schemas.openxmlformats.org/officeDocument/2006/customXml" ds:itemID="{3E968C65-22C6-4EA7-91FF-80C2582E7D8E}">
  <ds:schemaRefs>
    <ds:schemaRef ds:uri="http://schemas.microsoft.com/sharepoint/v3/contenttype/forms"/>
  </ds:schemaRefs>
</ds:datastoreItem>
</file>

<file path=docMetadata/LabelInfo.xml><?xml version="1.0" encoding="utf-8"?>
<clbl:labelList xmlns:clbl="http://schemas.microsoft.com/office/2020/mipLabelMetadata">
  <clbl:label id="{b0002a9b-0017-404d-97dc-3d3bab09be81}" enabled="0" method="" siteId="{b0002a9b-0017-404d-97dc-3d3bab09be81}" removed="1"/>
</clbl:labelList>
</file>

<file path=docProps/app.xml><?xml version="1.0" encoding="utf-8"?>
<Properties xmlns="http://schemas.openxmlformats.org/officeDocument/2006/extended-properties" xmlns:vt="http://schemas.openxmlformats.org/officeDocument/2006/docPropsVTypes">
  <Template>Normal.dotm</Template>
  <TotalTime>1482</TotalTime>
  <Pages>27</Pages>
  <Words>56885</Words>
  <Characters>324249</Characters>
  <Application>Microsoft Office Word</Application>
  <DocSecurity>0</DocSecurity>
  <Lines>2702</Lines>
  <Paragraphs>760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Gabriel J.</dc:creator>
  <cp:keywords/>
  <dc:description/>
  <cp:lastModifiedBy>Graham, Gabriel J.</cp:lastModifiedBy>
  <cp:revision>23</cp:revision>
  <cp:lastPrinted>2026-07-19T17:52:00Z</cp:lastPrinted>
  <dcterms:created xsi:type="dcterms:W3CDTF">2026-10-05T18:07:00Z</dcterms:created>
  <dcterms:modified xsi:type="dcterms:W3CDTF">2026-10-10T18:06:00Z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0x01010096B7879191E50A4AAAE05B439EDDC02C</vt:lpwstr>
  </property>
  <property fmtid="{D5CDD505-2E9C-101B-9397-08002B2CF9AE}" pid="3" name="ZOTERO_PREF_1">
    <vt:lpwstr>&lt;data data-version="3" zotero-version="10.0.5"&gt;&lt;session id="vnHuuVK8"/&gt;&lt;style id="http://www.zotero.org/styles/pnas" hasBibliography="1" bibliographyStyleHasBeenSet="1"/&gt;&lt;prefs&gt;&lt;pref name="fieldType" value="Field"/&gt;&lt;/prefs&gt;&lt;/data&gt;</vt:lpwstr>
  </property>
</Properties>
</file>