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B2DC33" w14:textId="77777777" w:rsidR="00B278B6" w:rsidRPr="007A682B" w:rsidRDefault="00B278B6" w:rsidP="00B278B6">
      <w:pPr>
        <w:rPr>
          <w:rFonts w:ascii="Arial" w:hAnsi="Arial" w:cs="Arial"/>
          <w:b/>
          <w:sz w:val="28"/>
          <w:szCs w:val="28"/>
        </w:rPr>
      </w:pPr>
      <w:r w:rsidRPr="007A682B">
        <w:rPr>
          <w:rFonts w:ascii="Arial" w:hAnsi="Arial" w:cs="Arial"/>
          <w:b/>
          <w:sz w:val="28"/>
          <w:szCs w:val="28"/>
        </w:rPr>
        <w:t>Main Manuscript for</w:t>
      </w:r>
    </w:p>
    <w:p w14:paraId="39767A7D" w14:textId="240F5F3C" w:rsidR="00F25B9C" w:rsidRDefault="00F25B9C" w:rsidP="004816FA">
      <w:pPr>
        <w:rPr>
          <w:rFonts w:ascii="Arial" w:hAnsi="Arial" w:cs="Arial"/>
          <w:sz w:val="28"/>
          <w:szCs w:val="28"/>
        </w:rPr>
      </w:pPr>
      <w:r w:rsidRPr="00F25B9C">
        <w:rPr>
          <w:rFonts w:ascii="Arial" w:hAnsi="Arial" w:cs="Arial"/>
          <w:sz w:val="28"/>
          <w:szCs w:val="28"/>
        </w:rPr>
        <w:t>Distinct Phases of Brain Remodeling</w:t>
      </w:r>
      <w:r>
        <w:rPr>
          <w:rFonts w:ascii="Arial" w:hAnsi="Arial" w:cs="Arial"/>
          <w:sz w:val="28"/>
          <w:szCs w:val="28"/>
        </w:rPr>
        <w:t xml:space="preserve"> </w:t>
      </w:r>
      <w:r w:rsidRPr="00F25B9C">
        <w:rPr>
          <w:rFonts w:ascii="Arial" w:hAnsi="Arial" w:cs="Arial"/>
          <w:sz w:val="28"/>
          <w:szCs w:val="28"/>
        </w:rPr>
        <w:t>During Protandrous Sex Change</w:t>
      </w:r>
    </w:p>
    <w:p w14:paraId="1DA50DB2" w14:textId="77777777" w:rsidR="00F25B9C" w:rsidRDefault="00F25B9C" w:rsidP="004816FA">
      <w:pPr>
        <w:rPr>
          <w:rFonts w:ascii="Arial" w:hAnsi="Arial" w:cs="Arial"/>
          <w:sz w:val="28"/>
          <w:szCs w:val="28"/>
        </w:rPr>
      </w:pPr>
    </w:p>
    <w:p w14:paraId="677098E3" w14:textId="1E0AC144" w:rsidR="006112BF" w:rsidRPr="007A682B" w:rsidRDefault="004816FA" w:rsidP="004816FA">
      <w:pPr>
        <w:rPr>
          <w:rFonts w:ascii="Arial" w:hAnsi="Arial" w:cs="Arial"/>
          <w:sz w:val="20"/>
          <w:szCs w:val="20"/>
          <w:vertAlign w:val="superscript"/>
        </w:rPr>
      </w:pPr>
      <w:r w:rsidRPr="007A682B">
        <w:rPr>
          <w:rFonts w:ascii="Arial" w:hAnsi="Arial" w:cs="Arial"/>
          <w:sz w:val="20"/>
          <w:szCs w:val="20"/>
        </w:rPr>
        <w:t>Gabriel J. Graham</w:t>
      </w:r>
      <w:r w:rsidRPr="007A682B">
        <w:rPr>
          <w:rFonts w:ascii="Arial" w:hAnsi="Arial" w:cs="Arial"/>
          <w:sz w:val="20"/>
          <w:szCs w:val="20"/>
          <w:vertAlign w:val="superscript"/>
        </w:rPr>
        <w:t>1</w:t>
      </w:r>
      <w:r w:rsidRPr="007A682B">
        <w:rPr>
          <w:rFonts w:ascii="Arial" w:hAnsi="Arial" w:cs="Arial"/>
          <w:sz w:val="20"/>
          <w:szCs w:val="20"/>
        </w:rPr>
        <w:t>, Kathryn E. Leatherbury</w:t>
      </w:r>
      <w:r w:rsidR="00CB445F" w:rsidRPr="007A682B">
        <w:rPr>
          <w:rFonts w:ascii="Arial" w:hAnsi="Arial" w:cs="Arial"/>
          <w:sz w:val="20"/>
          <w:szCs w:val="20"/>
          <w:vertAlign w:val="superscript"/>
        </w:rPr>
        <w:t>2</w:t>
      </w:r>
      <w:r w:rsidRPr="007A682B">
        <w:rPr>
          <w:rFonts w:ascii="Arial" w:hAnsi="Arial" w:cs="Arial"/>
          <w:sz w:val="20"/>
          <w:szCs w:val="20"/>
        </w:rPr>
        <w:t>, Yash Deswal</w:t>
      </w:r>
      <w:r w:rsidR="00CB445F" w:rsidRPr="007A682B">
        <w:rPr>
          <w:rFonts w:ascii="Arial" w:hAnsi="Arial" w:cs="Arial"/>
          <w:sz w:val="20"/>
          <w:szCs w:val="20"/>
          <w:vertAlign w:val="superscript"/>
        </w:rPr>
        <w:t>3</w:t>
      </w:r>
      <w:r w:rsidRPr="007A682B">
        <w:rPr>
          <w:rFonts w:ascii="Arial" w:hAnsi="Arial" w:cs="Arial"/>
          <w:sz w:val="20"/>
          <w:szCs w:val="20"/>
        </w:rPr>
        <w:t>, Emma M. Ibanez</w:t>
      </w:r>
      <w:r w:rsidR="00725FD3" w:rsidRPr="007A682B">
        <w:rPr>
          <w:rFonts w:ascii="Arial" w:hAnsi="Arial" w:cs="Arial"/>
          <w:sz w:val="20"/>
          <w:szCs w:val="20"/>
          <w:vertAlign w:val="superscript"/>
        </w:rPr>
        <w:t>4</w:t>
      </w:r>
      <w:r w:rsidRPr="007A682B">
        <w:rPr>
          <w:rFonts w:ascii="Arial" w:hAnsi="Arial" w:cs="Arial"/>
          <w:sz w:val="20"/>
          <w:szCs w:val="20"/>
        </w:rPr>
        <w:t>, Meghan G. Connolly</w:t>
      </w:r>
      <w:r w:rsidR="00725FD3" w:rsidRPr="007A682B">
        <w:rPr>
          <w:rFonts w:ascii="Arial" w:hAnsi="Arial" w:cs="Arial"/>
          <w:sz w:val="20"/>
          <w:szCs w:val="20"/>
          <w:vertAlign w:val="superscript"/>
        </w:rPr>
        <w:t>5</w:t>
      </w:r>
      <w:r w:rsidRPr="007A682B">
        <w:rPr>
          <w:rFonts w:ascii="Arial" w:hAnsi="Arial" w:cs="Arial"/>
          <w:sz w:val="20"/>
          <w:szCs w:val="20"/>
        </w:rPr>
        <w:t>, Coltan G. Parker</w:t>
      </w:r>
      <w:r w:rsidR="00725FD3" w:rsidRPr="007A682B">
        <w:rPr>
          <w:rFonts w:ascii="Arial" w:hAnsi="Arial" w:cs="Arial"/>
          <w:sz w:val="20"/>
          <w:szCs w:val="20"/>
          <w:vertAlign w:val="superscript"/>
        </w:rPr>
        <w:t>6</w:t>
      </w:r>
      <w:r w:rsidRPr="007A682B">
        <w:rPr>
          <w:rFonts w:ascii="Arial" w:hAnsi="Arial" w:cs="Arial"/>
          <w:sz w:val="20"/>
          <w:szCs w:val="20"/>
        </w:rPr>
        <w:t>, Zachary V. Johnson</w:t>
      </w:r>
      <w:r w:rsidR="00725FD3" w:rsidRPr="007A682B">
        <w:rPr>
          <w:rFonts w:ascii="Arial" w:hAnsi="Arial" w:cs="Arial"/>
          <w:sz w:val="20"/>
          <w:szCs w:val="20"/>
          <w:vertAlign w:val="superscript"/>
        </w:rPr>
        <w:t>7</w:t>
      </w:r>
      <w:r w:rsidRPr="007A682B">
        <w:rPr>
          <w:rFonts w:ascii="Arial" w:hAnsi="Arial" w:cs="Arial"/>
          <w:sz w:val="20"/>
          <w:szCs w:val="20"/>
        </w:rPr>
        <w:t>, Jeffrey T. Streelman</w:t>
      </w:r>
      <w:r w:rsidR="00725FD3" w:rsidRPr="007A682B">
        <w:rPr>
          <w:rFonts w:ascii="Arial" w:hAnsi="Arial" w:cs="Arial"/>
          <w:sz w:val="20"/>
          <w:szCs w:val="20"/>
          <w:vertAlign w:val="superscript"/>
        </w:rPr>
        <w:t>2</w:t>
      </w:r>
      <w:r w:rsidRPr="007A682B">
        <w:rPr>
          <w:rFonts w:ascii="Arial" w:hAnsi="Arial" w:cs="Arial"/>
          <w:sz w:val="20"/>
          <w:szCs w:val="20"/>
        </w:rPr>
        <w:t>, Justin S. Rhodes</w:t>
      </w:r>
      <w:r w:rsidR="00725FD3" w:rsidRPr="007A682B">
        <w:rPr>
          <w:rFonts w:ascii="Arial" w:hAnsi="Arial" w:cs="Arial"/>
          <w:sz w:val="20"/>
          <w:szCs w:val="20"/>
          <w:vertAlign w:val="superscript"/>
        </w:rPr>
        <w:t>3</w:t>
      </w:r>
    </w:p>
    <w:p w14:paraId="25E24BA8" w14:textId="77777777" w:rsidR="006112BF" w:rsidRPr="007A682B" w:rsidRDefault="006112BF" w:rsidP="004816FA">
      <w:pPr>
        <w:rPr>
          <w:rFonts w:ascii="Arial" w:hAnsi="Arial" w:cs="Arial"/>
          <w:sz w:val="20"/>
          <w:szCs w:val="20"/>
          <w:vertAlign w:val="superscript"/>
        </w:rPr>
      </w:pPr>
    </w:p>
    <w:p w14:paraId="6840D396" w14:textId="77777777" w:rsidR="006537FF" w:rsidRPr="007A682B" w:rsidRDefault="006112BF">
      <w:pPr>
        <w:rPr>
          <w:rFonts w:ascii="Arial" w:hAnsi="Arial" w:cs="Arial"/>
          <w:sz w:val="20"/>
          <w:szCs w:val="20"/>
        </w:rPr>
      </w:pPr>
      <w:r w:rsidRPr="007A682B">
        <w:rPr>
          <w:rFonts w:ascii="Arial" w:hAnsi="Arial" w:cs="Arial"/>
          <w:sz w:val="20"/>
          <w:szCs w:val="20"/>
          <w:vertAlign w:val="superscript"/>
        </w:rPr>
        <w:t>1</w:t>
      </w:r>
      <w:r w:rsidRPr="007A682B">
        <w:rPr>
          <w:rFonts w:ascii="Arial" w:hAnsi="Arial" w:cs="Arial"/>
          <w:sz w:val="20"/>
          <w:szCs w:val="20"/>
        </w:rPr>
        <w:t xml:space="preserve"> </w:t>
      </w:r>
      <w:r w:rsidR="006537FF" w:rsidRPr="007A682B">
        <w:rPr>
          <w:rFonts w:ascii="Arial" w:hAnsi="Arial" w:cs="Arial"/>
          <w:sz w:val="20"/>
          <w:szCs w:val="20"/>
        </w:rPr>
        <w:t xml:space="preserve">Mortimer B. Zuckerman Mind, Brain, and Behavior Institute, Columbia University, New York, NY, 10027, United States of America </w:t>
      </w:r>
    </w:p>
    <w:p w14:paraId="27F84D17" w14:textId="0F05E934" w:rsidR="006537FF" w:rsidRPr="007A682B" w:rsidRDefault="006537FF" w:rsidP="006537FF">
      <w:pPr>
        <w:rPr>
          <w:rFonts w:ascii="Arial" w:hAnsi="Arial" w:cs="Arial"/>
          <w:sz w:val="20"/>
          <w:szCs w:val="20"/>
          <w:vertAlign w:val="superscript"/>
        </w:rPr>
      </w:pPr>
      <w:r w:rsidRPr="007A682B">
        <w:rPr>
          <w:rFonts w:ascii="Arial" w:hAnsi="Arial" w:cs="Arial"/>
          <w:sz w:val="20"/>
          <w:szCs w:val="20"/>
          <w:vertAlign w:val="superscript"/>
        </w:rPr>
        <w:t xml:space="preserve">2 </w:t>
      </w:r>
      <w:r w:rsidR="00AA2D9D" w:rsidRPr="007A682B">
        <w:rPr>
          <w:rFonts w:ascii="Arial" w:hAnsi="Arial" w:cs="Arial"/>
          <w:sz w:val="20"/>
          <w:szCs w:val="20"/>
        </w:rPr>
        <w:t>School of Biological Sciences, Georgia Institute of Technology, Atlanta, GA, 30332, USA</w:t>
      </w:r>
    </w:p>
    <w:p w14:paraId="400F7F98" w14:textId="05C95C5D" w:rsidR="006537FF" w:rsidRPr="007A682B" w:rsidRDefault="006537FF" w:rsidP="006537FF">
      <w:pPr>
        <w:rPr>
          <w:rFonts w:ascii="Arial" w:hAnsi="Arial" w:cs="Arial"/>
          <w:sz w:val="20"/>
          <w:szCs w:val="20"/>
        </w:rPr>
      </w:pPr>
      <w:r w:rsidRPr="007A682B">
        <w:rPr>
          <w:rFonts w:ascii="Arial" w:hAnsi="Arial" w:cs="Arial"/>
          <w:sz w:val="20"/>
          <w:szCs w:val="20"/>
          <w:vertAlign w:val="superscript"/>
        </w:rPr>
        <w:t>3</w:t>
      </w:r>
      <w:r w:rsidR="00AA2D9D" w:rsidRPr="007A682B">
        <w:rPr>
          <w:rFonts w:ascii="Arial" w:hAnsi="Arial" w:cs="Arial"/>
          <w:sz w:val="20"/>
          <w:szCs w:val="20"/>
        </w:rPr>
        <w:t xml:space="preserve"> Department of Psychology, University of Illinois at Urbana-Champaign, Urbana, IL 61801, USA</w:t>
      </w:r>
    </w:p>
    <w:p w14:paraId="2DA00076" w14:textId="39C422B5" w:rsidR="006537FF" w:rsidRPr="007A682B" w:rsidRDefault="006537FF" w:rsidP="006537FF">
      <w:pPr>
        <w:rPr>
          <w:rFonts w:ascii="Arial" w:hAnsi="Arial" w:cs="Arial"/>
          <w:sz w:val="20"/>
          <w:szCs w:val="20"/>
        </w:rPr>
      </w:pPr>
      <w:r w:rsidRPr="007A682B">
        <w:rPr>
          <w:rFonts w:ascii="Arial" w:hAnsi="Arial" w:cs="Arial"/>
          <w:sz w:val="20"/>
          <w:szCs w:val="20"/>
          <w:vertAlign w:val="superscript"/>
        </w:rPr>
        <w:t>4</w:t>
      </w:r>
      <w:r w:rsidR="00AA2D9D" w:rsidRPr="007A682B">
        <w:rPr>
          <w:rFonts w:ascii="Arial" w:hAnsi="Arial" w:cs="Arial"/>
          <w:sz w:val="20"/>
          <w:szCs w:val="20"/>
        </w:rPr>
        <w:t xml:space="preserve"> Department of Biology, MIT, Cambridge, MA 02139, USA</w:t>
      </w:r>
    </w:p>
    <w:p w14:paraId="7AC39591" w14:textId="5A79CB78" w:rsidR="006537FF" w:rsidRPr="007A682B" w:rsidRDefault="006537FF" w:rsidP="006537FF">
      <w:pPr>
        <w:rPr>
          <w:rFonts w:ascii="Arial" w:hAnsi="Arial" w:cs="Arial"/>
          <w:sz w:val="20"/>
          <w:szCs w:val="20"/>
          <w:vertAlign w:val="superscript"/>
        </w:rPr>
      </w:pPr>
      <w:r w:rsidRPr="007A682B">
        <w:rPr>
          <w:rFonts w:ascii="Arial" w:hAnsi="Arial" w:cs="Arial"/>
          <w:sz w:val="20"/>
          <w:szCs w:val="20"/>
          <w:vertAlign w:val="superscript"/>
        </w:rPr>
        <w:t>5</w:t>
      </w:r>
      <w:r w:rsidR="001770F5" w:rsidRPr="007A682B">
        <w:rPr>
          <w:rFonts w:ascii="Arial" w:hAnsi="Arial" w:cs="Arial"/>
          <w:sz w:val="20"/>
          <w:szCs w:val="20"/>
        </w:rPr>
        <w:t xml:space="preserve"> Department of Chemistry, University of Alberta, Edmonton, Alberta, Canada</w:t>
      </w:r>
    </w:p>
    <w:p w14:paraId="5D5ED9A6" w14:textId="755EC211" w:rsidR="006537FF" w:rsidRPr="007A682B" w:rsidRDefault="006537FF" w:rsidP="006537FF">
      <w:pPr>
        <w:rPr>
          <w:rFonts w:ascii="Arial" w:hAnsi="Arial" w:cs="Arial"/>
          <w:sz w:val="20"/>
          <w:szCs w:val="20"/>
        </w:rPr>
      </w:pPr>
      <w:r w:rsidRPr="007A682B">
        <w:rPr>
          <w:rFonts w:ascii="Arial" w:hAnsi="Arial" w:cs="Arial"/>
          <w:sz w:val="20"/>
          <w:szCs w:val="20"/>
          <w:highlight w:val="yellow"/>
          <w:vertAlign w:val="superscript"/>
        </w:rPr>
        <w:t>6</w:t>
      </w:r>
      <w:r w:rsidR="00AA2D9D" w:rsidRPr="007A682B">
        <w:rPr>
          <w:rFonts w:ascii="Arial" w:hAnsi="Arial" w:cs="Arial"/>
          <w:sz w:val="20"/>
          <w:szCs w:val="20"/>
          <w:highlight w:val="yellow"/>
          <w:vertAlign w:val="superscript"/>
        </w:rPr>
        <w:t xml:space="preserve"> </w:t>
      </w:r>
      <w:r w:rsidR="004A27C9" w:rsidRPr="004A27C9">
        <w:rPr>
          <w:rFonts w:ascii="Arial" w:hAnsi="Arial" w:cs="Arial"/>
          <w:sz w:val="20"/>
          <w:szCs w:val="20"/>
          <w:highlight w:val="yellow"/>
        </w:rPr>
        <w:t>xx</w:t>
      </w:r>
      <w:r w:rsidR="00AA2D9D" w:rsidRPr="007A682B">
        <w:rPr>
          <w:rFonts w:ascii="Arial" w:hAnsi="Arial" w:cs="Arial"/>
          <w:sz w:val="20"/>
          <w:szCs w:val="20"/>
          <w:highlight w:val="yellow"/>
        </w:rPr>
        <w:t>Coltan please add</w:t>
      </w:r>
    </w:p>
    <w:p w14:paraId="6C9A2FC2" w14:textId="24D0B2F6" w:rsidR="00C613B5" w:rsidRPr="007A682B" w:rsidRDefault="00514562" w:rsidP="006537FF">
      <w:pPr>
        <w:rPr>
          <w:rFonts w:ascii="Arial" w:hAnsi="Arial" w:cs="Arial"/>
          <w:sz w:val="20"/>
          <w:szCs w:val="20"/>
          <w:vertAlign w:val="superscript"/>
        </w:rPr>
      </w:pPr>
      <w:r w:rsidRPr="007A682B">
        <w:rPr>
          <w:rFonts w:ascii="Arial" w:hAnsi="Arial" w:cs="Arial"/>
          <w:sz w:val="20"/>
          <w:szCs w:val="20"/>
          <w:vertAlign w:val="superscript"/>
        </w:rPr>
        <w:t xml:space="preserve">7 </w:t>
      </w:r>
      <w:r w:rsidR="00AA2D9D" w:rsidRPr="007A682B">
        <w:rPr>
          <w:rFonts w:ascii="Arial" w:hAnsi="Arial" w:cs="Arial"/>
          <w:sz w:val="20"/>
          <w:szCs w:val="20"/>
        </w:rPr>
        <w:t>Emory National Primate Research Center, Emory University, Atlanta, GA, USA</w:t>
      </w:r>
    </w:p>
    <w:p w14:paraId="34F89003" w14:textId="77777777" w:rsidR="00FF577F" w:rsidRPr="007A682B" w:rsidRDefault="00FF577F" w:rsidP="00FF577F">
      <w:pPr>
        <w:rPr>
          <w:rFonts w:ascii="Arial" w:hAnsi="Arial" w:cs="Arial"/>
          <w:sz w:val="20"/>
          <w:szCs w:val="20"/>
        </w:rPr>
      </w:pPr>
    </w:p>
    <w:p w14:paraId="3EB991C4" w14:textId="77777777" w:rsidR="00FF577F" w:rsidRPr="007A682B" w:rsidRDefault="00FF577F" w:rsidP="003218DF">
      <w:pPr>
        <w:rPr>
          <w:rFonts w:ascii="Arial" w:hAnsi="Arial" w:cs="Arial"/>
          <w:sz w:val="20"/>
          <w:szCs w:val="20"/>
        </w:rPr>
      </w:pPr>
      <w:r w:rsidRPr="007A682B">
        <w:rPr>
          <w:rFonts w:ascii="Arial" w:hAnsi="Arial" w:cs="Arial"/>
          <w:sz w:val="20"/>
          <w:szCs w:val="20"/>
        </w:rPr>
        <w:t xml:space="preserve">Corresponding author:  </w:t>
      </w:r>
    </w:p>
    <w:p w14:paraId="7019DB66" w14:textId="77777777" w:rsidR="00FF577F" w:rsidRPr="007A682B" w:rsidRDefault="00FF577F" w:rsidP="003218DF">
      <w:pPr>
        <w:rPr>
          <w:rFonts w:ascii="Arial" w:hAnsi="Arial" w:cs="Arial"/>
          <w:sz w:val="20"/>
          <w:szCs w:val="20"/>
        </w:rPr>
      </w:pPr>
      <w:r w:rsidRPr="007A682B">
        <w:rPr>
          <w:rFonts w:ascii="Arial" w:hAnsi="Arial" w:cs="Arial"/>
          <w:sz w:val="20"/>
          <w:szCs w:val="20"/>
        </w:rPr>
        <w:t>Justin S. Rhodes</w:t>
      </w:r>
    </w:p>
    <w:p w14:paraId="2B02D809" w14:textId="77777777" w:rsidR="00FF577F" w:rsidRPr="007A682B" w:rsidRDefault="00FF577F" w:rsidP="003218DF">
      <w:pPr>
        <w:rPr>
          <w:rFonts w:ascii="Arial" w:hAnsi="Arial" w:cs="Arial"/>
          <w:sz w:val="20"/>
          <w:szCs w:val="20"/>
        </w:rPr>
      </w:pPr>
      <w:r w:rsidRPr="007A682B">
        <w:rPr>
          <w:rFonts w:ascii="Arial" w:hAnsi="Arial" w:cs="Arial"/>
          <w:sz w:val="20"/>
          <w:szCs w:val="20"/>
        </w:rPr>
        <w:t>Department of Psychology</w:t>
      </w:r>
    </w:p>
    <w:p w14:paraId="27268E0A" w14:textId="77777777" w:rsidR="00FF577F" w:rsidRPr="007A682B" w:rsidRDefault="00FF577F" w:rsidP="003218DF">
      <w:pPr>
        <w:rPr>
          <w:rFonts w:ascii="Arial" w:hAnsi="Arial" w:cs="Arial"/>
          <w:sz w:val="20"/>
          <w:szCs w:val="20"/>
        </w:rPr>
      </w:pPr>
      <w:r w:rsidRPr="007A682B">
        <w:rPr>
          <w:rFonts w:ascii="Arial" w:hAnsi="Arial" w:cs="Arial"/>
          <w:sz w:val="20"/>
          <w:szCs w:val="20"/>
        </w:rPr>
        <w:t>603 East Daniel St., Champaign, IL 61820</w:t>
      </w:r>
    </w:p>
    <w:p w14:paraId="0D23D507" w14:textId="77777777" w:rsidR="00FF577F" w:rsidRPr="007A682B" w:rsidRDefault="00FF577F" w:rsidP="003218DF">
      <w:pPr>
        <w:rPr>
          <w:rFonts w:ascii="Arial" w:hAnsi="Arial" w:cs="Arial"/>
          <w:sz w:val="20"/>
          <w:szCs w:val="20"/>
        </w:rPr>
      </w:pPr>
      <w:r w:rsidRPr="007A682B">
        <w:rPr>
          <w:rFonts w:ascii="Arial" w:hAnsi="Arial" w:cs="Arial"/>
          <w:sz w:val="20"/>
          <w:szCs w:val="20"/>
        </w:rPr>
        <w:t>Email: jrhodes@illinois.edu</w:t>
      </w:r>
    </w:p>
    <w:p w14:paraId="304419E3" w14:textId="77777777" w:rsidR="00370690" w:rsidRPr="007A682B" w:rsidRDefault="00FF577F" w:rsidP="003218DF">
      <w:pPr>
        <w:rPr>
          <w:rFonts w:ascii="Arial" w:hAnsi="Arial" w:cs="Arial"/>
          <w:sz w:val="20"/>
          <w:szCs w:val="20"/>
        </w:rPr>
      </w:pPr>
      <w:r w:rsidRPr="007A682B">
        <w:rPr>
          <w:rFonts w:ascii="Arial" w:hAnsi="Arial" w:cs="Arial"/>
          <w:sz w:val="20"/>
          <w:szCs w:val="20"/>
        </w:rPr>
        <w:t>Phone: 503-413-9241</w:t>
      </w:r>
    </w:p>
    <w:p w14:paraId="2C025C1F" w14:textId="77777777" w:rsidR="00370690" w:rsidRPr="007A682B" w:rsidRDefault="00370690" w:rsidP="00370690">
      <w:pPr>
        <w:tabs>
          <w:tab w:val="left" w:pos="2405"/>
        </w:tabs>
        <w:rPr>
          <w:rFonts w:ascii="Arial" w:hAnsi="Arial" w:cs="Arial"/>
          <w:sz w:val="20"/>
          <w:szCs w:val="20"/>
        </w:rPr>
      </w:pPr>
    </w:p>
    <w:p w14:paraId="69B2089E"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Author Contributions</w:t>
      </w:r>
    </w:p>
    <w:p w14:paraId="42F29D12"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Competing Interest Statement</w:t>
      </w:r>
    </w:p>
    <w:p w14:paraId="34331622"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Classification</w:t>
      </w:r>
    </w:p>
    <w:p w14:paraId="1B4B289E"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Keywords</w:t>
      </w:r>
    </w:p>
    <w:p w14:paraId="25D9234C" w14:textId="77777777" w:rsidR="00370690" w:rsidRPr="007A682B" w:rsidRDefault="00370690" w:rsidP="00370690">
      <w:pPr>
        <w:rPr>
          <w:rFonts w:ascii="Arial" w:hAnsi="Arial" w:cs="Arial"/>
          <w:b/>
          <w:bCs/>
          <w:sz w:val="20"/>
          <w:szCs w:val="20"/>
        </w:rPr>
      </w:pPr>
    </w:p>
    <w:p w14:paraId="162BEE62" w14:textId="77777777" w:rsidR="00370690" w:rsidRPr="007A682B" w:rsidRDefault="00370690" w:rsidP="00370690">
      <w:pPr>
        <w:rPr>
          <w:rFonts w:ascii="Arial" w:hAnsi="Arial" w:cs="Arial"/>
          <w:b/>
          <w:bCs/>
          <w:sz w:val="20"/>
          <w:szCs w:val="20"/>
        </w:rPr>
      </w:pPr>
      <w:r w:rsidRPr="007A682B">
        <w:rPr>
          <w:rFonts w:ascii="Arial" w:hAnsi="Arial" w:cs="Arial"/>
          <w:b/>
          <w:bCs/>
          <w:sz w:val="20"/>
          <w:szCs w:val="20"/>
        </w:rPr>
        <w:t>This PDF file includes:</w:t>
      </w:r>
    </w:p>
    <w:p w14:paraId="2E64DBED" w14:textId="77777777" w:rsidR="00370690" w:rsidRPr="007A682B" w:rsidRDefault="00370690" w:rsidP="00370690">
      <w:pPr>
        <w:ind w:firstLine="720"/>
        <w:rPr>
          <w:rFonts w:ascii="Arial" w:hAnsi="Arial" w:cs="Arial"/>
          <w:sz w:val="20"/>
          <w:szCs w:val="20"/>
        </w:rPr>
      </w:pPr>
      <w:r w:rsidRPr="007A682B">
        <w:rPr>
          <w:rFonts w:ascii="Arial" w:hAnsi="Arial" w:cs="Arial"/>
          <w:sz w:val="20"/>
          <w:szCs w:val="20"/>
        </w:rPr>
        <w:t>Main Text</w:t>
      </w:r>
    </w:p>
    <w:p w14:paraId="6E55E105" w14:textId="758BAA4B" w:rsidR="00370690" w:rsidRPr="007A682B" w:rsidRDefault="00370690" w:rsidP="00370690">
      <w:pPr>
        <w:ind w:firstLine="720"/>
        <w:rPr>
          <w:rFonts w:ascii="Arial" w:hAnsi="Arial" w:cs="Arial"/>
          <w:sz w:val="20"/>
          <w:szCs w:val="20"/>
        </w:rPr>
      </w:pPr>
      <w:r w:rsidRPr="007A682B">
        <w:rPr>
          <w:rFonts w:ascii="Arial" w:hAnsi="Arial" w:cs="Arial"/>
          <w:sz w:val="20"/>
          <w:szCs w:val="20"/>
        </w:rPr>
        <w:t xml:space="preserve">Figures 1 to </w:t>
      </w:r>
      <w:r w:rsidR="00433BD8" w:rsidRPr="007A682B">
        <w:rPr>
          <w:rFonts w:ascii="Arial" w:hAnsi="Arial" w:cs="Arial"/>
          <w:sz w:val="20"/>
          <w:szCs w:val="20"/>
        </w:rPr>
        <w:t>S11</w:t>
      </w:r>
    </w:p>
    <w:p w14:paraId="448614B8" w14:textId="1E20D458" w:rsidR="00E1149A" w:rsidRPr="007A682B" w:rsidRDefault="006537FF" w:rsidP="00370690">
      <w:pPr>
        <w:rPr>
          <w:rFonts w:ascii="Arial" w:hAnsi="Arial" w:cs="Arial"/>
          <w:b/>
          <w:bCs/>
          <w:sz w:val="20"/>
          <w:szCs w:val="20"/>
        </w:rPr>
      </w:pPr>
      <w:r w:rsidRPr="007A682B">
        <w:rPr>
          <w:rFonts w:ascii="Arial" w:hAnsi="Arial" w:cs="Arial"/>
          <w:b/>
          <w:bCs/>
          <w:sz w:val="20"/>
          <w:szCs w:val="20"/>
        </w:rPr>
        <w:br w:type="page"/>
      </w:r>
      <w:r w:rsidR="00E1149A" w:rsidRPr="007A682B">
        <w:rPr>
          <w:rFonts w:ascii="Arial" w:hAnsi="Arial" w:cs="Arial"/>
          <w:b/>
          <w:bCs/>
          <w:sz w:val="20"/>
          <w:szCs w:val="20"/>
        </w:rPr>
        <w:lastRenderedPageBreak/>
        <w:t>Abstract</w:t>
      </w:r>
    </w:p>
    <w:p w14:paraId="30ED63F8" w14:textId="5AF176E6" w:rsidR="00E1149A" w:rsidRPr="007A682B" w:rsidRDefault="00A335BB" w:rsidP="00B27562">
      <w:pPr>
        <w:ind w:firstLine="720"/>
        <w:rPr>
          <w:rFonts w:ascii="Arial" w:hAnsi="Arial" w:cs="Arial"/>
          <w:sz w:val="20"/>
          <w:szCs w:val="20"/>
        </w:rPr>
      </w:pPr>
      <w:r w:rsidRPr="007A682B">
        <w:rPr>
          <w:rFonts w:ascii="Arial" w:hAnsi="Arial" w:cs="Arial"/>
          <w:sz w:val="20"/>
          <w:szCs w:val="20"/>
        </w:rPr>
        <w:t>Phenotypic plasticity allows organisms to modify behavior, physiology, and morphology in response to environmental change. Among its most dramatic forms is adult sex change, in which social cues trigger transformation from one functional sex to another. In the protandrous anemonefish (</w:t>
      </w:r>
      <w:r w:rsidRPr="007A682B">
        <w:rPr>
          <w:rFonts w:ascii="Arial" w:hAnsi="Arial" w:cs="Arial"/>
          <w:i/>
          <w:iCs/>
          <w:sz w:val="20"/>
          <w:szCs w:val="20"/>
        </w:rPr>
        <w:t>Amphiprion ocellaris</w:t>
      </w:r>
      <w:r w:rsidRPr="007A682B">
        <w:rPr>
          <w:rFonts w:ascii="Arial" w:hAnsi="Arial" w:cs="Arial"/>
          <w:sz w:val="20"/>
          <w:szCs w:val="20"/>
        </w:rPr>
        <w:t xml:space="preserve">), males become females after attaining social dominance, but how the brain orchestrates this transition remains poorly understood. We combined single-nucleus multiomics (RNA and ATAC), spatial transcriptomics, </w:t>
      </w:r>
      <w:r w:rsidR="00540717" w:rsidRPr="007A682B">
        <w:rPr>
          <w:rFonts w:ascii="Arial" w:hAnsi="Arial" w:cs="Arial"/>
          <w:sz w:val="20"/>
          <w:szCs w:val="20"/>
        </w:rPr>
        <w:t>sex hormone profiling, gonadal histology and</w:t>
      </w:r>
      <w:r w:rsidRPr="007A682B">
        <w:rPr>
          <w:rFonts w:ascii="Arial" w:hAnsi="Arial" w:cs="Arial"/>
          <w:sz w:val="20"/>
          <w:szCs w:val="20"/>
        </w:rPr>
        <w:t xml:space="preserve"> behavior</w:t>
      </w:r>
      <w:r w:rsidR="00540717" w:rsidRPr="007A682B">
        <w:rPr>
          <w:rFonts w:ascii="Arial" w:hAnsi="Arial" w:cs="Arial"/>
          <w:sz w:val="20"/>
          <w:szCs w:val="20"/>
        </w:rPr>
        <w:t>al analysis</w:t>
      </w:r>
      <w:r w:rsidRPr="007A682B">
        <w:rPr>
          <w:rFonts w:ascii="Arial" w:hAnsi="Arial" w:cs="Arial"/>
          <w:sz w:val="20"/>
          <w:szCs w:val="20"/>
        </w:rPr>
        <w:t xml:space="preserve"> to characterize remodeling of the preoptic area (POA) and adjacent regions across sex change. Analysis of 35,364 nuclei revealed extensive cell-type-specific remodeling, with radial glia cells (RGCs) and POA neurons showing </w:t>
      </w:r>
      <w:r w:rsidR="00540717" w:rsidRPr="007A682B">
        <w:rPr>
          <w:rFonts w:ascii="Arial" w:hAnsi="Arial" w:cs="Arial"/>
          <w:sz w:val="20"/>
          <w:szCs w:val="20"/>
        </w:rPr>
        <w:t xml:space="preserve">the most </w:t>
      </w:r>
      <w:r w:rsidRPr="007A682B">
        <w:rPr>
          <w:rFonts w:ascii="Arial" w:hAnsi="Arial" w:cs="Arial"/>
          <w:sz w:val="20"/>
          <w:szCs w:val="20"/>
        </w:rPr>
        <w:t>prominent changes in abundance, gene expression, and chromatin accessibility. Machine-learning models revealed asynchronous transitions across cell types, with many female-specific transcriptional programs emerging only after gonadal</w:t>
      </w:r>
      <w:r w:rsidR="00F25B9C">
        <w:rPr>
          <w:rFonts w:ascii="Arial" w:hAnsi="Arial" w:cs="Arial"/>
          <w:sz w:val="20"/>
          <w:szCs w:val="20"/>
        </w:rPr>
        <w:t>, hormonal and behavioral</w:t>
      </w:r>
      <w:r w:rsidRPr="007A682B">
        <w:rPr>
          <w:rFonts w:ascii="Arial" w:hAnsi="Arial" w:cs="Arial"/>
          <w:sz w:val="20"/>
          <w:szCs w:val="20"/>
        </w:rPr>
        <w:t xml:space="preserve"> transformation. During the intermediate phase, RGCs showed reduced brain aromatase and transcriptional and chromatin signatures consistent with increased neurogenic activity.</w:t>
      </w:r>
      <w:r w:rsidR="00FA0DC8" w:rsidRPr="00FA0DC8">
        <w:t xml:space="preserve"> </w:t>
      </w:r>
      <w:r w:rsidR="00FA0DC8" w:rsidRPr="00FA0DC8">
        <w:rPr>
          <w:rFonts w:ascii="Arial" w:hAnsi="Arial" w:cs="Arial"/>
          <w:sz w:val="20"/>
          <w:szCs w:val="20"/>
        </w:rPr>
        <w:t>POA neurons concurrently exhibited transcriptional signatures consistent with the incorporation of newly generated neurons, including an increase in the relative abundance of a cholecystokinin-expressing population implicated in ovarian development.</w:t>
      </w:r>
      <w:r w:rsidRPr="007A682B">
        <w:rPr>
          <w:rFonts w:ascii="Arial" w:hAnsi="Arial" w:cs="Arial"/>
          <w:sz w:val="20"/>
          <w:szCs w:val="20"/>
        </w:rPr>
        <w:t xml:space="preserve"> </w:t>
      </w:r>
      <w:r w:rsidR="00193AD3" w:rsidRPr="00193AD3">
        <w:rPr>
          <w:rFonts w:ascii="Arial" w:hAnsi="Arial" w:cs="Arial"/>
          <w:sz w:val="20"/>
          <w:szCs w:val="20"/>
        </w:rPr>
        <w:t>Changes in POA neuropeptide signaling suggest a potential shift in gonadotropin regulation toward reduced LH and increased FSH signaling during sex change</w:t>
      </w:r>
      <w:r w:rsidRPr="007A682B">
        <w:rPr>
          <w:rFonts w:ascii="Arial" w:hAnsi="Arial" w:cs="Arial"/>
          <w:sz w:val="20"/>
          <w:szCs w:val="20"/>
        </w:rPr>
        <w:t xml:space="preserve">. Regulatory analyses implicated </w:t>
      </w:r>
      <w:r w:rsidRPr="007A682B">
        <w:rPr>
          <w:rFonts w:ascii="Arial" w:hAnsi="Arial" w:cs="Arial"/>
          <w:i/>
          <w:iCs/>
          <w:sz w:val="20"/>
          <w:szCs w:val="20"/>
        </w:rPr>
        <w:t>gli1</w:t>
      </w:r>
      <w:r w:rsidRPr="007A682B">
        <w:rPr>
          <w:rFonts w:ascii="Arial" w:hAnsi="Arial" w:cs="Arial"/>
          <w:sz w:val="20"/>
          <w:szCs w:val="20"/>
        </w:rPr>
        <w:t xml:space="preserve"> and </w:t>
      </w:r>
      <w:r w:rsidRPr="007A682B">
        <w:rPr>
          <w:rFonts w:ascii="Arial" w:hAnsi="Arial" w:cs="Arial"/>
          <w:i/>
          <w:iCs/>
          <w:sz w:val="20"/>
          <w:szCs w:val="20"/>
        </w:rPr>
        <w:t>uncx</w:t>
      </w:r>
      <w:r w:rsidRPr="007A682B">
        <w:rPr>
          <w:rFonts w:ascii="Arial" w:hAnsi="Arial" w:cs="Arial"/>
          <w:sz w:val="20"/>
          <w:szCs w:val="20"/>
        </w:rPr>
        <w:t xml:space="preserve"> in RGC remodeling and </w:t>
      </w:r>
      <w:r w:rsidRPr="007A682B">
        <w:rPr>
          <w:rFonts w:ascii="Arial" w:hAnsi="Arial" w:cs="Arial"/>
          <w:i/>
          <w:iCs/>
          <w:sz w:val="20"/>
          <w:szCs w:val="20"/>
        </w:rPr>
        <w:t>esr2b</w:t>
      </w:r>
      <w:r w:rsidRPr="007A682B">
        <w:rPr>
          <w:rFonts w:ascii="Arial" w:hAnsi="Arial" w:cs="Arial"/>
          <w:sz w:val="20"/>
          <w:szCs w:val="20"/>
        </w:rPr>
        <w:t xml:space="preserve">, </w:t>
      </w:r>
      <w:r w:rsidRPr="007A682B">
        <w:rPr>
          <w:rFonts w:ascii="Arial" w:hAnsi="Arial" w:cs="Arial"/>
          <w:i/>
          <w:iCs/>
          <w:sz w:val="20"/>
          <w:szCs w:val="20"/>
        </w:rPr>
        <w:t>pgr</w:t>
      </w:r>
      <w:r w:rsidRPr="007A682B">
        <w:rPr>
          <w:rFonts w:ascii="Arial" w:hAnsi="Arial" w:cs="Arial"/>
          <w:sz w:val="20"/>
          <w:szCs w:val="20"/>
        </w:rPr>
        <w:t xml:space="preserve">, </w:t>
      </w:r>
      <w:r w:rsidRPr="007A682B">
        <w:rPr>
          <w:rFonts w:ascii="Arial" w:hAnsi="Arial" w:cs="Arial"/>
          <w:i/>
          <w:iCs/>
          <w:sz w:val="20"/>
          <w:szCs w:val="20"/>
        </w:rPr>
        <w:t>ar</w:t>
      </w:r>
      <w:r w:rsidRPr="007A682B">
        <w:rPr>
          <w:rFonts w:ascii="Arial" w:hAnsi="Arial" w:cs="Arial"/>
          <w:sz w:val="20"/>
          <w:szCs w:val="20"/>
        </w:rPr>
        <w:t xml:space="preserve">, and </w:t>
      </w:r>
      <w:r w:rsidRPr="007A682B">
        <w:rPr>
          <w:rFonts w:ascii="Arial" w:hAnsi="Arial" w:cs="Arial"/>
          <w:i/>
          <w:iCs/>
          <w:sz w:val="20"/>
          <w:szCs w:val="20"/>
        </w:rPr>
        <w:t>egr1</w:t>
      </w:r>
      <w:r w:rsidRPr="007A682B">
        <w:rPr>
          <w:rFonts w:ascii="Arial" w:hAnsi="Arial" w:cs="Arial"/>
          <w:sz w:val="20"/>
          <w:szCs w:val="20"/>
        </w:rPr>
        <w:t xml:space="preserve"> in POA neurons. </w:t>
      </w:r>
      <w:r w:rsidR="00193AD3" w:rsidRPr="00193AD3">
        <w:rPr>
          <w:rFonts w:ascii="Arial" w:hAnsi="Arial" w:cs="Arial"/>
          <w:sz w:val="20"/>
          <w:szCs w:val="20"/>
        </w:rPr>
        <w:t>Together, these findings support a two-stage model in which early remodeling of LH-regulating neurons and the potential generation of new FSH-stimulating neurons contribute to the initiation of gonadal sex change, while broader neural feminization follows ovarian development and changes in the sex-steroid milieu.</w:t>
      </w:r>
    </w:p>
    <w:p w14:paraId="285DA173" w14:textId="77777777" w:rsidR="00E1149A" w:rsidRPr="007A682B" w:rsidRDefault="00E1149A">
      <w:pPr>
        <w:rPr>
          <w:rFonts w:ascii="Arial" w:hAnsi="Arial" w:cs="Arial"/>
          <w:b/>
          <w:bCs/>
          <w:sz w:val="20"/>
          <w:szCs w:val="20"/>
          <w:u w:val="single"/>
        </w:rPr>
      </w:pPr>
      <w:r w:rsidRPr="007A682B">
        <w:rPr>
          <w:rFonts w:ascii="Arial" w:hAnsi="Arial" w:cs="Arial"/>
          <w:b/>
          <w:bCs/>
          <w:sz w:val="20"/>
          <w:szCs w:val="20"/>
          <w:u w:val="single"/>
        </w:rPr>
        <w:br w:type="page"/>
      </w:r>
    </w:p>
    <w:p w14:paraId="2275A4A1" w14:textId="756DED22" w:rsidR="00551E7E" w:rsidRPr="007A682B" w:rsidRDefault="00551E7E" w:rsidP="003218DF">
      <w:pPr>
        <w:rPr>
          <w:rFonts w:ascii="Arial" w:hAnsi="Arial" w:cs="Arial"/>
          <w:b/>
          <w:bCs/>
          <w:sz w:val="20"/>
          <w:szCs w:val="20"/>
        </w:rPr>
      </w:pPr>
      <w:r w:rsidRPr="007A682B">
        <w:rPr>
          <w:rFonts w:ascii="Arial" w:hAnsi="Arial" w:cs="Arial"/>
          <w:b/>
          <w:bCs/>
          <w:sz w:val="20"/>
          <w:szCs w:val="20"/>
        </w:rPr>
        <w:lastRenderedPageBreak/>
        <w:t>Main Text</w:t>
      </w:r>
    </w:p>
    <w:p w14:paraId="1E20ED99" w14:textId="427876E2" w:rsidR="00E1149A" w:rsidRPr="007A682B" w:rsidRDefault="00E1149A" w:rsidP="003218DF">
      <w:pPr>
        <w:rPr>
          <w:rFonts w:ascii="Arial" w:hAnsi="Arial" w:cs="Arial"/>
          <w:b/>
          <w:bCs/>
          <w:sz w:val="20"/>
          <w:szCs w:val="20"/>
        </w:rPr>
      </w:pPr>
      <w:r w:rsidRPr="007A682B">
        <w:rPr>
          <w:rFonts w:ascii="Arial" w:hAnsi="Arial" w:cs="Arial"/>
          <w:b/>
          <w:bCs/>
          <w:sz w:val="20"/>
          <w:szCs w:val="20"/>
        </w:rPr>
        <w:t>Introduction</w:t>
      </w:r>
    </w:p>
    <w:p w14:paraId="1FC47503" w14:textId="5CD846E0"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The ability of the adult brain to reorganize in response to changing environmental conditions is one of the most remarkable adaptations in biology. Across </w:t>
      </w:r>
      <w:r w:rsidR="00810A40" w:rsidRPr="007A682B">
        <w:rPr>
          <w:rFonts w:ascii="Arial" w:hAnsi="Arial" w:cs="Arial"/>
          <w:sz w:val="20"/>
          <w:szCs w:val="20"/>
        </w:rPr>
        <w:t>vertebrate taxa</w:t>
      </w:r>
      <w:r w:rsidRPr="007A682B">
        <w:rPr>
          <w:rFonts w:ascii="Arial" w:hAnsi="Arial" w:cs="Arial"/>
          <w:sz w:val="20"/>
          <w:szCs w:val="20"/>
        </w:rPr>
        <w:t xml:space="preserve">, </w:t>
      </w:r>
      <w:r w:rsidR="00810A40" w:rsidRPr="007A682B">
        <w:rPr>
          <w:rFonts w:ascii="Arial" w:hAnsi="Arial" w:cs="Arial"/>
          <w:sz w:val="20"/>
          <w:szCs w:val="20"/>
        </w:rPr>
        <w:t>neuroplasticity</w:t>
      </w:r>
      <w:r w:rsidRPr="007A682B">
        <w:rPr>
          <w:rFonts w:ascii="Arial" w:hAnsi="Arial" w:cs="Arial"/>
          <w:sz w:val="20"/>
          <w:szCs w:val="20"/>
        </w:rPr>
        <w:t xml:space="preserve"> allows animals to modify behavior, physiology, and reproduction in ways that improve fitness in an unpredictable world. </w:t>
      </w:r>
      <w:r w:rsidR="00CC4CF3" w:rsidRPr="007A682B">
        <w:rPr>
          <w:rFonts w:ascii="Arial" w:hAnsi="Arial" w:cs="Arial"/>
          <w:sz w:val="20"/>
          <w:szCs w:val="20"/>
        </w:rPr>
        <w:t xml:space="preserve">Such plasticity can be extensive, ranging from changes in neural structure and connectivity to adult neurogenesis </w:t>
      </w:r>
      <w:r w:rsidR="0016224F" w:rsidRPr="007A682B">
        <w:rPr>
          <w:rFonts w:ascii="Arial" w:hAnsi="Arial" w:cs="Arial"/>
          <w:sz w:val="20"/>
          <w:szCs w:val="20"/>
        </w:rPr>
        <w:t>or</w:t>
      </w:r>
      <w:r w:rsidR="00CC4CF3" w:rsidRPr="007A682B">
        <w:rPr>
          <w:rFonts w:ascii="Arial" w:hAnsi="Arial" w:cs="Arial"/>
          <w:sz w:val="20"/>
          <w:szCs w:val="20"/>
        </w:rPr>
        <w:t xml:space="preserve"> regeneration of damaged neural tissue </w:t>
      </w:r>
      <w:r w:rsidR="000B4F36"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pmDzwsFy","properties":{"unsorted":false,"formattedCitation":"(1\\uc0\\u8211{}3)","plainCitation":"(1–3)","noteIndex":0},"citationItems":[{"id":6605,"uris":["http://zotero.org/users/11313215/items/SLRSZL5X"],"itemData":{"id":6605,"type":"article-journal","abstract":"Traumatic brain injury (TBI) is a global health challenge, leading to chronic cognitive and motor deficits. The limited neuroregenerative capacity of adult mammals hampers the development of effective therapies. In contrast, zebrafish exhibit remarkable brain regeneration, making them an ideal model for studying molecular and cellular mechanisms underlying TBI.","container-title":"Journal of Translational Medicine","DOI":"10.1186/s12967-025-07400-7","ISSN":"1479-5876","issue":"1","journalAbbreviation":"J Transl Med","language":"en","page":"87","source":"Springer Link","title":"From injury to recovery: transcriptomic dynamics in zebrafish brain regeneration","title-short":"From injury to recovery","volume":"24","author":[{"family":"Bhasin","given":"Sidharth"},{"family":"Kaushal","given":"Shruti"},{"family":"Srivastava","given":"Priyanka Prakash"},{"family":"Menon","given":"Manoj B."},{"family":"Ramachandran","given":"Rajesh"},{"family":"Dhanjal","given":"Jaspreet Kaur"},{"family":"Minocha","given":"Shilpi"}],"issued":{"date-parts":[["2025",12,2]]}}},{"id":6612,"uris":["http://zotero.org/users/11313215/items/N8VY9388"],"itemData":{"id":6612,"type":"article-journal","abstract":"The capacity of the central nervous system for structural plasticity and regeneration is commonly believed to show a decreasing progression from “small and simple” brains to the larger, more complex brains of mammals. However, recent findings revealed that some forms of neural plasticity can show a reverse trend. Although plasticity is a well-preserved, transversal feature across the animal world, a variety of cell populations and mechanisms seem to have evolved to enable structural modifications to take place in widely different brains, likely as adaptations to selective pressures. Increasing evidence now indicates that a trade-off has occurred between regenerative (mostly stem cell–driven) plasticity and developmental (mostly juvenile) remodeling, with the latter primarily aimed not at brain repair but rather at “sculpting” the neural circuits based on experience. In particular, an evolutionary trade-off has occurred between neurogenic processes intended to support the possibility of recruiting new neurons throughout life and the different ways of obtaining new neurons, and between the different brain locations in which plasticity occurs. This review first briefly surveys the different types of plasticity and the complexity of their possible outcomes and then focuses on recent findings showing that the mammalian brain has a stem cell–independent integration of new neurons into pre-existing (mature) neural circuits. This process is still largely unknown but involves neuronal cells that have been blocked in arrested maturation since their embryonic origin (also termed “immature” or “dormant” neurons). These cells can then restart maturation throughout the animal’s lifespan to become functional neurons in brain regions, such as the cerebral cortex and amygdala, that are relevant to high-order cognition and emotions. Unlike stem cell–driven postnatal/adult neurogenesis, which significantly decreases from small-brained, short-living species to large-brained ones, immature neurons are particularly abundant in large-brained, long-living mammals, including humans. The immature neural cell populations hosted in these complex brains are an interesting example of an “enlarged road” in the phylogenetic trend of plastic potential decreases commonly observed in the animal world. The topic of dormant neurons that covary with brain size and gyrencephaly represents a prospective turning point in the field of neuroplasticity, with important translational outcomes. These cells can represent a reservoir of undifferentiated neurons, potentially granting plasticity within the high-order circuits subserving the most sophisticated cognitive skills that are important in the growing brains of young, healthy individuals and are frequently affected by debilitating neurodevelopmental and degenerative disorders.","container-title":"Neural Regeneration Research","DOI":"10.4103/NRR.NRR-D-24-01438","ISSN":"1673-5374","issue":"5","journalAbbreviation":"Neural Regen Res","page":"1669-1680","PMID":"40145954","PMCID":"PMC12694648","source":"PubMed Central","title":"Brain structural plasticity in large-brained mammals: Not only narrowing roads","title-short":"Brain structural plasticity in large-brained mammals","volume":"21","author":[{"family":"Ghibaudi","given":"Marco"},{"family":"Zanone","given":"Alessandro"},{"family":"Bonfanti","given":"Luca"}],"issued":{"date-parts":[["2025",3,25]]}}},{"id":6609,"uris":["http://zotero.org/users/11313215/items/SQNBBMBA"],"itemData":{"id":6609,"type":"article-journal","abstract":"In all vertebrate species studied thus far, the adult central nervous system harbors neural stem cells that sustain constitutive neurogenesis, as well as latent neural progenitors that can be awakened in lesional contexts. In spite of this common theme, many species differ dramatically in their ability to recruit constitutive progenitors, to awaken latent progenitors, or to enhance or bias neural progenitor fate to achieve successful neuronal repair. This Review summarizes the striking similarities in the essential molecular and cellular properties of adult neural stem cells between different vertebrate species, both under physiological and reparative conditions. It also emphasizes the differences in the reparative process across evolution and how the study of non-mammalian models can provide insights into both basic neural stem cell properties and stimulatory cues shared between vertebrates, and subsequent neurogenic events, which are abortive under reparative conditions in mammals.","container-title":"Development","DOI":"10.1242/dev.122796","ISSN":"0950-1991","issue":"5","journalAbbreviation":"Development","page":"741-753","source":"Silverchair","title":"A comparative view of regenerative neurogenesis in vertebrates","volume":"143","author":[{"family":"Alunni","given":"Alessandro"},{"family":"Bally-Cuif","given":"Laure"}],"issued":{"date-parts":[["2016",3,1]]}}}],"schema":"https://github.com/citation-style-language/schema/raw/master/csl-citation.json"} </w:instrText>
      </w:r>
      <w:r w:rsidR="000B4F36" w:rsidRPr="007A682B">
        <w:rPr>
          <w:rFonts w:ascii="Arial" w:hAnsi="Arial" w:cs="Arial"/>
          <w:sz w:val="20"/>
          <w:szCs w:val="20"/>
        </w:rPr>
        <w:fldChar w:fldCharType="separate"/>
      </w:r>
      <w:r w:rsidR="0072390C" w:rsidRPr="007A682B">
        <w:rPr>
          <w:rFonts w:ascii="Arial" w:hAnsi="Arial" w:cs="Arial"/>
          <w:kern w:val="0"/>
          <w:sz w:val="20"/>
          <w:szCs w:val="20"/>
        </w:rPr>
        <w:t>(1–3)</w:t>
      </w:r>
      <w:r w:rsidR="000B4F36" w:rsidRPr="007A682B">
        <w:rPr>
          <w:rFonts w:ascii="Arial" w:hAnsi="Arial" w:cs="Arial"/>
          <w:sz w:val="20"/>
          <w:szCs w:val="20"/>
        </w:rPr>
        <w:fldChar w:fldCharType="end"/>
      </w:r>
      <w:r w:rsidR="00CC4CF3" w:rsidRPr="007A682B">
        <w:rPr>
          <w:rFonts w:ascii="Arial" w:hAnsi="Arial" w:cs="Arial"/>
          <w:sz w:val="20"/>
          <w:szCs w:val="20"/>
        </w:rPr>
        <w:t xml:space="preserve">. Yet few naturally occurring forms of adult plasticity require the brain to coordinate a transformation across so many levels of biological organization </w:t>
      </w:r>
      <w:r w:rsidR="001770F5"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{"citationID":"FJ79bzys","properties":{"unsorted":false,"formattedCitation":"(4)","plainCitation":"(4)","noteIndex":0},"citationItems":[{"id":6607,"uris":["http://zotero.org/users/11313215/items/XI4NN9JR"],"itemData":{"id":6607,"type":"article","abstract":"Animals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Antonietta"}],"accessed":{"date-parts":[["2026",9,9]]},"issued":{"date-parts":[["2026",7,25]]}}}],"schema":"https://github.com/citation-style-language/schema/raw/master/csl-citation.json"} </w:instrText>
      </w:r>
      <w:r w:rsidR="001770F5" w:rsidRPr="007A682B">
        <w:rPr>
          <w:rFonts w:ascii="Arial" w:hAnsi="Arial" w:cs="Arial"/>
          <w:sz w:val="20"/>
          <w:szCs w:val="20"/>
        </w:rPr>
        <w:fldChar w:fldCharType="separate"/>
      </w:r>
      <w:r w:rsidR="0072390C" w:rsidRPr="007A682B">
        <w:rPr>
          <w:rFonts w:ascii="Arial" w:hAnsi="Arial" w:cs="Arial"/>
          <w:noProof/>
          <w:sz w:val="20"/>
          <w:szCs w:val="20"/>
        </w:rPr>
        <w:t>(4)</w:t>
      </w:r>
      <w:r w:rsidR="001770F5" w:rsidRPr="007A682B">
        <w:rPr>
          <w:rFonts w:ascii="Arial" w:hAnsi="Arial" w:cs="Arial"/>
          <w:sz w:val="20"/>
          <w:szCs w:val="20"/>
        </w:rPr>
        <w:fldChar w:fldCharType="end"/>
      </w:r>
      <w:r w:rsidR="00CC4CF3" w:rsidRPr="007A682B">
        <w:rPr>
          <w:rFonts w:ascii="Arial" w:hAnsi="Arial" w:cs="Arial"/>
          <w:sz w:val="20"/>
          <w:szCs w:val="20"/>
        </w:rPr>
        <w:t>. Sex change represents an extraordinary example: social cues initiate a transition from one fully functional adult sexual phenotype to another, requiring coordinated changes in behavior, neuroendocrine state, gonadal function, physiology, and morphology. How the adult brain initiates and orchestrates such organism-wide transformation remains a</w:t>
      </w:r>
      <w:r w:rsidR="0016224F" w:rsidRPr="007A682B">
        <w:rPr>
          <w:rFonts w:ascii="Arial" w:hAnsi="Arial" w:cs="Arial"/>
          <w:sz w:val="20"/>
          <w:szCs w:val="20"/>
        </w:rPr>
        <w:t xml:space="preserve">n open question </w:t>
      </w:r>
      <w:r w:rsidR="00CC4CF3" w:rsidRPr="007A682B">
        <w:rPr>
          <w:rFonts w:ascii="Arial" w:hAnsi="Arial" w:cs="Arial"/>
          <w:sz w:val="20"/>
          <w:szCs w:val="20"/>
        </w:rPr>
        <w:t>in biology</w:t>
      </w:r>
      <w:r w:rsidR="006B2C09" w:rsidRPr="007A682B">
        <w:rPr>
          <w:rFonts w:ascii="Arial" w:hAnsi="Arial" w:cs="Arial"/>
          <w:sz w:val="20"/>
          <w:szCs w:val="20"/>
        </w:rPr>
        <w:t xml:space="preserve"> </w:t>
      </w:r>
      <w:r w:rsidR="001770F5"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UbtRywHq","properties":{"unsorted":false,"formattedCitation":"(4\\uc0\\u8211{}7)","plainCitation":"(4–7)","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1770F5" w:rsidRPr="007A682B">
        <w:rPr>
          <w:rFonts w:ascii="Arial" w:hAnsi="Arial" w:cs="Arial"/>
          <w:sz w:val="20"/>
          <w:szCs w:val="20"/>
        </w:rPr>
        <w:fldChar w:fldCharType="separate"/>
      </w:r>
      <w:r w:rsidR="0072390C" w:rsidRPr="007A682B">
        <w:rPr>
          <w:rFonts w:ascii="Arial" w:hAnsi="Arial" w:cs="Arial"/>
          <w:kern w:val="0"/>
          <w:sz w:val="20"/>
          <w:szCs w:val="20"/>
        </w:rPr>
        <w:t>(4–7)</w:t>
      </w:r>
      <w:r w:rsidR="001770F5" w:rsidRPr="007A682B">
        <w:rPr>
          <w:rFonts w:ascii="Arial" w:hAnsi="Arial" w:cs="Arial"/>
          <w:sz w:val="20"/>
          <w:szCs w:val="20"/>
        </w:rPr>
        <w:fldChar w:fldCharType="end"/>
      </w:r>
      <w:r w:rsidR="00CC4CF3" w:rsidRPr="007A682B">
        <w:rPr>
          <w:rFonts w:ascii="Arial" w:hAnsi="Arial" w:cs="Arial"/>
          <w:sz w:val="20"/>
          <w:szCs w:val="20"/>
        </w:rPr>
        <w:t>.</w:t>
      </w:r>
    </w:p>
    <w:p w14:paraId="29FD2E0A" w14:textId="5092E43C" w:rsidR="00E1149A" w:rsidRPr="007A682B" w:rsidRDefault="00E1149A" w:rsidP="003E4206">
      <w:pPr>
        <w:ind w:firstLine="720"/>
        <w:rPr>
          <w:rFonts w:ascii="Arial" w:hAnsi="Arial" w:cs="Arial"/>
          <w:sz w:val="20"/>
          <w:szCs w:val="20"/>
        </w:rPr>
      </w:pPr>
      <w:r w:rsidRPr="007A682B">
        <w:rPr>
          <w:rFonts w:ascii="Arial" w:hAnsi="Arial" w:cs="Arial"/>
          <w:sz w:val="20"/>
          <w:szCs w:val="20"/>
        </w:rPr>
        <w:t>Most mechanistic studies of sex change have focused on protogynous species in which females transform into males following changes in social status</w:t>
      </w:r>
      <w:r w:rsidR="00304DDF">
        <w:rPr>
          <w:rFonts w:ascii="Arial" w:hAnsi="Arial" w:cs="Arial"/>
          <w:sz w:val="20"/>
          <w:szCs w:val="20"/>
        </w:rPr>
        <w:fldChar w:fldCharType="begin"/>
      </w:r>
      <w:r w:rsidR="00304DDF">
        <w:rPr>
          <w:rFonts w:ascii="Arial" w:hAnsi="Arial" w:cs="Arial"/>
          <w:sz w:val="20"/>
          <w:szCs w:val="20"/>
        </w:rPr>
        <w:instrText xml:space="preserve"> ADDIN ZOTERO_ITEM CSL_CITATION {"citationID":"4YaQ0xXN","properties":{"unsorted":false,"formattedCitation":"(8\\uc0\\u8211{}10)","plainCitation":"(8–10)","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fishes","volume":"31","author":[{"family":"Godwin","given":"John"}],"issued":{"date-parts":[["2010",4]]}}},{"id":70,"uris":["http://zotero.org/users/11313215/items/UI88N9VU"],"itemData":{"id":70,"type":"article-journal","abstract":"Bluehead wrasses undergo dramatic, socially cued female-to-male sex change. We apply transcriptomic and methylome approaches in this wild coral reef fish to identify the primary trigger and subsequent molecular cascade of gonadal metamorphosis. Our data suggest that the environmental stimulus is exerted via the stress axis and that repression of the aromatase gene (encoding the enzyme converting androgens to estrogens) triggers a cascaded collapse of feminizing gene expression and identifies notable sex-specific gene neofunctionalization. Furthermore, sex change involves distinct epigenetic reprogramming and an intermediate state with altered epigenetic machinery expression akin to the early developmental cells of mammals. These findings reveal at a molecular level how a normally committed developmental process remains plastic and is reversed to completely alter organ structures.","container-title":"Science Advances","DOI":"10.1126/sciadv.aaw7006","issue":"7","page":"eaaw7006","publisher":"American Association for the Advancement of Science","source":"science.org (Atypon)","title":"Stress, novel sex genes, and epigenetic reprogramming orchestrate socially controlled sex change","volume":"5","author":[{"family":"Todd","given":"Erica V."},{"family":"Ortega-Recalde","given":"Oscar"},{"family":"Liu","given":"Hui"},{"family":"Lamm","given":"Melissa S."},{"family":"Rutherford","given":"Kim M."},{"family":"Cross","given":"Hugh"},{"family":"Black","given":"Michael A."},{"family":"Kardailsky","given":"Olga"},{"family":"Marshall Graves","given":"Jennifer A."},{"family":"Hore","given":"Timothy A."},{"family":"Godwin","given":"John R."},{"family":"Gemmell","given":"Neil J."}],"issued":{"date-parts":[["2019",7,10]]}}},{"id":6733,"uris":["http://zotero.org/users/11313215/items/H9W8CFPX"],"itemData":{"id":6733,"type":"article-journal","abstract":"Socially-controlled functional sex change in fishes is a dramatic example of adaptive reproductive plasticity. Functional gonadal sex change can occur within a week while behavioral sex change can begin within minutes. Significant progress has been made in understanding the neuroendocrine bases of this phenomenon at both the gonadal and the neurobiological levels, but a detailed mechanistic understanding remains elusive. We are working with sex-changing wrasses to identify evolutionarily-conserved neuroendocrine pathways underlying this reproductive adaptation. One key model is the bluehead wrasse (Thalassoma bifasciatum), in which sex change is well studied at the behavioral, ecological, and neuroendocrine levels. Bluehead wrasses show rapid increases in aggressive and courtship behaviors with sex change that do not depend on the presence of gonads. The display of male-typical behavior is correlated with the expression of arginine vasotocin, and experiments support a role for this neuropeptide. Estrogen synthesis is also critical in the process. Female bluehead wrasses have higher abundance of aromatase mRNA in the brain and gonads, and estrogen implants block behavioral sex change. While established methods have advanced our understanding of sex change, a full understanding will require new approaches and perspectives. First, contributions of other neuroendocrine systems should be better characterized, particularly glucocorticoid and thyroid signaling. Second, advances in genomics for non-traditional model species should allow conserved mechanisms to be identified with a key next-step being manipulative tests of these mechanisms. Finally, advances in genomics now also allow study of the role of epigenetic modifications and other regulatory mechanisms in the dramatic alterations across the sex-change process.","container-title":"Integrative and Comparative Biology","DOI":"10.1093/icb/icv041","ISSN":"1540-7063","issue":"2","journalAbbreviation":"Integr Comp Biol","page":"307-322","source":"Silverchair","title":"The Need for Speed: Neuroendocrine Regulation of Socially-controlled Sex Change","title-short":"The Need for Speed","volume":"55","author":[{"family":"Lamm","given":"Melissa S."},{"family":"Liu","given":"Hui"},{"family":"Gemmell","given":"Neil J."},{"family":"Godwin","given":"John R."}],"issued":{"date-parts":[["2015",8,1]]}}}],"schema":"https://github.com/citation-style-language/schema/raw/master/csl-citation.json"} </w:instrText>
      </w:r>
      <w:r w:rsidR="00304DDF">
        <w:rPr>
          <w:rFonts w:ascii="Arial" w:hAnsi="Arial" w:cs="Arial"/>
          <w:sz w:val="20"/>
          <w:szCs w:val="20"/>
        </w:rPr>
        <w:fldChar w:fldCharType="separate"/>
      </w:r>
      <w:r w:rsidR="00304DDF" w:rsidRPr="00304DDF">
        <w:rPr>
          <w:rFonts w:ascii="Arial" w:hAnsi="Arial" w:cs="Arial"/>
          <w:color w:val="000000"/>
          <w:kern w:val="0"/>
          <w:sz w:val="20"/>
          <w:szCs w:val="24"/>
        </w:rPr>
        <w:t>(8–10)</w:t>
      </w:r>
      <w:r w:rsidR="00304DDF">
        <w:rPr>
          <w:rFonts w:ascii="Arial" w:hAnsi="Arial" w:cs="Arial"/>
          <w:sz w:val="20"/>
          <w:szCs w:val="20"/>
        </w:rPr>
        <w:fldChar w:fldCharType="end"/>
      </w:r>
      <w:r w:rsidRPr="007A682B">
        <w:rPr>
          <w:rFonts w:ascii="Arial" w:hAnsi="Arial" w:cs="Arial"/>
          <w:sz w:val="20"/>
          <w:szCs w:val="20"/>
        </w:rPr>
        <w:t>. In these species, behavioral masculinization often occurs rapidly, within hours or days of social ascent, and is followed by progressive gonadal transformation and increased androgen production</w:t>
      </w:r>
      <w:r w:rsidR="00304DDF">
        <w:rPr>
          <w:rFonts w:ascii="Arial" w:hAnsi="Arial" w:cs="Arial"/>
          <w:sz w:val="20"/>
          <w:szCs w:val="20"/>
        </w:rPr>
        <w:fldChar w:fldCharType="begin"/>
      </w:r>
      <w:r w:rsidR="00304DDF">
        <w:rPr>
          <w:rFonts w:ascii="Arial" w:hAnsi="Arial" w:cs="Arial"/>
          <w:sz w:val="20"/>
          <w:szCs w:val="20"/>
        </w:rPr>
        <w:instrText xml:space="preserve"> ADDIN ZOTERO_ITEM CSL_CITATION {"citationID":"B6pS6HyV","properties":{"unsorted":false,"formattedCitation":"(9, 10)","plainCitation":"(9, 10)","noteIndex":0},"citationItems":[{"id":70,"uris":["http://zotero.org/users/11313215/items/UI88N9VU"],"itemData":{"id":70,"type":"article-journal","abstract":"Bluehead wrasses undergo dramatic, socially cued female-to-male sex change. We apply transcriptomic and methylome approaches in this wild coral reef fish to identify the primary trigger and subsequent molecular cascade of gonadal metamorphosis. Our data suggest that the environmental stimulus is exerted via the stress axis and that repression of the aromatase gene (encoding the enzyme converting androgens to estrogens) triggers a cascaded collapse of feminizing gene expression and identifies notable sex-specific gene neofunctionalization. Furthermore, sex change involves distinct epigenetic reprogramming and an intermediate state with altered epigenetic machinery expression akin to the early developmental cells of mammals. These findings reveal at a molecular level how a normally committed developmental process remains plastic and is reversed to completely alter organ structures.","container-title":"Science Advances","DOI":"10.1126/sciadv.aaw7006","issue":"7","page":"eaaw7006","publisher":"American Association for the Advancement of Science","source":"science.org (Atypon)","title":"Stress, novel sex genes, and epigenetic reprogramming orchestrate socially controlled sex change","volume":"5","author":[{"family":"Todd","given":"Erica V."},{"family":"Ortega-Recalde","given":"Oscar"},{"family":"Liu","given":"Hui"},{"family":"Lamm","given":"Melissa S."},{"family":"Rutherford","given":"Kim M."},{"family":"Cross","given":"Hugh"},{"family":"Black","given":"Michael A."},{"family":"Kardailsky","given":"Olga"},{"family":"Marshall Graves","given":"Jennifer A."},{"family":"Hore","given":"Timothy A."},{"family":"Godwin","given":"John R."},{"family":"Gemmell","given":"Neil J."}],"issued":{"date-parts":[["2019",7,10]]}}},{"id":6733,"uris":["http://zotero.org/users/11313215/items/H9W8CFPX"],"itemData":{"id":6733,"type":"article-journal","abstract":"Socially-controlled functional sex change in fishes is a dramatic example of adaptive reproductive plasticity. Functional gonadal sex change can occur within a week while behavioral sex change can begin within minutes. Significant progress has been made in understanding the neuroendocrine bases of this phenomenon at both the gonadal and the neurobiological levels, but a detailed mechanistic understanding remains elusive. We are working with sex-changing wrasses to identify evolutionarily-conserved neuroendocrine pathways underlying this reproductive adaptation. One key model is the bluehead wrasse (Thalassoma bifasciatum), in which sex change is well studied at the behavioral, ecological, and neuroendocrine levels. Bluehead wrasses show rapid increases in aggressive and courtship behaviors with sex change that do not depend on the presence of gonads. The display of male-typical behavior is correlated with the expression of arginine vasotocin, and experiments support a role for this neuropeptide. Estrogen synthesis is also critical in the process. Female bluehead wrasses have higher abundance of aromatase mRNA in the brain and gonads, and estrogen implants block behavioral sex change. While established methods have advanced our understanding of sex change, a full understanding will require new approaches and perspectives. First, contributions of other neuroendocrine systems should be better characterized, particularly glucocorticoid and thyroid signaling. Second, advances in genomics for non-traditional model species should allow conserved mechanisms to be identified with a key next-step being manipulative tests of these mechanisms. Finally, advances in genomics now also allow study of the role of epigenetic modifications and other regulatory mechanisms in the dramatic alterations across the sex-change process.","container-title":"Integrative and Comparative Biology","DOI":"10.1093/icb/icv041","ISSN":"1540-7063","issue":"2","journalAbbreviation":"Integr Comp Biol","page":"307-322","source":"Silverchair","title":"The Need for Speed: Neuroendocrine Regulation of Socially-controlled Sex Change","title-short":"The Need for Speed","volume":"55","author":[{"family":"Lamm","given":"Melissa S."},{"family":"Liu","given":"Hui"},{"family":"Gemmell","given":"Neil J."},{"family":"Godwin","given":"John R."}],"issued":{"date-parts":[["2015",8,1]]}}}],"schema":"https://github.com/citation-style-language/schema/raw/master/csl-citation.json"} </w:instrText>
      </w:r>
      <w:r w:rsidR="00304DDF">
        <w:rPr>
          <w:rFonts w:ascii="Arial" w:hAnsi="Arial" w:cs="Arial"/>
          <w:sz w:val="20"/>
          <w:szCs w:val="20"/>
        </w:rPr>
        <w:fldChar w:fldCharType="separate"/>
      </w:r>
      <w:r w:rsidR="00304DDF">
        <w:rPr>
          <w:rFonts w:ascii="Arial" w:hAnsi="Arial" w:cs="Arial"/>
          <w:noProof/>
          <w:sz w:val="20"/>
          <w:szCs w:val="20"/>
        </w:rPr>
        <w:t>(9, 10)</w:t>
      </w:r>
      <w:r w:rsidR="00304DDF">
        <w:rPr>
          <w:rFonts w:ascii="Arial" w:hAnsi="Arial" w:cs="Arial"/>
          <w:sz w:val="20"/>
          <w:szCs w:val="20"/>
        </w:rPr>
        <w:fldChar w:fldCharType="end"/>
      </w:r>
      <w:r w:rsidRPr="007A682B">
        <w:rPr>
          <w:rFonts w:ascii="Arial" w:hAnsi="Arial" w:cs="Arial"/>
          <w:sz w:val="20"/>
          <w:szCs w:val="20"/>
        </w:rPr>
        <w:t>. Current models emphasize changes in neuroendocrine signaling, including alterations in aromatase activity and hypothalamic regulation of pituitary gonadotropins, which ultimately drive ovarian degeneration and testicular development</w:t>
      </w:r>
      <w:r w:rsidR="00304DDF">
        <w:rPr>
          <w:rFonts w:ascii="Arial" w:hAnsi="Arial" w:cs="Arial"/>
          <w:sz w:val="20"/>
          <w:szCs w:val="20"/>
        </w:rPr>
        <w:t xml:space="preserve"> </w:t>
      </w:r>
      <w:r w:rsidR="00304DDF">
        <w:rPr>
          <w:rFonts w:ascii="Arial" w:hAnsi="Arial" w:cs="Arial"/>
          <w:sz w:val="20"/>
          <w:szCs w:val="20"/>
        </w:rPr>
        <w:fldChar w:fldCharType="begin"/>
      </w:r>
      <w:r w:rsidR="00304DDF">
        <w:rPr>
          <w:rFonts w:ascii="Arial" w:hAnsi="Arial" w:cs="Arial"/>
          <w:sz w:val="20"/>
          <w:szCs w:val="20"/>
        </w:rPr>
        <w:instrText xml:space="preserve"> ADDIN ZOTERO_ITEM CSL_CITATION {"citationID":"0LSXgAye","properties":{"unsorted":false,"formattedCitation":"(8, 9, 11)","plainCitation":"(8, 9, 11)","noteIndex":0},"citationItems":[{"id":12,"uris":["http://zotero.org/users/11313215/items/XSLSMKMD"],"itemData":{"id":12,"type":"article-journal","abstract":"The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fishes","volume":"31","author":[{"family":"Godwin","given":"John"}],"issued":{"date-parts":[["2010",4]]}}},{"id":70,"uris":["http://zotero.org/users/11313215/items/UI88N9VU"],"itemData":{"id":70,"type":"article-journal","abstract":"Bluehead wrasses undergo dramatic, socially cued female-to-male sex change. We apply transcriptomic and methylome approaches in this wild coral reef fish to identify the primary trigger and subsequent molecular cascade of gonadal metamorphosis. Our data suggest that the environmental stimulus is exerted via the stress axis and that repression of the aromatase gene (encoding the enzyme converting androgens to estrogens) triggers a cascaded collapse of feminizing gene expression and identifies notable sex-specific gene neofunctionalization. Furthermore, sex change involves distinct epigenetic reprogramming and an intermediate state with altered epigenetic machinery expression akin to the early developmental cells of mammals. These findings reveal at a molecular level how a normally committed developmental process remains plastic and is reversed to completely alter organ structures.","container-title":"Science Advances","DOI":"10.1126/sciadv.aaw7006","issue":"7","page":"eaaw7006","publisher":"American Association for the Advancement of Science","source":"science.org (Atypon)","title":"Stress, novel sex genes, and epigenetic reprogramming orchestrate socially controlled sex change","volume":"5","author":[{"family":"Todd","given":"Erica V."},{"family":"Ortega-Recalde","given":"Oscar"},{"family":"Liu","given":"Hui"},{"family":"Lamm","given":"Melissa S."},{"family":"Rutherford","given":"Kim M."},{"family":"Cross","given":"Hugh"},{"family":"Black","given":"Michael A."},{"family":"Kardailsky","given":"Olga"},{"family":"Marshall Graves","given":"Jennifer A."},{"family":"Hore","given":"Timothy A."},{"family":"Godwin","given":"John R."},{"family":"Gemmell","given":"Neil J."}],"issued":{"date-parts":[["2019",7,10]]}}},{"id":6736,"uris":["http://zotero.org/users/11313215/items/Z82FFLKD"],"itemData":{"id":6736,"type":"article-journal","abstract":"Estrogenic signaling is an important focus in studies of gonadal and brain sexual differentiation in fishes and vertebrates generally. This study examined variation in estrogenic signaling (1) across three sexual phenotypes (female, female-mimic initial phase [IP] male, and terminal phase [TP] male), (2) during socially-controlled female-to-male sex change, and (3) during tidally-driven spawning cycles in the protogynous bluehead wrasse (Thalassoma bifasciatum). We analyzed relative abundances of messenger RNAs (mRNAs) for the brain form of aromatase (cyp19a1b) and the three nuclear estrogen receptors (ER) (ERα, ERβa, and ERβb) by qPCR. Consistent with previous reports, forebrain/midbrain cyp19a1b was highest in females, significantly lower in TP males, and lowest in IP males. By contrast, ERα and ERβb mRNA abundances were highest in TP males and increased during sex change. ERβa mRNA did not vary significantly. Across the tidally-driven spawning cycle, cyp19a1b abundances were higher in females than TP males. Interestingly, cyp19a1b levels were higher in TP males close ( 1 h) to the daily spawning period when sexual and aggressive behaviors rise than males far from spawning ( 10–12 h). Together with earlier findings, our results suggest alterations in neural estrogen signaling are key regulators of socially-controlled sex change and sexual phenotype differences. Additionally, these patterns suggest TP male-typical sociosexual behaviors may depend on intermediate rather than low estrogenic signaling. We discuss these results and the possibility that an inverted-U shaped relationship between neural estrogen and male-typical behaviors is more common than presently appreciated.","container-title":"Journal of Experimental Zoology Part A: Ecological and Integrative Physiology","DOI":"10.1002/jez.2558","ISSN":"2471-5646","issue":"1","language":"en","license":"© 2021 Wiley Periodicals LLC","page":"24-34","source":"Wiley Online Library","title":"Estrogenic signaling and sociosexual behavior in wild sex-changing bluehead wrasses, Thalassoma bifasciatum","volume":"337","author":[{"family":"Prim","given":"Julianna H."},{"family":"Phillips","given":"Marshall C."},{"family":"Lamm","given":"Melissa S."},{"family":"Brady","given":"Jeannie"},{"family":"Cabral","given":"Itze"},{"family":"Durden","given":"Shelby"},{"family":"Dustin","given":"Elizabeth"},{"family":"Hazellief","given":"Allison"},{"family":"Klapheke","given":"Brandon"},{"family":"Lamb","given":"April D."},{"family":"Lukowsky","given":"Alison"},{"family":"May","given":"Dianna"},{"family":"Sanchez","given":"Sidney G."},{"family":"Thompson","given":"Kelly C."},{"family":"Tyler","given":"William A."},{"family":"Godwin","given":"John"}],"issued":{"date-parts":[["2022"]]}}}],"schema":"https://github.com/citation-style-language/schema/raw/master/csl-citation.json"} </w:instrText>
      </w:r>
      <w:r w:rsidR="00304DDF">
        <w:rPr>
          <w:rFonts w:ascii="Arial" w:hAnsi="Arial" w:cs="Arial"/>
          <w:sz w:val="20"/>
          <w:szCs w:val="20"/>
        </w:rPr>
        <w:fldChar w:fldCharType="separate"/>
      </w:r>
      <w:r w:rsidR="00304DDF">
        <w:rPr>
          <w:rFonts w:ascii="Arial" w:hAnsi="Arial" w:cs="Arial"/>
          <w:noProof/>
          <w:sz w:val="20"/>
          <w:szCs w:val="20"/>
        </w:rPr>
        <w:t>(8, 9, 11)</w:t>
      </w:r>
      <w:r w:rsidR="00304DDF">
        <w:rPr>
          <w:rFonts w:ascii="Arial" w:hAnsi="Arial" w:cs="Arial"/>
          <w:sz w:val="20"/>
          <w:szCs w:val="20"/>
        </w:rPr>
        <w:fldChar w:fldCharType="end"/>
      </w:r>
      <w:r w:rsidRPr="007A682B">
        <w:rPr>
          <w:rFonts w:ascii="Arial" w:hAnsi="Arial" w:cs="Arial"/>
          <w:sz w:val="20"/>
          <w:szCs w:val="20"/>
        </w:rPr>
        <w:t xml:space="preserve">. Once the gonads </w:t>
      </w:r>
      <w:r w:rsidR="00CF7C9D" w:rsidRPr="007A682B">
        <w:rPr>
          <w:rFonts w:ascii="Arial" w:hAnsi="Arial" w:cs="Arial"/>
          <w:sz w:val="20"/>
          <w:szCs w:val="20"/>
        </w:rPr>
        <w:t>change</w:t>
      </w:r>
      <w:r w:rsidRPr="007A682B">
        <w:rPr>
          <w:rFonts w:ascii="Arial" w:hAnsi="Arial" w:cs="Arial"/>
          <w:sz w:val="20"/>
          <w:szCs w:val="20"/>
        </w:rPr>
        <w:t>, gonadal steroid hormones further reinforce male physiology, morphology, and behavior</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{"citationID":"4RMgEEgJ","properties":{"unsorted":false,"formattedCitation":"(8)","plainCitation":"(8)","noteIndex":0},"citationItems":[{"id":12,"uris":["http://zotero.org/users/11313215/items/XSLSMKMD"],"itemData":{"id":12,"type":"article-journal","abstract":"The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(8)</w:t>
      </w:r>
      <w:r w:rsidR="00933230" w:rsidRPr="007A682B">
        <w:rPr>
          <w:rFonts w:ascii="Arial" w:hAnsi="Arial" w:cs="Arial"/>
          <w:sz w:val="20"/>
          <w:szCs w:val="20"/>
        </w:rPr>
        <w:fldChar w:fldCharType="end"/>
      </w:r>
      <w:r w:rsidRPr="007A682B">
        <w:rPr>
          <w:rFonts w:ascii="Arial" w:hAnsi="Arial" w:cs="Arial"/>
          <w:sz w:val="20"/>
          <w:szCs w:val="20"/>
        </w:rPr>
        <w:t>.</w:t>
      </w:r>
    </w:p>
    <w:p w14:paraId="41005808" w14:textId="6244AD02" w:rsidR="00E1149A" w:rsidRPr="007A682B" w:rsidRDefault="00E1149A" w:rsidP="003E4206">
      <w:pPr>
        <w:ind w:firstLine="720"/>
        <w:rPr>
          <w:rFonts w:ascii="Arial" w:hAnsi="Arial" w:cs="Arial"/>
          <w:sz w:val="20"/>
          <w:szCs w:val="20"/>
        </w:rPr>
      </w:pPr>
      <w:r w:rsidRPr="007A682B">
        <w:rPr>
          <w:rFonts w:ascii="Arial" w:hAnsi="Arial" w:cs="Arial"/>
          <w:sz w:val="20"/>
          <w:szCs w:val="20"/>
        </w:rPr>
        <w:t>Protandrous sex change in anemonefish (</w:t>
      </w:r>
      <w:r w:rsidRPr="007A682B">
        <w:rPr>
          <w:rFonts w:ascii="Arial" w:hAnsi="Arial" w:cs="Arial"/>
          <w:i/>
          <w:iCs/>
          <w:sz w:val="20"/>
          <w:szCs w:val="20"/>
        </w:rPr>
        <w:t>Amphiprion</w:t>
      </w:r>
      <w:r w:rsidRPr="007A682B">
        <w:rPr>
          <w:rFonts w:ascii="Arial" w:hAnsi="Arial" w:cs="Arial"/>
          <w:sz w:val="20"/>
          <w:szCs w:val="20"/>
        </w:rPr>
        <w:t xml:space="preserve"> spp.) appears to follow a fundamentally different trajectory</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{"citationID":"OQ4FquD8","properties":{"unsorted":false,"formattedCitation":"(12, 13)","plainCitation":"(12, 13)","noteIndex":0},"citationItems":[{"id":4563,"uris":["http://zotero.org/users/11313215/items/8RMJ4EHJ"],"itemData":{"id":4563,"type":"article-journal","abstract":"Sex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S."}],"issued":{"date-parts":[["2025",10,1]]}}},{"id":6739,"uris":["http://zotero.org/users/11313215/items/3KDQEA69"],"itemData":{"id":6739,"type":"article-journal","abstract":"Sex differences in the anatomy and physiology of the vertebrate preoptic area (POA) arise during development, and influence sex-specific reproductive functions later in life. Relative to masculinization, mechanisms for feminization of the POA are not well understood. The purpose of this study was to induce sex change from male to female in the anemonefish Amphiprion ocellaris, and track the timing of changes in POA cytoarchitecture, composition of the gonads and circulating sex steroid levels. Reproductive males were paired together and then sampled after 3 weeks, 6 months, 1 year and 3 years. Results show that as males change sex into females, number of medium cells in the anterior POA (parvocellular region) approximately double to female levels over the course of several months to 1 year. Feminization of gonads, and plasma sex steroids occur independently, on a variable timescale, up to years after POA sex change has completed. Findings suggest the process of POA feminization is orchestrated by factors originating from within the brain as opposed to being cued from the gonads, consistent with the dominant hypothesis in mammals. Anemonefish provide an opportunity to explore active mechanisms responsible for female brain development in an individual with male gonads and circulating sex steroid levels.","container-title":"Hormones and Behavior","DOI":"10.1016/j.yhbeh.2019.04.002","ISSN":"0018-506X","journalAbbreviation":"Hormones and Behavior","page":"65-76","source":"ScienceDirect","title":"Active feminization of the preoptic area occurs independently of the gonads in &lt;i&gt;Amphiprion ocellaris&lt;/i&gt;","volume":"112","author":[{"family":"Dodd","given":"Logan D."},{"family":"Nowak","given":"Ewelina"},{"family":"Lange","given":"Dominica"},{"family":"Parker","given":"Coltan G."},{"family":"DeAngelis","given":"Ross"},{"family":"Gonzalez","given":"Jose A."},{"family":"Rhodes","given":"Justin S."}],"issued":{"date-parts":[["2019",6,1]]}}}],"schema":"https://github.com/citation-style-language/schema/raw/master/csl-citation.json"} </w:instrText>
      </w:r>
      <w:r w:rsidR="00933230" w:rsidRPr="007A682B">
        <w:rPr>
          <w:rFonts w:ascii="Arial" w:hAnsi="Arial" w:cs="Arial"/>
          <w:sz w:val="20"/>
          <w:szCs w:val="20"/>
        </w:rPr>
        <w:fldChar w:fldCharType="separate"/>
      </w:r>
      <w:r w:rsidR="00304DDF">
        <w:rPr>
          <w:rFonts w:ascii="Arial" w:hAnsi="Arial" w:cs="Arial"/>
          <w:noProof/>
          <w:sz w:val="20"/>
          <w:szCs w:val="20"/>
        </w:rPr>
        <w:t>(12, 13)</w:t>
      </w:r>
      <w:r w:rsidR="00933230" w:rsidRPr="007A682B">
        <w:rPr>
          <w:rFonts w:ascii="Arial" w:hAnsi="Arial" w:cs="Arial"/>
          <w:sz w:val="20"/>
          <w:szCs w:val="20"/>
        </w:rPr>
        <w:fldChar w:fldCharType="end"/>
      </w:r>
      <w:r w:rsidRPr="007A682B">
        <w:rPr>
          <w:rFonts w:ascii="Arial" w:hAnsi="Arial" w:cs="Arial"/>
          <w:sz w:val="20"/>
          <w:szCs w:val="20"/>
        </w:rPr>
        <w:t xml:space="preserve">. Following social ascent, sex-changing individuals can remain in an intermediate state for months before ovarian development occurs. During this period, male reproductive behaviors, circulating steroid </w:t>
      </w:r>
      <w:r w:rsidR="003979F8" w:rsidRPr="007A682B">
        <w:rPr>
          <w:rFonts w:ascii="Arial" w:hAnsi="Arial" w:cs="Arial"/>
          <w:sz w:val="20"/>
          <w:szCs w:val="20"/>
        </w:rPr>
        <w:t>milieu</w:t>
      </w:r>
      <w:r w:rsidRPr="007A682B">
        <w:rPr>
          <w:rFonts w:ascii="Arial" w:hAnsi="Arial" w:cs="Arial"/>
          <w:sz w:val="20"/>
          <w:szCs w:val="20"/>
        </w:rPr>
        <w:t xml:space="preserve">, and portions of the male gonad are retained. Rather than undergoing progressive feminization, the gonads enter a prolonged state characterized by reduced testicular tissue and immature ovarian tissue. Because a similar gonadal phenotype is observed in the reproductive partner of the sex-changing fish, this state </w:t>
      </w:r>
      <w:r w:rsidR="00D770B1" w:rsidRPr="007A682B">
        <w:rPr>
          <w:rFonts w:ascii="Arial" w:hAnsi="Arial" w:cs="Arial"/>
          <w:sz w:val="20"/>
          <w:szCs w:val="20"/>
        </w:rPr>
        <w:t>likely</w:t>
      </w:r>
      <w:r w:rsidRPr="007A682B">
        <w:rPr>
          <w:rFonts w:ascii="Arial" w:hAnsi="Arial" w:cs="Arial"/>
          <w:sz w:val="20"/>
          <w:szCs w:val="20"/>
        </w:rPr>
        <w:t xml:space="preserve"> reflect</w:t>
      </w:r>
      <w:r w:rsidR="00D770B1" w:rsidRPr="007A682B">
        <w:rPr>
          <w:rFonts w:ascii="Arial" w:hAnsi="Arial" w:cs="Arial"/>
          <w:sz w:val="20"/>
          <w:szCs w:val="20"/>
        </w:rPr>
        <w:t>s</w:t>
      </w:r>
      <w:r w:rsidRPr="007A682B">
        <w:rPr>
          <w:rFonts w:ascii="Arial" w:hAnsi="Arial" w:cs="Arial"/>
          <w:sz w:val="20"/>
          <w:szCs w:val="20"/>
        </w:rPr>
        <w:t xml:space="preserve"> reproductive stasis associated with the cessation of spawning rather than gonadal sex change itself. Only later</w:t>
      </w:r>
      <w:r w:rsidR="003979F8" w:rsidRPr="007A682B">
        <w:rPr>
          <w:rFonts w:ascii="Arial" w:hAnsi="Arial" w:cs="Arial"/>
          <w:sz w:val="20"/>
          <w:szCs w:val="20"/>
        </w:rPr>
        <w:t xml:space="preserve"> </w:t>
      </w:r>
      <w:r w:rsidRPr="007A682B">
        <w:rPr>
          <w:rFonts w:ascii="Arial" w:hAnsi="Arial" w:cs="Arial"/>
          <w:sz w:val="20"/>
          <w:szCs w:val="20"/>
        </w:rPr>
        <w:t xml:space="preserve">does the remaining testicular tissue disappear </w:t>
      </w:r>
      <w:r w:rsidR="00E53DE5" w:rsidRPr="007A682B">
        <w:rPr>
          <w:rFonts w:ascii="Arial" w:hAnsi="Arial" w:cs="Arial"/>
          <w:sz w:val="20"/>
          <w:szCs w:val="20"/>
        </w:rPr>
        <w:t xml:space="preserve">and </w:t>
      </w:r>
      <w:r w:rsidR="003979F8" w:rsidRPr="007A682B">
        <w:rPr>
          <w:rFonts w:ascii="Arial" w:hAnsi="Arial" w:cs="Arial"/>
          <w:sz w:val="20"/>
          <w:szCs w:val="20"/>
        </w:rPr>
        <w:t>vitellogenesis occurs</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{"citationID":"nLyAK0DB","properties":{"unsorted":false,"formattedCitation":"(7, 13)","plainCitation":"(7, 13)","noteIndex":0},"citationItems":[{"id":43,"uris":["http://zotero.org/users/11313215/items/TBICN8KA"],"itemData":{"id":43,"type":"article-journal","abstract":"Many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S."}],"issued":{"date-parts":[["2022",9]]}}},{"id":6739,"uris":["http://zotero.org/users/11313215/items/3KDQEA69"],"itemData":{"id":6739,"type":"article-journal","abstract":"Sex differences in the anatomy and physiology of the vertebrate preoptic area (POA) arise during development, and influence sex-specific reproductive functions later in life. Relative to masculinization, mechanisms for feminization of the POA are not well understood. The purpose of this study was to induce sex change from male to female in the anemonefish Amphiprion ocellaris, and track the timing of changes in POA cytoarchitecture, composition of the gonads and circulating sex steroid levels. Reproductive males were paired together and then sampled after 3 weeks, 6 months, 1 year and 3 years. Results show that as males change sex into females, number of medium cells in the anterior POA (parvocellular region) approximately double to female levels over the course of several months to 1 year. Feminization of gonads, and plasma sex steroids occur independently, on a variable timescale, up to years after POA sex change has completed. Findings suggest the process of POA feminization is orchestrated by factors originating from within the brain as opposed to being cued from the gonads, consistent with the dominant hypothesis in mammals. Anemonefish provide an opportunity to explore active mechanisms responsible for female brain development in an individual with male gonads and circulating sex steroid levels.","container-title":"Hormones and Behavior","DOI":"10.1016/j.yhbeh.2019.04.002","ISSN":"0018-506X","journalAbbreviation":"Hormones and Behavior","page":"65-76","source":"ScienceDirect","title":"Active feminization of the preoptic area occurs independently of the gonads in &lt;i&gt;Amphiprion ocellaris&lt;/i&gt;","volume":"112","author":[{"family":"Dodd","given":"Logan D."},{"family":"Nowak","given":"Ewelina"},{"family":"Lange","given":"Dominica"},{"family":"Parker","given":"Coltan G."},{"family":"DeAngelis","given":"Ross"},{"family":"Gonzalez","given":"Jose A."},{"family":"Rhodes","given":"Justin S."}],"issued":{"date-parts":[["2019",6,1]]}}}],"schema":"https://github.com/citation-style-language/schema/raw/master/csl-citation.json"} </w:instrText>
      </w:r>
      <w:r w:rsidR="00933230" w:rsidRPr="007A682B">
        <w:rPr>
          <w:rFonts w:ascii="Arial" w:hAnsi="Arial" w:cs="Arial"/>
          <w:sz w:val="20"/>
          <w:szCs w:val="20"/>
        </w:rPr>
        <w:fldChar w:fldCharType="separate"/>
      </w:r>
      <w:r w:rsidR="00304DDF">
        <w:rPr>
          <w:rFonts w:ascii="Arial" w:hAnsi="Arial" w:cs="Arial"/>
          <w:noProof/>
          <w:sz w:val="20"/>
          <w:szCs w:val="20"/>
        </w:rPr>
        <w:t>(7, 13)</w:t>
      </w:r>
      <w:r w:rsidR="00933230" w:rsidRPr="007A682B">
        <w:rPr>
          <w:rFonts w:ascii="Arial" w:hAnsi="Arial" w:cs="Arial"/>
          <w:sz w:val="20"/>
          <w:szCs w:val="20"/>
        </w:rPr>
        <w:fldChar w:fldCharType="end"/>
      </w:r>
      <w:r w:rsidRPr="007A682B">
        <w:rPr>
          <w:rFonts w:ascii="Arial" w:hAnsi="Arial" w:cs="Arial"/>
          <w:sz w:val="20"/>
          <w:szCs w:val="20"/>
        </w:rPr>
        <w:t>.</w:t>
      </w:r>
      <w:r w:rsidR="00D14B33" w:rsidRPr="007A682B">
        <w:rPr>
          <w:rFonts w:ascii="Arial" w:hAnsi="Arial" w:cs="Arial"/>
          <w:sz w:val="20"/>
          <w:szCs w:val="20"/>
        </w:rPr>
        <w:t xml:space="preserve"> These observations suggest that, unlike the progressive feminization of protogynous species, sex change in anemonefish proceeds in two distinct stages: a prolonged period of reproductive stasis followed by overt gonadal transformation</w:t>
      </w:r>
      <w:r w:rsidR="00AE0676" w:rsidRPr="007A682B">
        <w:rPr>
          <w:rFonts w:ascii="Arial" w:hAnsi="Arial" w:cs="Arial"/>
          <w:sz w:val="20"/>
          <w:szCs w:val="20"/>
        </w:rPr>
        <w:t>.</w:t>
      </w:r>
      <w:r w:rsidR="009244C4" w:rsidRPr="007A682B">
        <w:rPr>
          <w:rFonts w:ascii="Arial" w:hAnsi="Arial" w:cs="Arial"/>
          <w:sz w:val="20"/>
          <w:szCs w:val="20"/>
        </w:rPr>
        <w:t xml:space="preserve"> </w:t>
      </w:r>
      <w:r w:rsidR="00AE0676" w:rsidRPr="00FC2262">
        <w:rPr>
          <w:rFonts w:ascii="Arial" w:hAnsi="Arial" w:cs="Arial"/>
          <w:sz w:val="20"/>
          <w:szCs w:val="20"/>
        </w:rPr>
        <w:t>A schematic summary of changes in circulating 11-ketotestosterone (11-KT) and estradiol (E2), testicular tissue, vitellogenesis, body mass, neurogenesis in the preoptic area (POA), aggression, and parental care across the progression from male</w:t>
      </w:r>
      <w:r w:rsidR="001E3631">
        <w:rPr>
          <w:rFonts w:ascii="Arial" w:hAnsi="Arial" w:cs="Arial"/>
          <w:sz w:val="20"/>
          <w:szCs w:val="20"/>
        </w:rPr>
        <w:t xml:space="preserve"> (M)</w:t>
      </w:r>
      <w:r w:rsidR="00AE0676" w:rsidRPr="00FC2262">
        <w:rPr>
          <w:rFonts w:ascii="Arial" w:hAnsi="Arial" w:cs="Arial"/>
          <w:sz w:val="20"/>
          <w:szCs w:val="20"/>
        </w:rPr>
        <w:t xml:space="preserve"> through intermediate (I) and late-intermediate (LI) stages to</w:t>
      </w:r>
      <w:r w:rsidR="001E3631">
        <w:rPr>
          <w:rFonts w:ascii="Arial" w:hAnsi="Arial" w:cs="Arial"/>
          <w:sz w:val="20"/>
          <w:szCs w:val="20"/>
        </w:rPr>
        <w:t xml:space="preserve"> </w:t>
      </w:r>
      <w:r w:rsidR="00AE0676" w:rsidRPr="00FC2262">
        <w:rPr>
          <w:rFonts w:ascii="Arial" w:hAnsi="Arial" w:cs="Arial"/>
          <w:sz w:val="20"/>
          <w:szCs w:val="20"/>
        </w:rPr>
        <w:t xml:space="preserve">female </w:t>
      </w:r>
      <w:r w:rsidR="001E3631">
        <w:rPr>
          <w:rFonts w:ascii="Arial" w:hAnsi="Arial" w:cs="Arial"/>
          <w:sz w:val="20"/>
          <w:szCs w:val="20"/>
        </w:rPr>
        <w:t xml:space="preserve">(F) </w:t>
      </w:r>
      <w:r w:rsidR="00AE0676" w:rsidRPr="00FC2262">
        <w:rPr>
          <w:rFonts w:ascii="Arial" w:hAnsi="Arial" w:cs="Arial"/>
          <w:sz w:val="20"/>
          <w:szCs w:val="20"/>
        </w:rPr>
        <w:t>is shown in Fig. 1A. Trajectories summarize patterns observed across our previous studies and are intended to illustrate approximate changes among stages rather than precise temporal dynamics or the relative timing of individual processes.</w:t>
      </w:r>
      <w:r w:rsidR="00AE0676" w:rsidRPr="007A682B">
        <w:rPr>
          <w:rFonts w:ascii="Arial" w:hAnsi="Arial" w:cs="Arial"/>
          <w:sz w:val="20"/>
          <w:szCs w:val="20"/>
        </w:rPr>
        <w:t xml:space="preserve"> </w:t>
      </w:r>
    </w:p>
    <w:p w14:paraId="776B6381" w14:textId="27DE24F9" w:rsidR="00E1149A" w:rsidRPr="007A682B" w:rsidRDefault="00E1149A" w:rsidP="003E4206">
      <w:pPr>
        <w:ind w:firstLine="720"/>
        <w:rPr>
          <w:rFonts w:ascii="Arial" w:hAnsi="Arial" w:cs="Arial"/>
          <w:sz w:val="20"/>
          <w:szCs w:val="20"/>
        </w:rPr>
      </w:pPr>
      <w:r w:rsidRPr="007A682B">
        <w:rPr>
          <w:rFonts w:ascii="Arial" w:hAnsi="Arial" w:cs="Arial"/>
          <w:sz w:val="20"/>
          <w:szCs w:val="20"/>
        </w:rPr>
        <w:t>Despite the apparent stability of the gonads during this prolonged intermediate period, previous work suggests that substantial neural remodeling is already underway</w:t>
      </w:r>
      <w:r w:rsidR="00304DDF">
        <w:rPr>
          <w:rFonts w:ascii="Arial" w:hAnsi="Arial" w:cs="Arial"/>
          <w:sz w:val="20"/>
          <w:szCs w:val="20"/>
        </w:rPr>
        <w:fldChar w:fldCharType="begin"/>
      </w:r>
      <w:r w:rsidR="00304DDF">
        <w:rPr>
          <w:rFonts w:ascii="Arial" w:hAnsi="Arial" w:cs="Arial"/>
          <w:sz w:val="20"/>
          <w:szCs w:val="20"/>
        </w:rPr>
        <w:instrText xml:space="preserve"> ADDIN ZOTERO_ITEM CSL_CITATION {"citationID":"sRck3lac","properties":{"unsorted":false,"formattedCitation":"(6, 13)","plainCitation":"(6, 13)","noteIndex":0},"citationItems":[{"id":16,"uris":["http://zotero.org/users/11313215/items/VGA9PBJ3"],"itemData":{"id":16,"type":"article-journal","abstract":"Sex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S."}],"issued":{"date-parts":[["2023",3]]}}},{"id":6739,"uris":["http://zotero.org/users/11313215/items/3KDQEA69"],"itemData":{"id":6739,"type":"article-journal","abstract":"Sex differences in the anatomy and physiology of the vertebrate preoptic area (POA) arise during development, and influence sex-specific reproductive functions later in life. Relative to masculinization, mechanisms for feminization of the POA are not well understood. The purpose of this study was to induce sex change from male to female in the anemonefish Amphiprion ocellaris, and track the timing of changes in POA cytoarchitecture, composition of the gonads and circulating sex steroid levels. Reproductive males were paired together and then sampled after 3 weeks, 6 months, 1 year and 3 years. Results show that as males change sex into females, number of medium cells in the anterior POA (parvocellular region) approximately double to female levels over the course of several months to 1 year. Feminization of gonads, and plasma sex steroids occur independently, on a variable timescale, up to years after POA sex change has completed. Findings suggest the process of POA feminization is orchestrated by factors originating from within the brain as opposed to being cued from the gonads, consistent with the dominant hypothesis in mammals. Anemonefish provide an opportunity to explore active mechanisms responsible for female brain development in an individual with male gonads and circulating sex steroid levels.","container-title":"Hormones and Behavior","DOI":"10.1016/j.yhbeh.2019.04.002","ISSN":"0018-506X","journalAbbreviation":"Hormones and Behavior","page":"65-76","source":"ScienceDirect","title":"Active feminization of the preoptic area occurs independently of the gonads in &lt;i&gt;Amphiprion ocellaris&lt;/i&gt;","volume":"112","author":[{"family":"Dodd","given":"Logan D."},{"family":"Nowak","given":"Ewelina"},{"family":"Lange","given":"Dominica"},{"family":"Parker","given":"Coltan G."},{"family":"DeAngelis","given":"Ross"},{"family":"Gonzalez","given":"Jose A."},{"family":"Rhodes","given":"Justin S."}],"issued":{"date-parts":[["2019",6,1]]}}}],"schema":"https://github.com/citation-style-language/schema/raw/master/csl-citation.json"} </w:instrText>
      </w:r>
      <w:r w:rsidR="00304DDF">
        <w:rPr>
          <w:rFonts w:ascii="Arial" w:hAnsi="Arial" w:cs="Arial"/>
          <w:sz w:val="20"/>
          <w:szCs w:val="20"/>
        </w:rPr>
        <w:fldChar w:fldCharType="separate"/>
      </w:r>
      <w:r w:rsidR="00304DDF">
        <w:rPr>
          <w:rFonts w:ascii="Arial" w:hAnsi="Arial" w:cs="Arial"/>
          <w:noProof/>
          <w:sz w:val="20"/>
          <w:szCs w:val="20"/>
        </w:rPr>
        <w:t>(6, 13)</w:t>
      </w:r>
      <w:r w:rsidR="00304DDF">
        <w:rPr>
          <w:rFonts w:ascii="Arial" w:hAnsi="Arial" w:cs="Arial"/>
          <w:sz w:val="20"/>
          <w:szCs w:val="20"/>
        </w:rPr>
        <w:fldChar w:fldCharType="end"/>
      </w:r>
      <w:r w:rsidR="007F445F">
        <w:rPr>
          <w:rFonts w:ascii="Arial" w:hAnsi="Arial" w:cs="Arial"/>
          <w:sz w:val="20"/>
          <w:szCs w:val="20"/>
        </w:rPr>
        <w:t xml:space="preserve"> </w:t>
      </w:r>
      <w:r w:rsidRPr="007A682B">
        <w:rPr>
          <w:rFonts w:ascii="Arial" w:hAnsi="Arial" w:cs="Arial"/>
          <w:sz w:val="20"/>
          <w:szCs w:val="20"/>
        </w:rPr>
        <w:t xml:space="preserve">. The preoptic area (POA), a conserved </w:t>
      </w:r>
      <w:r w:rsidR="003979F8" w:rsidRPr="007A682B">
        <w:rPr>
          <w:rFonts w:ascii="Arial" w:hAnsi="Arial" w:cs="Arial"/>
          <w:sz w:val="20"/>
          <w:szCs w:val="20"/>
        </w:rPr>
        <w:t xml:space="preserve">reproductive </w:t>
      </w:r>
      <w:r w:rsidRPr="007A682B">
        <w:rPr>
          <w:rFonts w:ascii="Arial" w:hAnsi="Arial" w:cs="Arial"/>
          <w:sz w:val="20"/>
          <w:szCs w:val="20"/>
        </w:rPr>
        <w:t xml:space="preserve">center that regulates </w:t>
      </w:r>
      <w:r w:rsidR="00CF7C9D" w:rsidRPr="007A682B">
        <w:rPr>
          <w:rFonts w:ascii="Arial" w:hAnsi="Arial" w:cs="Arial"/>
          <w:sz w:val="20"/>
          <w:szCs w:val="20"/>
        </w:rPr>
        <w:t>pituitary gonadotrophs</w:t>
      </w:r>
      <w:r w:rsidRPr="007A682B">
        <w:rPr>
          <w:rFonts w:ascii="Arial" w:hAnsi="Arial" w:cs="Arial"/>
          <w:sz w:val="20"/>
          <w:szCs w:val="20"/>
        </w:rPr>
        <w:t xml:space="preserve"> and reproductive physiology, has emerged as a particularly important region during protandrous sex change. Earlier studies demonstrated increased cell proliferation and neurogenesis within the POA during sex change, with evidence for a pronounced increase around the time of gonadal transformation. These findings suggest that neural reorganization precede</w:t>
      </w:r>
      <w:r w:rsidR="00CF7C9D" w:rsidRPr="007A682B">
        <w:rPr>
          <w:rFonts w:ascii="Arial" w:hAnsi="Arial" w:cs="Arial"/>
          <w:sz w:val="20"/>
          <w:szCs w:val="20"/>
        </w:rPr>
        <w:t>s</w:t>
      </w:r>
      <w:r w:rsidRPr="007A682B">
        <w:rPr>
          <w:rFonts w:ascii="Arial" w:hAnsi="Arial" w:cs="Arial"/>
          <w:sz w:val="20"/>
          <w:szCs w:val="20"/>
        </w:rPr>
        <w:t xml:space="preserve"> and potentially contribute</w:t>
      </w:r>
      <w:r w:rsidR="00CF7C9D" w:rsidRPr="007A682B">
        <w:rPr>
          <w:rFonts w:ascii="Arial" w:hAnsi="Arial" w:cs="Arial"/>
          <w:sz w:val="20"/>
          <w:szCs w:val="20"/>
        </w:rPr>
        <w:t>s</w:t>
      </w:r>
      <w:r w:rsidRPr="007A682B">
        <w:rPr>
          <w:rFonts w:ascii="Arial" w:hAnsi="Arial" w:cs="Arial"/>
          <w:sz w:val="20"/>
          <w:szCs w:val="20"/>
        </w:rPr>
        <w:t xml:space="preserve"> to subsequent gonadal feminization</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{"citationID":"C3YqLQBn","properties":{"unsorted":false,"formattedCitation":"(6)","plainCitation":"(6)","noteIndex":0},"citationItems":[{"id":16,"uris":["http://zotero.org/users/11313215/items/VGA9PBJ3"],"itemData":{"id":16,"type":"article-journal","abstract":"Sex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(6)</w:t>
      </w:r>
      <w:r w:rsidR="00933230" w:rsidRPr="007A682B">
        <w:rPr>
          <w:rFonts w:ascii="Arial" w:hAnsi="Arial" w:cs="Arial"/>
          <w:sz w:val="20"/>
          <w:szCs w:val="20"/>
        </w:rPr>
        <w:fldChar w:fldCharType="end"/>
      </w:r>
      <w:r w:rsidRPr="007A682B">
        <w:rPr>
          <w:rFonts w:ascii="Arial" w:hAnsi="Arial" w:cs="Arial"/>
          <w:sz w:val="20"/>
          <w:szCs w:val="20"/>
        </w:rPr>
        <w:t xml:space="preserve">. However, the identities of the newly generated cells, and the extent to which neurogenesis contributes to functional remodeling of </w:t>
      </w:r>
      <w:r w:rsidR="00E71265" w:rsidRPr="007A682B">
        <w:rPr>
          <w:rFonts w:ascii="Arial" w:hAnsi="Arial" w:cs="Arial"/>
          <w:sz w:val="20"/>
          <w:szCs w:val="20"/>
        </w:rPr>
        <w:t>the POA</w:t>
      </w:r>
      <w:r w:rsidR="003979F8" w:rsidRPr="007A682B">
        <w:rPr>
          <w:rFonts w:ascii="Arial" w:hAnsi="Arial" w:cs="Arial"/>
          <w:sz w:val="20"/>
          <w:szCs w:val="20"/>
        </w:rPr>
        <w:t xml:space="preserve"> </w:t>
      </w:r>
      <w:r w:rsidRPr="007A682B">
        <w:rPr>
          <w:rFonts w:ascii="Arial" w:hAnsi="Arial" w:cs="Arial"/>
          <w:sz w:val="20"/>
          <w:szCs w:val="20"/>
        </w:rPr>
        <w:t>remain</w:t>
      </w:r>
      <w:r w:rsidR="00E71265" w:rsidRPr="007A682B">
        <w:rPr>
          <w:rFonts w:ascii="Arial" w:hAnsi="Arial" w:cs="Arial"/>
          <w:sz w:val="20"/>
          <w:szCs w:val="20"/>
        </w:rPr>
        <w:t>s</w:t>
      </w:r>
      <w:r w:rsidRPr="007A682B">
        <w:rPr>
          <w:rFonts w:ascii="Arial" w:hAnsi="Arial" w:cs="Arial"/>
          <w:sz w:val="20"/>
          <w:szCs w:val="20"/>
        </w:rPr>
        <w:t xml:space="preserve"> unknown.</w:t>
      </w:r>
    </w:p>
    <w:p w14:paraId="29194DD7" w14:textId="7EB386CB"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A major challenge in understanding protandrous sex change has been the lack of </w:t>
      </w:r>
      <w:r w:rsidR="003979F8" w:rsidRPr="007A682B">
        <w:rPr>
          <w:rFonts w:ascii="Arial" w:hAnsi="Arial" w:cs="Arial"/>
          <w:sz w:val="20"/>
          <w:szCs w:val="20"/>
        </w:rPr>
        <w:t xml:space="preserve">cell-level </w:t>
      </w:r>
      <w:r w:rsidR="00C77AD7" w:rsidRPr="007A682B">
        <w:rPr>
          <w:rFonts w:ascii="Arial" w:hAnsi="Arial" w:cs="Arial"/>
          <w:sz w:val="20"/>
          <w:szCs w:val="20"/>
        </w:rPr>
        <w:t>information</w:t>
      </w:r>
      <w:r w:rsidRPr="007A682B">
        <w:rPr>
          <w:rFonts w:ascii="Arial" w:hAnsi="Arial" w:cs="Arial"/>
          <w:sz w:val="20"/>
          <w:szCs w:val="20"/>
        </w:rPr>
        <w:t xml:space="preserve"> about the neural populations involved. Recently, we generated the first single-nucleus transcriptomic atlas of the anemonefish forebrain, including the telencephalon and </w:t>
      </w:r>
      <w:r w:rsidR="00933230" w:rsidRPr="007A682B">
        <w:rPr>
          <w:rFonts w:ascii="Arial" w:hAnsi="Arial" w:cs="Arial"/>
          <w:sz w:val="20"/>
          <w:szCs w:val="20"/>
        </w:rPr>
        <w:t>POA</w:t>
      </w:r>
      <w:r w:rsidRPr="007A682B">
        <w:rPr>
          <w:rFonts w:ascii="Arial" w:hAnsi="Arial" w:cs="Arial"/>
          <w:sz w:val="20"/>
          <w:szCs w:val="20"/>
        </w:rPr>
        <w:t xml:space="preserve">, and identified extensive </w:t>
      </w:r>
      <w:r w:rsidR="00CF7C9D" w:rsidRPr="007A682B">
        <w:rPr>
          <w:rFonts w:ascii="Arial" w:hAnsi="Arial" w:cs="Arial"/>
          <w:sz w:val="20"/>
          <w:szCs w:val="20"/>
        </w:rPr>
        <w:t>sex differences</w:t>
      </w:r>
      <w:r w:rsidRPr="007A682B">
        <w:rPr>
          <w:rFonts w:ascii="Arial" w:hAnsi="Arial" w:cs="Arial"/>
          <w:sz w:val="20"/>
          <w:szCs w:val="20"/>
        </w:rPr>
        <w:t xml:space="preserve"> across neuronal and glial populations. That study revealed widespread sex differences in gene expression, cell-type abundance</w:t>
      </w:r>
      <w:r w:rsidR="00C77AD7" w:rsidRPr="007A682B">
        <w:rPr>
          <w:rFonts w:ascii="Arial" w:hAnsi="Arial" w:cs="Arial"/>
          <w:sz w:val="20"/>
          <w:szCs w:val="20"/>
        </w:rPr>
        <w:t xml:space="preserve">, </w:t>
      </w:r>
      <w:r w:rsidRPr="007A682B">
        <w:rPr>
          <w:rFonts w:ascii="Arial" w:hAnsi="Arial" w:cs="Arial"/>
          <w:sz w:val="20"/>
          <w:szCs w:val="20"/>
        </w:rPr>
        <w:t>and predicted cellular communication networks. Particularly striking differences were observed among radial glia</w:t>
      </w:r>
      <w:r w:rsidR="00CF7C9D" w:rsidRPr="007A682B">
        <w:rPr>
          <w:rFonts w:ascii="Arial" w:hAnsi="Arial" w:cs="Arial"/>
          <w:sz w:val="20"/>
          <w:szCs w:val="20"/>
        </w:rPr>
        <w:t>l cells (RGCs)</w:t>
      </w:r>
      <w:r w:rsidRPr="007A682B">
        <w:rPr>
          <w:rFonts w:ascii="Arial" w:hAnsi="Arial" w:cs="Arial"/>
          <w:sz w:val="20"/>
          <w:szCs w:val="20"/>
        </w:rPr>
        <w:t xml:space="preserve"> and </w:t>
      </w:r>
      <w:r w:rsidR="00E71265" w:rsidRPr="007A682B">
        <w:rPr>
          <w:rFonts w:ascii="Arial" w:hAnsi="Arial" w:cs="Arial"/>
          <w:sz w:val="20"/>
          <w:szCs w:val="20"/>
        </w:rPr>
        <w:t xml:space="preserve">putatively </w:t>
      </w:r>
      <w:r w:rsidR="00C77AD7" w:rsidRPr="007A682B">
        <w:rPr>
          <w:rFonts w:ascii="Arial" w:hAnsi="Arial" w:cs="Arial"/>
          <w:sz w:val="20"/>
          <w:szCs w:val="20"/>
        </w:rPr>
        <w:t>POA</w:t>
      </w:r>
      <w:r w:rsidRPr="007A682B">
        <w:rPr>
          <w:rFonts w:ascii="Arial" w:hAnsi="Arial" w:cs="Arial"/>
          <w:sz w:val="20"/>
          <w:szCs w:val="20"/>
        </w:rPr>
        <w:t xml:space="preserve"> populations. These findings established the male and female endpoints of neural </w:t>
      </w:r>
      <w:r w:rsidR="00D770B1" w:rsidRPr="007A682B">
        <w:rPr>
          <w:rFonts w:ascii="Arial" w:hAnsi="Arial" w:cs="Arial"/>
          <w:sz w:val="20"/>
          <w:szCs w:val="20"/>
        </w:rPr>
        <w:t>sex change</w:t>
      </w:r>
      <w:r w:rsidRPr="007A682B">
        <w:rPr>
          <w:rFonts w:ascii="Arial" w:hAnsi="Arial" w:cs="Arial"/>
          <w:sz w:val="20"/>
          <w:szCs w:val="20"/>
        </w:rPr>
        <w:t xml:space="preserve"> and identified the </w:t>
      </w:r>
      <w:r w:rsidR="00C77AD7" w:rsidRPr="007A682B">
        <w:rPr>
          <w:rFonts w:ascii="Arial" w:hAnsi="Arial" w:cs="Arial"/>
          <w:sz w:val="20"/>
          <w:szCs w:val="20"/>
        </w:rPr>
        <w:t>POA</w:t>
      </w:r>
      <w:r w:rsidRPr="007A682B">
        <w:rPr>
          <w:rFonts w:ascii="Arial" w:hAnsi="Arial" w:cs="Arial"/>
          <w:sz w:val="20"/>
          <w:szCs w:val="20"/>
        </w:rPr>
        <w:t xml:space="preserve"> as a major site of cellular remodeling </w:t>
      </w:r>
      <w:r w:rsidR="00D770B1" w:rsidRPr="007A682B">
        <w:rPr>
          <w:rFonts w:ascii="Arial" w:hAnsi="Arial" w:cs="Arial"/>
          <w:sz w:val="20"/>
          <w:szCs w:val="20"/>
        </w:rPr>
        <w:t>during the process</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{"citationID":"HK9AAkqP","properties":{"unsorted":false,"formattedCitation":"(5)","plainCitation":"(5)","noteIndex":0},"citationItems":[{"id":3227,"uris":["http://zotero.org/users/11313215/items/RWMZ9QFA"],"itemData":{"id":3227,"type":"article-journal","abstract":"BACKGROUND: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(5)</w:t>
      </w:r>
      <w:r w:rsidR="00933230" w:rsidRPr="007A682B">
        <w:rPr>
          <w:rFonts w:ascii="Arial" w:hAnsi="Arial" w:cs="Arial"/>
          <w:sz w:val="20"/>
          <w:szCs w:val="20"/>
        </w:rPr>
        <w:fldChar w:fldCharType="end"/>
      </w:r>
      <w:r w:rsidRPr="007A682B">
        <w:rPr>
          <w:rFonts w:ascii="Arial" w:hAnsi="Arial" w:cs="Arial"/>
          <w:sz w:val="20"/>
          <w:szCs w:val="20"/>
        </w:rPr>
        <w:t>.</w:t>
      </w:r>
    </w:p>
    <w:p w14:paraId="0F290A79" w14:textId="21874390"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However, the previous </w:t>
      </w:r>
      <w:r w:rsidR="00C77AD7" w:rsidRPr="007A682B">
        <w:rPr>
          <w:rFonts w:ascii="Arial" w:hAnsi="Arial" w:cs="Arial"/>
          <w:sz w:val="20"/>
          <w:szCs w:val="20"/>
        </w:rPr>
        <w:t xml:space="preserve">study </w:t>
      </w:r>
      <w:r w:rsidRPr="007A682B">
        <w:rPr>
          <w:rFonts w:ascii="Arial" w:hAnsi="Arial" w:cs="Arial"/>
          <w:sz w:val="20"/>
          <w:szCs w:val="20"/>
        </w:rPr>
        <w:t xml:space="preserve">compared only reproductively active males and females and therefore could not determine when these cellular differences emerged or whether they preceded or </w:t>
      </w:r>
      <w:r w:rsidRPr="007A682B">
        <w:rPr>
          <w:rFonts w:ascii="Arial" w:hAnsi="Arial" w:cs="Arial"/>
          <w:sz w:val="20"/>
          <w:szCs w:val="20"/>
        </w:rPr>
        <w:lastRenderedPageBreak/>
        <w:t xml:space="preserve">followed gonadal transformation. Consequently, the temporal sequence of neural remodeling during sex change remains unresolved. In particular, it is unknown whether the extensive changes observed in </w:t>
      </w:r>
      <w:r w:rsidR="00C77AD7" w:rsidRPr="007A682B">
        <w:rPr>
          <w:rFonts w:ascii="Arial" w:hAnsi="Arial" w:cs="Arial"/>
          <w:sz w:val="20"/>
          <w:szCs w:val="20"/>
        </w:rPr>
        <w:t>the POA</w:t>
      </w:r>
      <w:r w:rsidRPr="007A682B">
        <w:rPr>
          <w:rFonts w:ascii="Arial" w:hAnsi="Arial" w:cs="Arial"/>
          <w:sz w:val="20"/>
          <w:szCs w:val="20"/>
        </w:rPr>
        <w:t xml:space="preserve"> arise during the prolonged period of reproductive stasis, during gonadal transformation itself, or only after female reproductive physiology has been established. Furthermore, because </w:t>
      </w:r>
      <w:r w:rsidR="00C77AD7" w:rsidRPr="007A682B">
        <w:rPr>
          <w:rFonts w:ascii="Arial" w:hAnsi="Arial" w:cs="Arial"/>
          <w:sz w:val="20"/>
          <w:szCs w:val="20"/>
        </w:rPr>
        <w:t>that analysis</w:t>
      </w:r>
      <w:r w:rsidRPr="007A682B">
        <w:rPr>
          <w:rFonts w:ascii="Arial" w:hAnsi="Arial" w:cs="Arial"/>
          <w:sz w:val="20"/>
          <w:szCs w:val="20"/>
        </w:rPr>
        <w:t xml:space="preserve"> sampled the entire telencephalon</w:t>
      </w:r>
      <w:r w:rsidR="00D770B1" w:rsidRPr="007A682B">
        <w:rPr>
          <w:rFonts w:ascii="Arial" w:hAnsi="Arial" w:cs="Arial"/>
          <w:sz w:val="20"/>
          <w:szCs w:val="20"/>
        </w:rPr>
        <w:t>,</w:t>
      </w:r>
      <w:r w:rsidRPr="007A682B">
        <w:rPr>
          <w:rFonts w:ascii="Arial" w:hAnsi="Arial" w:cs="Arial"/>
          <w:sz w:val="20"/>
          <w:szCs w:val="20"/>
        </w:rPr>
        <w:t xml:space="preserve"> </w:t>
      </w:r>
      <w:r w:rsidR="00CF7C9D" w:rsidRPr="007A682B">
        <w:rPr>
          <w:rFonts w:ascii="Arial" w:hAnsi="Arial" w:cs="Arial"/>
          <w:sz w:val="20"/>
          <w:szCs w:val="20"/>
        </w:rPr>
        <w:t>only a limited number of nuclei from the POA were sampled</w:t>
      </w:r>
      <w:r w:rsidRPr="007A682B">
        <w:rPr>
          <w:rFonts w:ascii="Arial" w:hAnsi="Arial" w:cs="Arial"/>
          <w:sz w:val="20"/>
          <w:szCs w:val="20"/>
        </w:rPr>
        <w:t xml:space="preserve">. Although this population exhibited some of the most striking sex differences in the dataset, its limited representation constrained our ability to resolve </w:t>
      </w:r>
      <w:r w:rsidR="00C77AD7" w:rsidRPr="007A682B">
        <w:rPr>
          <w:rFonts w:ascii="Arial" w:hAnsi="Arial" w:cs="Arial"/>
          <w:sz w:val="20"/>
          <w:szCs w:val="20"/>
        </w:rPr>
        <w:t xml:space="preserve">changes in </w:t>
      </w:r>
      <w:r w:rsidRPr="007A682B">
        <w:rPr>
          <w:rFonts w:ascii="Arial" w:hAnsi="Arial" w:cs="Arial"/>
          <w:sz w:val="20"/>
          <w:szCs w:val="20"/>
        </w:rPr>
        <w:t xml:space="preserve">this key </w:t>
      </w:r>
      <w:r w:rsidR="00CF7C9D" w:rsidRPr="007A682B">
        <w:rPr>
          <w:rFonts w:ascii="Arial" w:hAnsi="Arial" w:cs="Arial"/>
          <w:sz w:val="20"/>
          <w:szCs w:val="20"/>
        </w:rPr>
        <w:t>population</w:t>
      </w:r>
      <w:r w:rsidRPr="007A682B">
        <w:rPr>
          <w:rFonts w:ascii="Arial" w:hAnsi="Arial" w:cs="Arial"/>
          <w:sz w:val="20"/>
          <w:szCs w:val="20"/>
        </w:rPr>
        <w:t xml:space="preserve">. We therefore focused the present study on a targeted dissection centered on the POA and adjacent </w:t>
      </w:r>
      <w:r w:rsidR="00C77AD7" w:rsidRPr="007A682B">
        <w:rPr>
          <w:rFonts w:ascii="Arial" w:hAnsi="Arial" w:cs="Arial"/>
          <w:sz w:val="20"/>
          <w:szCs w:val="20"/>
        </w:rPr>
        <w:t>regions</w:t>
      </w:r>
      <w:r w:rsidRPr="007A682B">
        <w:rPr>
          <w:rFonts w:ascii="Arial" w:hAnsi="Arial" w:cs="Arial"/>
          <w:sz w:val="20"/>
          <w:szCs w:val="20"/>
        </w:rPr>
        <w:t xml:space="preserve"> while removing most of the telencephalon, </w:t>
      </w:r>
      <w:r w:rsidR="00CF7C9D" w:rsidRPr="007A682B">
        <w:rPr>
          <w:rFonts w:ascii="Arial" w:hAnsi="Arial" w:cs="Arial"/>
          <w:sz w:val="20"/>
          <w:szCs w:val="20"/>
        </w:rPr>
        <w:t>enriching</w:t>
      </w:r>
      <w:r w:rsidRPr="007A682B">
        <w:rPr>
          <w:rFonts w:ascii="Arial" w:hAnsi="Arial" w:cs="Arial"/>
          <w:sz w:val="20"/>
          <w:szCs w:val="20"/>
        </w:rPr>
        <w:t xml:space="preserve"> representation of</w:t>
      </w:r>
      <w:r w:rsidR="00CF7C9D" w:rsidRPr="007A682B">
        <w:rPr>
          <w:rFonts w:ascii="Arial" w:hAnsi="Arial" w:cs="Arial"/>
          <w:sz w:val="20"/>
          <w:szCs w:val="20"/>
        </w:rPr>
        <w:t xml:space="preserve"> the</w:t>
      </w:r>
      <w:r w:rsidRPr="007A682B">
        <w:rPr>
          <w:rFonts w:ascii="Arial" w:hAnsi="Arial" w:cs="Arial"/>
          <w:sz w:val="20"/>
          <w:szCs w:val="20"/>
        </w:rPr>
        <w:t xml:space="preserve"> </w:t>
      </w:r>
      <w:r w:rsidR="00CF7C9D" w:rsidRPr="007A682B">
        <w:rPr>
          <w:rFonts w:ascii="Arial" w:hAnsi="Arial" w:cs="Arial"/>
          <w:sz w:val="20"/>
          <w:szCs w:val="20"/>
        </w:rPr>
        <w:t>POA in our dataset</w:t>
      </w:r>
      <w:r w:rsidRPr="007A682B">
        <w:rPr>
          <w:rFonts w:ascii="Arial" w:hAnsi="Arial" w:cs="Arial"/>
          <w:sz w:val="20"/>
          <w:szCs w:val="20"/>
        </w:rPr>
        <w:t>.</w:t>
      </w:r>
    </w:p>
    <w:p w14:paraId="0C75A6B5" w14:textId="2D677C7C" w:rsidR="00E1149A" w:rsidRPr="007A682B" w:rsidRDefault="00D770B1" w:rsidP="003E4206">
      <w:pPr>
        <w:ind w:firstLine="720"/>
        <w:rPr>
          <w:rFonts w:ascii="Arial" w:hAnsi="Arial" w:cs="Arial"/>
          <w:b/>
          <w:bCs/>
          <w:sz w:val="20"/>
          <w:szCs w:val="20"/>
          <w:u w:val="single"/>
        </w:rPr>
      </w:pPr>
      <w:r w:rsidRPr="007A682B">
        <w:rPr>
          <w:rFonts w:ascii="Arial" w:hAnsi="Arial" w:cs="Arial"/>
          <w:sz w:val="20"/>
          <w:szCs w:val="20"/>
        </w:rPr>
        <w:t>Here, w</w:t>
      </w:r>
      <w:r w:rsidR="00AB19C0" w:rsidRPr="007A682B">
        <w:rPr>
          <w:rFonts w:ascii="Arial" w:hAnsi="Arial" w:cs="Arial"/>
          <w:sz w:val="20"/>
          <w:szCs w:val="20"/>
        </w:rPr>
        <w:t xml:space="preserve">e combine single-nucleus multiomics with spatial transcriptomics to characterize the </w:t>
      </w:r>
      <w:r w:rsidR="00CF7C9D" w:rsidRPr="007A682B">
        <w:rPr>
          <w:rFonts w:ascii="Arial" w:hAnsi="Arial" w:cs="Arial"/>
          <w:sz w:val="20"/>
          <w:szCs w:val="20"/>
        </w:rPr>
        <w:t>POA</w:t>
      </w:r>
      <w:r w:rsidR="00AB19C0" w:rsidRPr="007A682B">
        <w:rPr>
          <w:rFonts w:ascii="Arial" w:hAnsi="Arial" w:cs="Arial"/>
          <w:sz w:val="20"/>
          <w:szCs w:val="20"/>
        </w:rPr>
        <w:t xml:space="preserve"> </w:t>
      </w:r>
      <w:r w:rsidR="00B04808" w:rsidRPr="007A682B">
        <w:rPr>
          <w:rFonts w:ascii="Arial" w:hAnsi="Arial" w:cs="Arial"/>
          <w:sz w:val="20"/>
          <w:szCs w:val="20"/>
        </w:rPr>
        <w:t xml:space="preserve">and </w:t>
      </w:r>
      <w:r w:rsidR="00064EA0" w:rsidRPr="007A682B">
        <w:rPr>
          <w:rFonts w:ascii="Arial" w:hAnsi="Arial" w:cs="Arial"/>
          <w:sz w:val="20"/>
          <w:szCs w:val="20"/>
        </w:rPr>
        <w:t xml:space="preserve">adjacent </w:t>
      </w:r>
      <w:r w:rsidR="00B04808" w:rsidRPr="007A682B">
        <w:rPr>
          <w:rFonts w:ascii="Arial" w:hAnsi="Arial" w:cs="Arial"/>
          <w:sz w:val="20"/>
          <w:szCs w:val="20"/>
        </w:rPr>
        <w:t xml:space="preserve">regions </w:t>
      </w:r>
      <w:r w:rsidR="00AB19C0" w:rsidRPr="007A682B">
        <w:rPr>
          <w:rFonts w:ascii="Arial" w:hAnsi="Arial" w:cs="Arial"/>
          <w:sz w:val="20"/>
          <w:szCs w:val="20"/>
        </w:rPr>
        <w:t xml:space="preserve">across multiple stages of protandrous sex change. By integrating transcriptional state, chromatin accessibility, spatial localization, endocrine phenotype, gonadal morphology, and behavior, we </w:t>
      </w:r>
      <w:r w:rsidR="00E44871" w:rsidRPr="007A682B">
        <w:rPr>
          <w:rFonts w:ascii="Arial" w:hAnsi="Arial" w:cs="Arial"/>
          <w:sz w:val="20"/>
          <w:szCs w:val="20"/>
        </w:rPr>
        <w:t xml:space="preserve">show </w:t>
      </w:r>
      <w:r w:rsidR="00AB19C0" w:rsidRPr="007A682B">
        <w:rPr>
          <w:rFonts w:ascii="Arial" w:hAnsi="Arial" w:cs="Arial"/>
          <w:sz w:val="20"/>
          <w:szCs w:val="20"/>
        </w:rPr>
        <w:t xml:space="preserve">the cellular and molecular progression of sex change from reproductive males through intermediate stages to reproductive females. Our analyses reveal stage-specific remodeling of </w:t>
      </w:r>
      <w:r w:rsidR="00E44871" w:rsidRPr="007A682B">
        <w:rPr>
          <w:rFonts w:ascii="Arial" w:hAnsi="Arial" w:cs="Arial"/>
          <w:sz w:val="20"/>
          <w:szCs w:val="20"/>
        </w:rPr>
        <w:t>RGCs</w:t>
      </w:r>
      <w:r w:rsidR="00AB19C0" w:rsidRPr="007A682B">
        <w:rPr>
          <w:rFonts w:ascii="Arial" w:hAnsi="Arial" w:cs="Arial"/>
          <w:sz w:val="20"/>
          <w:szCs w:val="20"/>
        </w:rPr>
        <w:t xml:space="preserve"> and </w:t>
      </w:r>
      <w:r w:rsidR="00C77AD7" w:rsidRPr="007A682B">
        <w:rPr>
          <w:rFonts w:ascii="Arial" w:hAnsi="Arial" w:cs="Arial"/>
          <w:sz w:val="20"/>
          <w:szCs w:val="20"/>
        </w:rPr>
        <w:t xml:space="preserve">gonadotroph regulating </w:t>
      </w:r>
      <w:r w:rsidR="00AB19C0" w:rsidRPr="007A682B">
        <w:rPr>
          <w:rFonts w:ascii="Arial" w:hAnsi="Arial" w:cs="Arial"/>
          <w:sz w:val="20"/>
          <w:szCs w:val="20"/>
        </w:rPr>
        <w:t xml:space="preserve">cell populations that define the progression of sex change before and after overt gonadal transformation. Together, these findings provide a </w:t>
      </w:r>
      <w:r w:rsidRPr="007A682B">
        <w:rPr>
          <w:rFonts w:ascii="Arial" w:hAnsi="Arial" w:cs="Arial"/>
          <w:sz w:val="20"/>
          <w:szCs w:val="20"/>
        </w:rPr>
        <w:t>novel</w:t>
      </w:r>
      <w:r w:rsidR="00AB19C0" w:rsidRPr="007A682B">
        <w:rPr>
          <w:rFonts w:ascii="Arial" w:hAnsi="Arial" w:cs="Arial"/>
          <w:sz w:val="20"/>
          <w:szCs w:val="20"/>
        </w:rPr>
        <w:t xml:space="preserve"> framework for understanding how neural remodeling precedes and potentially orchestrates the transition to the female reproductive state.</w:t>
      </w:r>
    </w:p>
    <w:p w14:paraId="601D227C" w14:textId="77777777" w:rsidR="00E1149A" w:rsidRPr="007A682B" w:rsidRDefault="00E1149A" w:rsidP="003218DF">
      <w:pPr>
        <w:rPr>
          <w:rFonts w:ascii="Arial" w:hAnsi="Arial" w:cs="Arial"/>
          <w:sz w:val="20"/>
          <w:szCs w:val="20"/>
        </w:rPr>
      </w:pPr>
    </w:p>
    <w:p w14:paraId="4CEF35DF" w14:textId="58C0C823" w:rsidR="004816FA" w:rsidRPr="007A682B" w:rsidRDefault="004816FA" w:rsidP="00E1149A">
      <w:pPr>
        <w:rPr>
          <w:rFonts w:ascii="Arial" w:hAnsi="Arial" w:cs="Arial"/>
          <w:b/>
          <w:bCs/>
          <w:sz w:val="20"/>
          <w:szCs w:val="20"/>
        </w:rPr>
      </w:pPr>
      <w:r w:rsidRPr="007A682B">
        <w:rPr>
          <w:rFonts w:ascii="Arial" w:hAnsi="Arial" w:cs="Arial"/>
          <w:b/>
          <w:bCs/>
          <w:sz w:val="20"/>
          <w:szCs w:val="20"/>
        </w:rPr>
        <w:t>Results</w:t>
      </w:r>
    </w:p>
    <w:p w14:paraId="0FF27CF0"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Male, Intermediate and Female Anemonefish Display Distinct Physiology and Behavior</w:t>
      </w:r>
    </w:p>
    <w:p w14:paraId="10C976F3" w14:textId="6139E773" w:rsidR="0018081A" w:rsidRPr="007A682B" w:rsidRDefault="0018081A" w:rsidP="0018081A">
      <w:pPr>
        <w:ind w:firstLine="720"/>
        <w:rPr>
          <w:rFonts w:ascii="Arial" w:hAnsi="Arial" w:cs="Arial"/>
          <w:sz w:val="20"/>
          <w:szCs w:val="20"/>
        </w:rPr>
      </w:pPr>
      <w:r w:rsidRPr="007A682B">
        <w:rPr>
          <w:rFonts w:ascii="Arial" w:hAnsi="Arial" w:cs="Arial"/>
          <w:sz w:val="20"/>
          <w:szCs w:val="20"/>
        </w:rPr>
        <w:t>To understand the process of protandrous sex change, we compared 6 reproductively active anemonefish pairs (n = 6 males and 6 females) to 10 pairs (n = 20) of male anemonefish housed together for 6 months</w:t>
      </w:r>
      <w:r w:rsidR="009244C4" w:rsidRPr="007A682B">
        <w:rPr>
          <w:rFonts w:ascii="Arial" w:hAnsi="Arial" w:cs="Arial"/>
          <w:sz w:val="20"/>
          <w:szCs w:val="20"/>
        </w:rPr>
        <w:t xml:space="preserve">. </w:t>
      </w:r>
      <w:r w:rsidRPr="007A682B">
        <w:rPr>
          <w:rFonts w:ascii="Arial" w:hAnsi="Arial" w:cs="Arial"/>
          <w:sz w:val="20"/>
          <w:szCs w:val="20"/>
        </w:rPr>
        <w:t>We paired males such that one male was notably larger than the other and was expected to occupy the α position in the social dominance hierarchy. These males (hereafter referred to as “</w:t>
      </w:r>
      <w:r w:rsidR="00F339F4" w:rsidRPr="007A682B">
        <w:rPr>
          <w:rFonts w:ascii="Arial" w:hAnsi="Arial" w:cs="Arial"/>
          <w:sz w:val="20"/>
          <w:szCs w:val="20"/>
        </w:rPr>
        <w:t>I</w:t>
      </w:r>
      <w:r w:rsidRPr="007A682B">
        <w:rPr>
          <w:rFonts w:ascii="Arial" w:hAnsi="Arial" w:cs="Arial"/>
          <w:sz w:val="20"/>
          <w:szCs w:val="20"/>
        </w:rPr>
        <w:t>ntermediates”) are destined to undergo protandrous sex change, and given enough time, will become reproductively active females. The partners of intermediates, males expected to remain males, are referred to as “</w:t>
      </w:r>
      <w:r w:rsidR="00F339F4" w:rsidRPr="007A682B">
        <w:rPr>
          <w:rFonts w:ascii="Arial" w:hAnsi="Arial" w:cs="Arial"/>
          <w:sz w:val="20"/>
          <w:szCs w:val="20"/>
        </w:rPr>
        <w:t>I</w:t>
      </w:r>
      <w:r w:rsidRPr="007A682B">
        <w:rPr>
          <w:rFonts w:ascii="Arial" w:hAnsi="Arial" w:cs="Arial"/>
          <w:sz w:val="20"/>
          <w:szCs w:val="20"/>
        </w:rPr>
        <w:t xml:space="preserve">ntermediate </w:t>
      </w:r>
      <w:r w:rsidR="00F339F4" w:rsidRPr="007A682B">
        <w:rPr>
          <w:rFonts w:ascii="Arial" w:hAnsi="Arial" w:cs="Arial"/>
          <w:sz w:val="20"/>
          <w:szCs w:val="20"/>
        </w:rPr>
        <w:t>P</w:t>
      </w:r>
      <w:r w:rsidRPr="007A682B">
        <w:rPr>
          <w:rFonts w:ascii="Arial" w:hAnsi="Arial" w:cs="Arial"/>
          <w:sz w:val="20"/>
          <w:szCs w:val="20"/>
        </w:rPr>
        <w:t>artners”. We chose the 6-month timepoint as previous work in our lab has shown that at six months, approximately 10% of fish will have completed sex change, while the remaining fish will be in various intermediate stages determined by individual variation</w:t>
      </w:r>
      <w:r w:rsidR="00B01C34"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{"citationID":"rUsOMn9I","properties":{"formattedCitation":"(7)","plainCitation":"(7)","noteIndex":0},"citationItems":[{"id":43,"uris":["http://zotero.org/users/11313215/items/TBICN8KA"],"itemData":{"id":43,"type":"article-journal","abstract":"Many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(7)</w:t>
      </w:r>
      <w:r w:rsidRPr="007A682B">
        <w:rPr>
          <w:rFonts w:ascii="Arial" w:hAnsi="Arial" w:cs="Arial"/>
          <w:sz w:val="20"/>
          <w:szCs w:val="20"/>
        </w:rPr>
        <w:fldChar w:fldCharType="end"/>
      </w:r>
      <w:r w:rsidRPr="007A682B">
        <w:rPr>
          <w:rFonts w:ascii="Arial" w:hAnsi="Arial" w:cs="Arial"/>
          <w:sz w:val="20"/>
          <w:szCs w:val="20"/>
        </w:rPr>
        <w:t>. Indeed, at this timepoint we found that one individual had completed sex chang</w:t>
      </w:r>
      <w:commentRangeStart w:id="0"/>
      <w:r w:rsidRPr="007A682B">
        <w:rPr>
          <w:rFonts w:ascii="Arial" w:hAnsi="Arial" w:cs="Arial"/>
          <w:sz w:val="20"/>
          <w:szCs w:val="20"/>
        </w:rPr>
        <w:t>e as indicated by the presence of vitellogenic oocytes (thus this individual was classified as a “New Female” and its partner as “New Male”)</w:t>
      </w:r>
      <w:r w:rsidR="0023586C" w:rsidRPr="007A682B">
        <w:rPr>
          <w:rFonts w:ascii="Arial" w:hAnsi="Arial" w:cs="Arial"/>
          <w:sz w:val="20"/>
          <w:szCs w:val="20"/>
        </w:rPr>
        <w:t>. T</w:t>
      </w:r>
      <w:r w:rsidRPr="007A682B">
        <w:rPr>
          <w:rFonts w:ascii="Arial" w:hAnsi="Arial" w:cs="Arial"/>
          <w:sz w:val="20"/>
          <w:szCs w:val="20"/>
        </w:rPr>
        <w:t>wo other individuals had a distinct gonadal phenotype defined</w:t>
      </w:r>
      <w:r w:rsidR="0023586C" w:rsidRPr="007A682B">
        <w:rPr>
          <w:rFonts w:ascii="Arial" w:hAnsi="Arial" w:cs="Arial"/>
          <w:sz w:val="20"/>
          <w:szCs w:val="20"/>
        </w:rPr>
        <w:t xml:space="preserve"> by havin</w:t>
      </w:r>
      <w:commentRangeEnd w:id="0"/>
      <w:r w:rsidR="00E019AF" w:rsidRPr="007A682B">
        <w:rPr>
          <w:rStyle w:val="CommentReference"/>
          <w:rFonts w:ascii="Arial" w:hAnsi="Arial" w:cs="Arial"/>
          <w:sz w:val="20"/>
          <w:szCs w:val="20"/>
        </w:rPr>
        <w:commentReference w:id="0"/>
      </w:r>
      <w:r w:rsidR="0023586C" w:rsidRPr="007A682B">
        <w:rPr>
          <w:rFonts w:ascii="Arial" w:hAnsi="Arial" w:cs="Arial"/>
          <w:sz w:val="20"/>
          <w:szCs w:val="20"/>
        </w:rPr>
        <w:t>g</w:t>
      </w:r>
      <w:r w:rsidRPr="007A682B">
        <w:rPr>
          <w:rFonts w:ascii="Arial" w:hAnsi="Arial" w:cs="Arial"/>
          <w:sz w:val="20"/>
          <w:szCs w:val="20"/>
        </w:rPr>
        <w:t xml:space="preserve"> </w:t>
      </w:r>
      <w:r w:rsidR="0023586C" w:rsidRPr="007A682B">
        <w:rPr>
          <w:rFonts w:ascii="Arial" w:hAnsi="Arial" w:cs="Arial"/>
          <w:sz w:val="20"/>
          <w:szCs w:val="20"/>
        </w:rPr>
        <w:t xml:space="preserve">only non-vitellogenic oocytes, no testicular tissue, no vitellogenic oocytes, and </w:t>
      </w:r>
      <w:r w:rsidRPr="007A682B">
        <w:rPr>
          <w:rFonts w:ascii="Arial" w:hAnsi="Arial" w:cs="Arial"/>
          <w:sz w:val="20"/>
          <w:szCs w:val="20"/>
        </w:rPr>
        <w:t>a large volume of empty space</w:t>
      </w:r>
      <w:r w:rsidR="001C6762">
        <w:rPr>
          <w:rFonts w:ascii="Arial" w:hAnsi="Arial" w:cs="Arial"/>
          <w:sz w:val="20"/>
          <w:szCs w:val="20"/>
        </w:rPr>
        <w:t xml:space="preserve"> (see below)</w:t>
      </w:r>
      <w:r w:rsidRPr="007A682B">
        <w:rPr>
          <w:rFonts w:ascii="Arial" w:hAnsi="Arial" w:cs="Arial"/>
          <w:sz w:val="20"/>
          <w:szCs w:val="20"/>
        </w:rPr>
        <w:t>. These individuals were classified as “Late Intermediates” and their partners as “Late Intermediate Partners”. Throughout this manuscript, we refer to these various stages of sex change as “phases”.</w:t>
      </w:r>
    </w:p>
    <w:p w14:paraId="7747D916" w14:textId="60E46D98" w:rsidR="0023586C" w:rsidRPr="007A682B" w:rsidRDefault="002F5974" w:rsidP="00AE16ED">
      <w:pPr>
        <w:rPr>
          <w:rFonts w:ascii="Arial" w:hAnsi="Arial" w:cs="Arial"/>
        </w:rPr>
      </w:pPr>
      <w:r w:rsidRPr="007A682B">
        <w:rPr>
          <w:rFonts w:ascii="Arial" w:hAnsi="Arial" w:cs="Arial"/>
          <w:sz w:val="20"/>
          <w:szCs w:val="20"/>
        </w:rPr>
        <w:tab/>
      </w:r>
      <w:r w:rsidR="001E3631">
        <w:rPr>
          <w:rFonts w:ascii="Arial" w:hAnsi="Arial" w:cs="Arial"/>
          <w:sz w:val="20"/>
          <w:szCs w:val="20"/>
        </w:rPr>
        <w:t>By six months</w:t>
      </w:r>
      <w:r w:rsidRPr="007A682B">
        <w:rPr>
          <w:rFonts w:ascii="Arial" w:hAnsi="Arial" w:cs="Arial"/>
          <w:sz w:val="20"/>
          <w:szCs w:val="20"/>
        </w:rPr>
        <w:t xml:space="preserve">, </w:t>
      </w:r>
      <w:r w:rsidR="001C6762">
        <w:rPr>
          <w:rFonts w:ascii="Arial" w:hAnsi="Arial" w:cs="Arial"/>
          <w:sz w:val="20"/>
          <w:szCs w:val="20"/>
        </w:rPr>
        <w:t>I</w:t>
      </w:r>
      <w:r w:rsidRPr="007A682B">
        <w:rPr>
          <w:rFonts w:ascii="Arial" w:hAnsi="Arial" w:cs="Arial"/>
          <w:sz w:val="20"/>
          <w:szCs w:val="20"/>
        </w:rPr>
        <w:t>ntermediates</w:t>
      </w:r>
      <w:r w:rsidR="00632C04">
        <w:rPr>
          <w:rFonts w:ascii="Arial" w:hAnsi="Arial" w:cs="Arial"/>
          <w:sz w:val="20"/>
          <w:szCs w:val="20"/>
        </w:rPr>
        <w:t xml:space="preserve"> </w:t>
      </w:r>
      <w:r w:rsidRPr="007A682B">
        <w:rPr>
          <w:rFonts w:ascii="Arial" w:hAnsi="Arial" w:cs="Arial"/>
          <w:sz w:val="20"/>
          <w:szCs w:val="20"/>
        </w:rPr>
        <w:t>increased their length</w:t>
      </w:r>
      <w:r w:rsidR="00D36ACC">
        <w:rPr>
          <w:rFonts w:ascii="Arial" w:hAnsi="Arial" w:cs="Arial"/>
          <w:sz w:val="20"/>
          <w:szCs w:val="20"/>
        </w:rPr>
        <w:t xml:space="preserve"> </w:t>
      </w:r>
      <w:r w:rsidR="00D36ACC" w:rsidRPr="007A682B">
        <w:rPr>
          <w:rFonts w:ascii="Arial" w:hAnsi="Arial" w:cs="Arial"/>
          <w:sz w:val="20"/>
          <w:szCs w:val="20"/>
        </w:rPr>
        <w:t>by 7.4%</w:t>
      </w:r>
      <w:r w:rsidR="00632C04">
        <w:rPr>
          <w:rFonts w:ascii="Arial" w:hAnsi="Arial" w:cs="Arial"/>
          <w:sz w:val="20"/>
          <w:szCs w:val="20"/>
        </w:rPr>
        <w:t xml:space="preserve"> </w:t>
      </w:r>
      <w:r w:rsidR="009244C4" w:rsidRPr="007A682B">
        <w:rPr>
          <w:rFonts w:ascii="Arial" w:hAnsi="Arial" w:cs="Arial"/>
          <w:sz w:val="20"/>
          <w:szCs w:val="20"/>
        </w:rPr>
        <w:t>and mass</w:t>
      </w:r>
      <w:r w:rsidR="00D36ACC">
        <w:rPr>
          <w:rFonts w:ascii="Arial" w:hAnsi="Arial" w:cs="Arial"/>
          <w:sz w:val="20"/>
          <w:szCs w:val="20"/>
        </w:rPr>
        <w:t xml:space="preserve"> by</w:t>
      </w:r>
      <w:r w:rsidR="00632C04">
        <w:rPr>
          <w:rFonts w:ascii="Arial" w:hAnsi="Arial" w:cs="Arial"/>
          <w:sz w:val="20"/>
          <w:szCs w:val="20"/>
        </w:rPr>
        <w:t xml:space="preserve"> </w:t>
      </w:r>
      <w:r w:rsidR="00D36ACC">
        <w:rPr>
          <w:rFonts w:ascii="Arial" w:hAnsi="Arial" w:cs="Arial"/>
          <w:sz w:val="20"/>
          <w:szCs w:val="20"/>
        </w:rPr>
        <w:t>2</w:t>
      </w:r>
      <w:r w:rsidR="00D36ACC" w:rsidRPr="007A682B">
        <w:rPr>
          <w:rFonts w:ascii="Arial" w:hAnsi="Arial" w:cs="Arial"/>
          <w:sz w:val="20"/>
          <w:szCs w:val="20"/>
        </w:rPr>
        <w:t xml:space="preserve">7.5% </w:t>
      </w:r>
      <w:r w:rsidRPr="007A682B">
        <w:rPr>
          <w:rFonts w:ascii="Arial" w:hAnsi="Arial" w:cs="Arial"/>
          <w:sz w:val="20"/>
          <w:szCs w:val="20"/>
        </w:rPr>
        <w:t>whereas their partners barely changed</w:t>
      </w:r>
      <w:r w:rsidR="00D36ACC">
        <w:rPr>
          <w:rFonts w:ascii="Arial" w:hAnsi="Arial" w:cs="Arial"/>
          <w:sz w:val="20"/>
          <w:szCs w:val="20"/>
        </w:rPr>
        <w:t xml:space="preserve">. </w:t>
      </w:r>
      <w:r w:rsidR="00DC2DA9">
        <w:rPr>
          <w:rFonts w:ascii="Arial" w:hAnsi="Arial" w:cs="Arial"/>
          <w:sz w:val="20"/>
          <w:szCs w:val="20"/>
        </w:rPr>
        <w:t xml:space="preserve">The </w:t>
      </w:r>
      <w:r w:rsidR="00BB3BC8">
        <w:rPr>
          <w:rFonts w:ascii="Arial" w:hAnsi="Arial" w:cs="Arial"/>
          <w:sz w:val="20"/>
          <w:szCs w:val="20"/>
        </w:rPr>
        <w:t>L</w:t>
      </w:r>
      <w:r w:rsidR="00DC2DA9">
        <w:rPr>
          <w:rFonts w:ascii="Arial" w:hAnsi="Arial" w:cs="Arial"/>
          <w:sz w:val="20"/>
          <w:szCs w:val="20"/>
        </w:rPr>
        <w:t xml:space="preserve">ate </w:t>
      </w:r>
      <w:r w:rsidR="00BB3BC8">
        <w:rPr>
          <w:rFonts w:ascii="Arial" w:hAnsi="Arial" w:cs="Arial"/>
          <w:sz w:val="20"/>
          <w:szCs w:val="20"/>
        </w:rPr>
        <w:t>I</w:t>
      </w:r>
      <w:r w:rsidR="00DC2DA9">
        <w:rPr>
          <w:rFonts w:ascii="Arial" w:hAnsi="Arial" w:cs="Arial"/>
          <w:sz w:val="20"/>
          <w:szCs w:val="20"/>
        </w:rPr>
        <w:t xml:space="preserve">ntermediates, </w:t>
      </w:r>
      <w:r w:rsidR="00BB3BC8">
        <w:rPr>
          <w:rFonts w:ascii="Arial" w:hAnsi="Arial" w:cs="Arial"/>
          <w:sz w:val="20"/>
          <w:szCs w:val="20"/>
        </w:rPr>
        <w:t>N</w:t>
      </w:r>
      <w:r w:rsidR="00DC2DA9">
        <w:rPr>
          <w:rFonts w:ascii="Arial" w:hAnsi="Arial" w:cs="Arial"/>
          <w:sz w:val="20"/>
          <w:szCs w:val="20"/>
        </w:rPr>
        <w:t xml:space="preserve">ew </w:t>
      </w:r>
      <w:r w:rsidR="00BB3BC8">
        <w:rPr>
          <w:rFonts w:ascii="Arial" w:hAnsi="Arial" w:cs="Arial"/>
          <w:sz w:val="20"/>
          <w:szCs w:val="20"/>
        </w:rPr>
        <w:t>F</w:t>
      </w:r>
      <w:r w:rsidR="00DC2DA9">
        <w:rPr>
          <w:rFonts w:ascii="Arial" w:hAnsi="Arial" w:cs="Arial"/>
          <w:sz w:val="20"/>
          <w:szCs w:val="20"/>
        </w:rPr>
        <w:t xml:space="preserve">emale and their partners showed </w:t>
      </w:r>
      <w:r w:rsidR="003969AE">
        <w:rPr>
          <w:rFonts w:ascii="Arial" w:hAnsi="Arial" w:cs="Arial"/>
          <w:sz w:val="20"/>
          <w:szCs w:val="20"/>
        </w:rPr>
        <w:t>a similar</w:t>
      </w:r>
      <w:r w:rsidR="00DC2DA9">
        <w:rPr>
          <w:rFonts w:ascii="Arial" w:hAnsi="Arial" w:cs="Arial"/>
          <w:sz w:val="20"/>
          <w:szCs w:val="20"/>
        </w:rPr>
        <w:t xml:space="preserve"> </w:t>
      </w:r>
      <w:r w:rsidR="003969AE">
        <w:rPr>
          <w:rFonts w:ascii="Arial" w:hAnsi="Arial" w:cs="Arial"/>
          <w:sz w:val="20"/>
          <w:szCs w:val="20"/>
        </w:rPr>
        <w:t xml:space="preserve">pattern with the greatest </w:t>
      </w:r>
      <w:r w:rsidR="00DC2DA9">
        <w:rPr>
          <w:rFonts w:ascii="Arial" w:hAnsi="Arial" w:cs="Arial"/>
          <w:sz w:val="20"/>
          <w:szCs w:val="20"/>
        </w:rPr>
        <w:t>increase</w:t>
      </w:r>
      <w:r w:rsidR="003969AE">
        <w:rPr>
          <w:rFonts w:ascii="Arial" w:hAnsi="Arial" w:cs="Arial"/>
          <w:sz w:val="20"/>
          <w:szCs w:val="20"/>
        </w:rPr>
        <w:t>s</w:t>
      </w:r>
      <w:r w:rsidR="00DC2DA9">
        <w:rPr>
          <w:rFonts w:ascii="Arial" w:hAnsi="Arial" w:cs="Arial"/>
          <w:sz w:val="20"/>
          <w:szCs w:val="20"/>
        </w:rPr>
        <w:t xml:space="preserve"> in </w:t>
      </w:r>
      <w:r w:rsidR="003969AE">
        <w:rPr>
          <w:rFonts w:ascii="Arial" w:hAnsi="Arial" w:cs="Arial"/>
          <w:sz w:val="20"/>
          <w:szCs w:val="20"/>
        </w:rPr>
        <w:t xml:space="preserve">body length and mass displayed by </w:t>
      </w:r>
      <w:r w:rsidR="00DC2DA9">
        <w:rPr>
          <w:rFonts w:ascii="Arial" w:hAnsi="Arial" w:cs="Arial"/>
          <w:sz w:val="20"/>
          <w:szCs w:val="20"/>
        </w:rPr>
        <w:t xml:space="preserve">the </w:t>
      </w:r>
      <w:r w:rsidR="00BB3BC8">
        <w:rPr>
          <w:rFonts w:ascii="Arial" w:hAnsi="Arial" w:cs="Arial"/>
          <w:sz w:val="20"/>
          <w:szCs w:val="20"/>
        </w:rPr>
        <w:t>N</w:t>
      </w:r>
      <w:r w:rsidR="003969AE">
        <w:rPr>
          <w:rFonts w:ascii="Arial" w:hAnsi="Arial" w:cs="Arial"/>
          <w:sz w:val="20"/>
          <w:szCs w:val="20"/>
        </w:rPr>
        <w:t xml:space="preserve">ew </w:t>
      </w:r>
      <w:r w:rsidR="00BB3BC8">
        <w:rPr>
          <w:rFonts w:ascii="Arial" w:hAnsi="Arial" w:cs="Arial"/>
          <w:sz w:val="20"/>
          <w:szCs w:val="20"/>
        </w:rPr>
        <w:t>F</w:t>
      </w:r>
      <w:r w:rsidR="00DC2DA9">
        <w:rPr>
          <w:rFonts w:ascii="Arial" w:hAnsi="Arial" w:cs="Arial"/>
          <w:sz w:val="20"/>
          <w:szCs w:val="20"/>
        </w:rPr>
        <w:t xml:space="preserve">emale. </w:t>
      </w:r>
      <w:r w:rsidR="00D36ACC">
        <w:rPr>
          <w:rFonts w:ascii="Arial" w:hAnsi="Arial" w:cs="Arial"/>
          <w:sz w:val="20"/>
          <w:szCs w:val="20"/>
        </w:rPr>
        <w:t>These differences were significant (</w:t>
      </w:r>
      <w:r w:rsidR="00DC2DA9">
        <w:rPr>
          <w:rFonts w:ascii="Arial" w:hAnsi="Arial" w:cs="Arial"/>
          <w:sz w:val="20"/>
          <w:szCs w:val="20"/>
        </w:rPr>
        <w:t xml:space="preserve">omnibus anova for length was F(5,14)=5.5, </w:t>
      </w:r>
      <w:r w:rsidR="00DC2DA9" w:rsidRPr="00DC2DA9">
        <w:rPr>
          <w:rFonts w:ascii="Arial" w:hAnsi="Arial" w:cs="Arial"/>
          <w:i/>
          <w:iCs/>
          <w:sz w:val="20"/>
          <w:szCs w:val="20"/>
        </w:rPr>
        <w:t>p</w:t>
      </w:r>
      <w:r w:rsidR="00DC2DA9">
        <w:rPr>
          <w:rFonts w:ascii="Arial" w:hAnsi="Arial" w:cs="Arial"/>
          <w:sz w:val="20"/>
          <w:szCs w:val="20"/>
        </w:rPr>
        <w:t xml:space="preserve">=0.005, and mass, F(5,14)=9.5, </w:t>
      </w:r>
      <w:r w:rsidR="00DC2DA9" w:rsidRPr="00DC2DA9">
        <w:rPr>
          <w:rFonts w:ascii="Arial" w:hAnsi="Arial" w:cs="Arial"/>
          <w:i/>
          <w:iCs/>
          <w:sz w:val="20"/>
          <w:szCs w:val="20"/>
        </w:rPr>
        <w:t>p</w:t>
      </w:r>
      <w:r w:rsidR="00DC2DA9">
        <w:rPr>
          <w:rFonts w:ascii="Arial" w:hAnsi="Arial" w:cs="Arial"/>
          <w:sz w:val="20"/>
          <w:szCs w:val="20"/>
        </w:rPr>
        <w:t xml:space="preserve">=0.0004; </w:t>
      </w:r>
      <w:r w:rsidR="00D36ACC">
        <w:rPr>
          <w:rFonts w:ascii="Arial" w:hAnsi="Arial" w:cs="Arial"/>
          <w:sz w:val="20"/>
          <w:szCs w:val="20"/>
        </w:rPr>
        <w:t xml:space="preserve">See </w:t>
      </w:r>
      <w:r w:rsidR="009244C4" w:rsidRPr="003969AE">
        <w:rPr>
          <w:rFonts w:ascii="Arial" w:hAnsi="Arial" w:cs="Arial"/>
          <w:sz w:val="20"/>
          <w:szCs w:val="20"/>
          <w:highlight w:val="yellow"/>
        </w:rPr>
        <w:t>Fig. S1 A,</w:t>
      </w:r>
      <w:r w:rsidR="00632C04" w:rsidRPr="003969AE">
        <w:rPr>
          <w:rFonts w:ascii="Arial" w:hAnsi="Arial" w:cs="Arial"/>
          <w:sz w:val="20"/>
          <w:szCs w:val="20"/>
          <w:highlight w:val="yellow"/>
        </w:rPr>
        <w:t xml:space="preserve"> </w:t>
      </w:r>
      <w:r w:rsidR="009244C4" w:rsidRPr="003969AE">
        <w:rPr>
          <w:rFonts w:ascii="Arial" w:hAnsi="Arial" w:cs="Arial"/>
          <w:sz w:val="20"/>
          <w:szCs w:val="20"/>
          <w:highlight w:val="yellow"/>
        </w:rPr>
        <w:t>B</w:t>
      </w:r>
      <w:r w:rsidR="003969AE" w:rsidRPr="003969AE">
        <w:rPr>
          <w:rFonts w:ascii="Arial" w:hAnsi="Arial" w:cs="Arial"/>
          <w:sz w:val="20"/>
          <w:szCs w:val="20"/>
          <w:highlight w:val="yellow"/>
        </w:rPr>
        <w:t>; Appendix sxx</w:t>
      </w:r>
      <w:commentRangeStart w:id="1"/>
      <w:r w:rsidR="00BB3BC8">
        <w:rPr>
          <w:rFonts w:ascii="Arial" w:hAnsi="Arial" w:cs="Arial"/>
          <w:sz w:val="20"/>
          <w:szCs w:val="20"/>
        </w:rPr>
        <w:t xml:space="preserve"> for posthoc tests</w:t>
      </w:r>
      <w:r w:rsidR="00D36ACC">
        <w:rPr>
          <w:rFonts w:ascii="Arial" w:hAnsi="Arial" w:cs="Arial"/>
          <w:sz w:val="20"/>
          <w:szCs w:val="20"/>
        </w:rPr>
        <w:t>)</w:t>
      </w:r>
      <w:commentRangeEnd w:id="1"/>
      <w:r w:rsidR="00BB3BC8" w:rsidRPr="007A682B">
        <w:rPr>
          <w:rStyle w:val="CommentReference"/>
          <w:rFonts w:ascii="Arial" w:hAnsi="Arial" w:cs="Arial"/>
          <w:sz w:val="20"/>
          <w:szCs w:val="20"/>
        </w:rPr>
        <w:commentReference w:id="1"/>
      </w:r>
      <w:r w:rsidR="001C3785" w:rsidRPr="007A682B">
        <w:rPr>
          <w:rFonts w:ascii="Arial" w:hAnsi="Arial" w:cs="Arial"/>
          <w:sz w:val="20"/>
          <w:szCs w:val="20"/>
        </w:rPr>
        <w:t xml:space="preserve">. </w:t>
      </w:r>
    </w:p>
    <w:p w14:paraId="3E18E491" w14:textId="4E4F36F8" w:rsidR="0018081A" w:rsidRPr="007A682B" w:rsidRDefault="0018081A" w:rsidP="0018081A">
      <w:pPr>
        <w:ind w:firstLine="720"/>
        <w:rPr>
          <w:rFonts w:ascii="Arial" w:hAnsi="Arial" w:cs="Arial"/>
          <w:sz w:val="20"/>
          <w:szCs w:val="20"/>
        </w:rPr>
      </w:pPr>
      <w:r w:rsidRPr="007A682B">
        <w:rPr>
          <w:rFonts w:ascii="Arial" w:hAnsi="Arial" w:cs="Arial"/>
          <w:sz w:val="20"/>
          <w:szCs w:val="20"/>
        </w:rPr>
        <w:t xml:space="preserve">To assess the behavioral sex of the fish, we used a parental-care assay which has been shown to produce robust differences between males and females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{"citationID":"RIxgXoHZ","properties":{"formattedCitation":"(7, 14\\uc0\\u8211{}18)","plainCitation":"(7, 14–18)","noteIndex":0},"citationItems":[{"id":43,"uris":["http://zotero.org/users/11313215/items/TBICN8KA"],"itemData":{"id":43,"type":"article-journal","abstract":"Many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304DDF">
        <w:rPr>
          <w:rFonts w:ascii="Cambria Math" w:hAnsi="Cambria Math" w:cs="Cambria Math"/>
          <w:sz w:val="20"/>
          <w:szCs w:val="20"/>
        </w:rPr>
        <w:instrText>ﬀ</w:instrText>
      </w:r>
      <w:r w:rsidR="00304DDF">
        <w:rPr>
          <w:rFonts w:ascii="Arial" w:hAnsi="Arial" w:cs="Arial"/>
          <w:sz w:val="20"/>
          <w:szCs w:val="20"/>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304DDF">
        <w:rPr>
          <w:rFonts w:ascii="Cambria Math" w:hAnsi="Cambria Math" w:cs="Cambria Math"/>
          <w:sz w:val="20"/>
          <w:szCs w:val="20"/>
        </w:rPr>
        <w:instrText>ﬀ</w:instrText>
      </w:r>
      <w:r w:rsidR="00304DDF">
        <w:rPr>
          <w:rFonts w:ascii="Arial" w:hAnsi="Arial" w:cs="Arial"/>
          <w:sz w:val="20"/>
          <w:szCs w:val="20"/>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304DDF">
        <w:rPr>
          <w:rFonts w:ascii="Cambria Math" w:hAnsi="Cambria Math" w:cs="Cambria Math"/>
          <w:sz w:val="20"/>
          <w:szCs w:val="20"/>
        </w:rPr>
        <w:instrText>ﬀ</w:instrText>
      </w:r>
      <w:r w:rsidR="00304DDF">
        <w:rPr>
          <w:rFonts w:ascii="Arial" w:hAnsi="Arial" w:cs="Arial"/>
          <w:sz w:val="20"/>
          <w:szCs w:val="20"/>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304DDF">
        <w:rPr>
          <w:rFonts w:ascii="Cambria Math" w:hAnsi="Cambria Math" w:cs="Cambria Math"/>
          <w:sz w:val="20"/>
          <w:szCs w:val="20"/>
        </w:rPr>
        <w:instrText>ﬀ</w:instrText>
      </w:r>
      <w:r w:rsidR="00304DDF">
        <w:rPr>
          <w:rFonts w:ascii="Arial" w:hAnsi="Arial" w:cs="Arial"/>
          <w:sz w:val="20"/>
          <w:szCs w:val="20"/>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hAnsi="Arial" w:cs="Arial"/>
          <w:sz w:val="20"/>
          <w:szCs w:val="20"/>
        </w:rPr>
        <w:fldChar w:fldCharType="separate"/>
      </w:r>
      <w:r w:rsidR="00304DDF" w:rsidRPr="00304DDF">
        <w:rPr>
          <w:rFonts w:ascii="Arial" w:hAnsi="Arial" w:cs="Arial"/>
          <w:color w:val="000000"/>
          <w:kern w:val="0"/>
          <w:sz w:val="20"/>
          <w:szCs w:val="24"/>
        </w:rPr>
        <w:t>(7, 14–18)</w:t>
      </w:r>
      <w:r w:rsidRPr="007A682B">
        <w:rPr>
          <w:rFonts w:ascii="Arial" w:hAnsi="Arial" w:cs="Arial"/>
          <w:sz w:val="20"/>
          <w:szCs w:val="20"/>
        </w:rPr>
        <w:fldChar w:fldCharType="end"/>
      </w:r>
      <w:r w:rsidRPr="007A682B">
        <w:rPr>
          <w:rFonts w:ascii="Arial" w:hAnsi="Arial" w:cs="Arial"/>
          <w:sz w:val="20"/>
          <w:szCs w:val="20"/>
        </w:rPr>
        <w:t>. As expected,</w:t>
      </w:r>
      <w:r w:rsidR="00632C04">
        <w:rPr>
          <w:rFonts w:ascii="Arial" w:hAnsi="Arial" w:cs="Arial"/>
          <w:sz w:val="20"/>
          <w:szCs w:val="20"/>
        </w:rPr>
        <w:t xml:space="preserve"> </w:t>
      </w:r>
      <w:r w:rsidR="001C6762">
        <w:rPr>
          <w:rFonts w:ascii="Arial" w:hAnsi="Arial" w:cs="Arial"/>
          <w:sz w:val="20"/>
          <w:szCs w:val="20"/>
        </w:rPr>
        <w:t>M</w:t>
      </w:r>
      <w:r w:rsidRPr="007A682B">
        <w:rPr>
          <w:rFonts w:ascii="Arial" w:hAnsi="Arial" w:cs="Arial"/>
          <w:sz w:val="20"/>
          <w:szCs w:val="20"/>
        </w:rPr>
        <w:t xml:space="preserve">ales </w:t>
      </w:r>
      <w:r w:rsidRPr="007207D1">
        <w:rPr>
          <w:rFonts w:ascii="Arial" w:hAnsi="Arial" w:cs="Arial"/>
          <w:sz w:val="20"/>
          <w:szCs w:val="20"/>
        </w:rPr>
        <w:t xml:space="preserve">performed </w:t>
      </w:r>
      <w:r w:rsidR="007207D1">
        <w:rPr>
          <w:rFonts w:ascii="Arial" w:hAnsi="Arial" w:cs="Arial"/>
          <w:sz w:val="20"/>
          <w:szCs w:val="20"/>
        </w:rPr>
        <w:t>2.2-fold</w:t>
      </w:r>
      <w:r w:rsidR="00713BC1" w:rsidRPr="007A682B">
        <w:rPr>
          <w:rFonts w:ascii="Arial" w:hAnsi="Arial" w:cs="Arial"/>
          <w:sz w:val="20"/>
          <w:szCs w:val="20"/>
        </w:rPr>
        <w:t xml:space="preserve"> </w:t>
      </w:r>
      <w:r w:rsidRPr="007A682B">
        <w:rPr>
          <w:rFonts w:ascii="Arial" w:hAnsi="Arial" w:cs="Arial"/>
          <w:sz w:val="20"/>
          <w:szCs w:val="20"/>
        </w:rPr>
        <w:t>more parental care behaviors</w:t>
      </w:r>
      <w:r w:rsidR="00D36ACC">
        <w:rPr>
          <w:rFonts w:ascii="Arial" w:hAnsi="Arial" w:cs="Arial"/>
          <w:sz w:val="20"/>
          <w:szCs w:val="20"/>
        </w:rPr>
        <w:t xml:space="preserve"> </w:t>
      </w:r>
      <w:r w:rsidRPr="007A682B">
        <w:rPr>
          <w:rFonts w:ascii="Arial" w:hAnsi="Arial" w:cs="Arial"/>
          <w:sz w:val="20"/>
          <w:szCs w:val="20"/>
        </w:rPr>
        <w:t xml:space="preserve">and spent </w:t>
      </w:r>
      <w:r w:rsidR="007207D1">
        <w:rPr>
          <w:rFonts w:ascii="Arial" w:hAnsi="Arial" w:cs="Arial"/>
          <w:sz w:val="20"/>
          <w:szCs w:val="20"/>
        </w:rPr>
        <w:t>1.7-fold</w:t>
      </w:r>
      <w:r w:rsidR="00C82188" w:rsidRPr="007207D1">
        <w:rPr>
          <w:rFonts w:ascii="Arial" w:hAnsi="Arial" w:cs="Arial"/>
          <w:sz w:val="20"/>
          <w:szCs w:val="20"/>
        </w:rPr>
        <w:t xml:space="preserve"> </w:t>
      </w:r>
      <w:r w:rsidR="00632C04">
        <w:rPr>
          <w:rFonts w:ascii="Arial" w:hAnsi="Arial" w:cs="Arial"/>
          <w:sz w:val="20"/>
          <w:szCs w:val="20"/>
        </w:rPr>
        <w:t>more time</w:t>
      </w:r>
      <w:r w:rsidRPr="007A682B">
        <w:rPr>
          <w:rFonts w:ascii="Arial" w:hAnsi="Arial" w:cs="Arial"/>
          <w:sz w:val="20"/>
          <w:szCs w:val="20"/>
        </w:rPr>
        <w:t xml:space="preserve"> in the nest than their </w:t>
      </w:r>
      <w:r w:rsidR="001C6762">
        <w:rPr>
          <w:rFonts w:ascii="Arial" w:hAnsi="Arial" w:cs="Arial"/>
          <w:sz w:val="20"/>
          <w:szCs w:val="20"/>
        </w:rPr>
        <w:t>F</w:t>
      </w:r>
      <w:r w:rsidRPr="007A682B">
        <w:rPr>
          <w:rFonts w:ascii="Arial" w:hAnsi="Arial" w:cs="Arial"/>
          <w:sz w:val="20"/>
          <w:szCs w:val="20"/>
        </w:rPr>
        <w:t>emale partners.</w:t>
      </w:r>
      <w:r w:rsidR="00F7225B">
        <w:rPr>
          <w:rFonts w:ascii="Arial" w:hAnsi="Arial" w:cs="Arial"/>
          <w:sz w:val="20"/>
          <w:szCs w:val="20"/>
        </w:rPr>
        <w:t xml:space="preserve"> </w:t>
      </w:r>
      <w:r w:rsidRPr="007A682B">
        <w:rPr>
          <w:rFonts w:ascii="Arial" w:hAnsi="Arial" w:cs="Arial"/>
          <w:sz w:val="20"/>
          <w:szCs w:val="20"/>
        </w:rPr>
        <w:t>In agreement with previous results</w:t>
      </w:r>
      <w:r w:rsidR="002108AE"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{"citationID":"zLifntjj","properties":{"formattedCitation":"(7)","plainCitation":"(7)","noteIndex":0},"citationItems":[{"id":43,"uris":["http://zotero.org/users/11313215/items/TBICN8KA"],"itemData":{"id":43,"type":"article-journal","abstract":"Many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(7)</w:t>
      </w:r>
      <w:r w:rsidRPr="007A682B">
        <w:rPr>
          <w:rFonts w:ascii="Arial" w:hAnsi="Arial" w:cs="Arial"/>
          <w:sz w:val="20"/>
          <w:szCs w:val="20"/>
        </w:rPr>
        <w:fldChar w:fldCharType="end"/>
      </w:r>
      <w:r w:rsidRPr="007A682B">
        <w:rPr>
          <w:rFonts w:ascii="Arial" w:hAnsi="Arial" w:cs="Arial"/>
          <w:sz w:val="20"/>
          <w:szCs w:val="20"/>
        </w:rPr>
        <w:t xml:space="preserve">, </w:t>
      </w:r>
      <w:r w:rsidR="001C6762">
        <w:rPr>
          <w:rFonts w:ascii="Arial" w:hAnsi="Arial" w:cs="Arial"/>
          <w:sz w:val="20"/>
          <w:szCs w:val="20"/>
        </w:rPr>
        <w:t>I</w:t>
      </w:r>
      <w:r w:rsidRPr="007A682B">
        <w:rPr>
          <w:rFonts w:ascii="Arial" w:hAnsi="Arial" w:cs="Arial"/>
          <w:sz w:val="20"/>
          <w:szCs w:val="20"/>
        </w:rPr>
        <w:t xml:space="preserve">ntermediates retained </w:t>
      </w:r>
      <w:r w:rsidR="001C6762">
        <w:rPr>
          <w:rFonts w:ascii="Arial" w:hAnsi="Arial" w:cs="Arial"/>
          <w:sz w:val="20"/>
          <w:szCs w:val="20"/>
        </w:rPr>
        <w:t>M</w:t>
      </w:r>
      <w:r w:rsidRPr="007A682B">
        <w:rPr>
          <w:rFonts w:ascii="Arial" w:hAnsi="Arial" w:cs="Arial"/>
          <w:sz w:val="20"/>
          <w:szCs w:val="20"/>
        </w:rPr>
        <w:t>ale levels of parental</w:t>
      </w:r>
      <w:r w:rsidR="00632C04">
        <w:rPr>
          <w:rFonts w:ascii="Arial" w:hAnsi="Arial" w:cs="Arial"/>
          <w:sz w:val="20"/>
          <w:szCs w:val="20"/>
        </w:rPr>
        <w:t xml:space="preserve"> care.</w:t>
      </w:r>
      <w:r w:rsidRPr="007A682B">
        <w:rPr>
          <w:rFonts w:ascii="Arial" w:hAnsi="Arial" w:cs="Arial"/>
          <w:sz w:val="20"/>
          <w:szCs w:val="20"/>
        </w:rPr>
        <w:t xml:space="preserve"> Late </w:t>
      </w:r>
      <w:r w:rsidR="001C6762">
        <w:rPr>
          <w:rFonts w:ascii="Arial" w:hAnsi="Arial" w:cs="Arial"/>
          <w:sz w:val="20"/>
          <w:szCs w:val="20"/>
        </w:rPr>
        <w:t>I</w:t>
      </w:r>
      <w:r w:rsidRPr="007A682B">
        <w:rPr>
          <w:rFonts w:ascii="Arial" w:hAnsi="Arial" w:cs="Arial"/>
          <w:sz w:val="20"/>
          <w:szCs w:val="20"/>
        </w:rPr>
        <w:t xml:space="preserve">ntermediates and their partners’ behavior aligned with </w:t>
      </w:r>
      <w:r w:rsidR="003E76A2">
        <w:rPr>
          <w:rFonts w:ascii="Arial" w:hAnsi="Arial" w:cs="Arial"/>
          <w:sz w:val="20"/>
          <w:szCs w:val="20"/>
        </w:rPr>
        <w:t>F</w:t>
      </w:r>
      <w:r w:rsidRPr="007A682B">
        <w:rPr>
          <w:rFonts w:ascii="Arial" w:hAnsi="Arial" w:cs="Arial"/>
          <w:sz w:val="20"/>
          <w:szCs w:val="20"/>
        </w:rPr>
        <w:t xml:space="preserve">emale and </w:t>
      </w:r>
      <w:r w:rsidR="003E76A2">
        <w:rPr>
          <w:rFonts w:ascii="Arial" w:hAnsi="Arial" w:cs="Arial"/>
          <w:sz w:val="20"/>
          <w:szCs w:val="20"/>
        </w:rPr>
        <w:t>M</w:t>
      </w:r>
      <w:r w:rsidRPr="007A682B">
        <w:rPr>
          <w:rFonts w:ascii="Arial" w:hAnsi="Arial" w:cs="Arial"/>
          <w:sz w:val="20"/>
          <w:szCs w:val="20"/>
        </w:rPr>
        <w:t xml:space="preserve">ale patterns of behavior respectively as did the </w:t>
      </w:r>
      <w:r w:rsidR="001C6762">
        <w:rPr>
          <w:rFonts w:ascii="Arial" w:hAnsi="Arial" w:cs="Arial"/>
          <w:sz w:val="20"/>
          <w:szCs w:val="20"/>
        </w:rPr>
        <w:t>N</w:t>
      </w:r>
      <w:r w:rsidRPr="007A682B">
        <w:rPr>
          <w:rFonts w:ascii="Arial" w:hAnsi="Arial" w:cs="Arial"/>
          <w:sz w:val="20"/>
          <w:szCs w:val="20"/>
        </w:rPr>
        <w:t xml:space="preserve">ew </w:t>
      </w:r>
      <w:r w:rsidR="001C6762">
        <w:rPr>
          <w:rFonts w:ascii="Arial" w:hAnsi="Arial" w:cs="Arial"/>
          <w:sz w:val="20"/>
          <w:szCs w:val="20"/>
        </w:rPr>
        <w:t>F</w:t>
      </w:r>
      <w:r w:rsidRPr="007A682B">
        <w:rPr>
          <w:rFonts w:ascii="Arial" w:hAnsi="Arial" w:cs="Arial"/>
          <w:sz w:val="20"/>
          <w:szCs w:val="20"/>
        </w:rPr>
        <w:t xml:space="preserve">emale and </w:t>
      </w:r>
      <w:r w:rsidR="001C6762">
        <w:rPr>
          <w:rFonts w:ascii="Arial" w:hAnsi="Arial" w:cs="Arial"/>
          <w:sz w:val="20"/>
          <w:szCs w:val="20"/>
        </w:rPr>
        <w:t>N</w:t>
      </w:r>
      <w:r w:rsidRPr="007A682B">
        <w:rPr>
          <w:rFonts w:ascii="Arial" w:hAnsi="Arial" w:cs="Arial"/>
          <w:sz w:val="20"/>
          <w:szCs w:val="20"/>
        </w:rPr>
        <w:t xml:space="preserve">ew </w:t>
      </w:r>
      <w:r w:rsidR="001C6762">
        <w:rPr>
          <w:rFonts w:ascii="Arial" w:hAnsi="Arial" w:cs="Arial"/>
          <w:sz w:val="20"/>
          <w:szCs w:val="20"/>
        </w:rPr>
        <w:t>M</w:t>
      </w:r>
      <w:r w:rsidRPr="007A682B">
        <w:rPr>
          <w:rFonts w:ascii="Arial" w:hAnsi="Arial" w:cs="Arial"/>
          <w:sz w:val="20"/>
          <w:szCs w:val="20"/>
        </w:rPr>
        <w:t xml:space="preserve">ale. </w:t>
      </w:r>
      <w:r w:rsidR="00235034">
        <w:rPr>
          <w:rFonts w:ascii="Arial" w:hAnsi="Arial" w:cs="Arial"/>
          <w:sz w:val="20"/>
          <w:szCs w:val="20"/>
        </w:rPr>
        <w:t>These differences were supported by a significant omnibus anova (</w:t>
      </w:r>
      <w:r w:rsidR="00BA565C">
        <w:rPr>
          <w:rFonts w:ascii="Arial" w:hAnsi="Arial" w:cs="Arial"/>
          <w:sz w:val="20"/>
          <w:szCs w:val="20"/>
        </w:rPr>
        <w:t xml:space="preserve"># parental acts, </w:t>
      </w:r>
      <w:r w:rsidR="00235034">
        <w:rPr>
          <w:rFonts w:ascii="Arial" w:hAnsi="Arial" w:cs="Arial"/>
          <w:sz w:val="20"/>
          <w:szCs w:val="20"/>
        </w:rPr>
        <w:t xml:space="preserve">F(7, 24)=2.479, </w:t>
      </w:r>
      <w:r w:rsidR="00235034" w:rsidRPr="00632C04">
        <w:rPr>
          <w:rFonts w:ascii="Arial" w:hAnsi="Arial" w:cs="Arial"/>
          <w:i/>
          <w:iCs/>
          <w:sz w:val="20"/>
          <w:szCs w:val="20"/>
        </w:rPr>
        <w:t>p</w:t>
      </w:r>
      <w:r w:rsidR="00235034">
        <w:rPr>
          <w:rFonts w:ascii="Arial" w:hAnsi="Arial" w:cs="Arial"/>
          <w:sz w:val="20"/>
          <w:szCs w:val="20"/>
        </w:rPr>
        <w:t xml:space="preserve"> = 0.046; </w:t>
      </w:r>
      <w:r w:rsidR="00BA565C">
        <w:rPr>
          <w:rFonts w:ascii="Arial" w:hAnsi="Arial" w:cs="Arial"/>
          <w:sz w:val="20"/>
          <w:szCs w:val="20"/>
        </w:rPr>
        <w:t xml:space="preserve">time in nest, </w:t>
      </w:r>
      <w:r w:rsidR="00235034">
        <w:rPr>
          <w:rFonts w:ascii="Arial" w:hAnsi="Arial" w:cs="Arial"/>
          <w:sz w:val="20"/>
          <w:szCs w:val="20"/>
        </w:rPr>
        <w:t>F(7, 24)=</w:t>
      </w:r>
      <w:r w:rsidR="00BA565C">
        <w:rPr>
          <w:rFonts w:ascii="Arial" w:hAnsi="Arial" w:cs="Arial"/>
          <w:sz w:val="20"/>
          <w:szCs w:val="20"/>
        </w:rPr>
        <w:t>3.1</w:t>
      </w:r>
      <w:r w:rsidR="00235034">
        <w:rPr>
          <w:rFonts w:ascii="Arial" w:hAnsi="Arial" w:cs="Arial"/>
          <w:sz w:val="20"/>
          <w:szCs w:val="20"/>
        </w:rPr>
        <w:t xml:space="preserve">, </w:t>
      </w:r>
      <w:r w:rsidR="00235034" w:rsidRPr="00632C04">
        <w:rPr>
          <w:rFonts w:ascii="Arial" w:hAnsi="Arial" w:cs="Arial"/>
          <w:i/>
          <w:iCs/>
          <w:sz w:val="20"/>
          <w:szCs w:val="20"/>
        </w:rPr>
        <w:t>p</w:t>
      </w:r>
      <w:r w:rsidR="00235034">
        <w:rPr>
          <w:rFonts w:ascii="Arial" w:hAnsi="Arial" w:cs="Arial"/>
          <w:sz w:val="20"/>
          <w:szCs w:val="20"/>
        </w:rPr>
        <w:t xml:space="preserve"> = 0.0</w:t>
      </w:r>
      <w:r w:rsidR="00BA565C">
        <w:rPr>
          <w:rFonts w:ascii="Arial" w:hAnsi="Arial" w:cs="Arial"/>
          <w:sz w:val="20"/>
          <w:szCs w:val="20"/>
        </w:rPr>
        <w:t>2</w:t>
      </w:r>
      <w:r w:rsidR="00235034">
        <w:rPr>
          <w:rFonts w:ascii="Arial" w:hAnsi="Arial" w:cs="Arial"/>
          <w:sz w:val="20"/>
          <w:szCs w:val="20"/>
        </w:rPr>
        <w:t xml:space="preserve">), and pairwise posthoc tests </w:t>
      </w:r>
      <w:r w:rsidR="00235034" w:rsidRPr="007A682B">
        <w:rPr>
          <w:rFonts w:ascii="Arial" w:hAnsi="Arial" w:cs="Arial"/>
          <w:sz w:val="20"/>
          <w:szCs w:val="20"/>
          <w:highlight w:val="yellow"/>
        </w:rPr>
        <w:t>(Fig.1B</w:t>
      </w:r>
      <w:r w:rsidR="00235034" w:rsidRPr="007A682B">
        <w:rPr>
          <w:rFonts w:ascii="Arial" w:hAnsi="Arial" w:cs="Arial"/>
          <w:sz w:val="20"/>
          <w:szCs w:val="20"/>
        </w:rPr>
        <w:t xml:space="preserve">, </w:t>
      </w:r>
      <w:r w:rsidR="00235034" w:rsidRPr="00632C04">
        <w:rPr>
          <w:rFonts w:ascii="Arial" w:hAnsi="Arial" w:cs="Arial"/>
          <w:sz w:val="20"/>
          <w:szCs w:val="20"/>
          <w:highlight w:val="yellow"/>
        </w:rPr>
        <w:t>Appendix s</w:t>
      </w:r>
      <w:r w:rsidR="00235034" w:rsidRPr="004A27C9">
        <w:rPr>
          <w:rFonts w:ascii="Arial" w:hAnsi="Arial" w:cs="Arial"/>
          <w:sz w:val="20"/>
          <w:szCs w:val="20"/>
          <w:highlight w:val="yellow"/>
        </w:rPr>
        <w:t>xx</w:t>
      </w:r>
      <w:r w:rsidR="00235034" w:rsidRPr="007A682B">
        <w:rPr>
          <w:rFonts w:ascii="Arial" w:hAnsi="Arial" w:cs="Arial"/>
          <w:sz w:val="20"/>
          <w:szCs w:val="20"/>
        </w:rPr>
        <w:t>)</w:t>
      </w:r>
      <w:r w:rsidR="00235034">
        <w:rPr>
          <w:rFonts w:ascii="Arial" w:hAnsi="Arial" w:cs="Arial"/>
          <w:sz w:val="20"/>
          <w:szCs w:val="20"/>
        </w:rPr>
        <w:t>.</w:t>
      </w:r>
    </w:p>
    <w:p w14:paraId="5C055867" w14:textId="5AC4A760" w:rsidR="0018081A" w:rsidRPr="007A682B" w:rsidRDefault="002108AE" w:rsidP="0018081A">
      <w:pPr>
        <w:ind w:firstLine="720"/>
        <w:rPr>
          <w:rFonts w:ascii="Arial" w:hAnsi="Arial" w:cs="Arial"/>
          <w:sz w:val="20"/>
          <w:szCs w:val="20"/>
        </w:rPr>
      </w:pPr>
      <w:r w:rsidRPr="007A682B">
        <w:rPr>
          <w:rFonts w:ascii="Arial" w:hAnsi="Arial" w:cs="Arial"/>
          <w:sz w:val="20"/>
          <w:szCs w:val="20"/>
        </w:rPr>
        <w:t>We</w:t>
      </w:r>
      <w:r w:rsidR="0018081A" w:rsidRPr="007A682B">
        <w:rPr>
          <w:rFonts w:ascii="Arial" w:hAnsi="Arial" w:cs="Arial"/>
          <w:sz w:val="20"/>
          <w:szCs w:val="20"/>
        </w:rPr>
        <w:t xml:space="preserve"> </w:t>
      </w:r>
      <w:r w:rsidRPr="007A682B">
        <w:rPr>
          <w:rFonts w:ascii="Arial" w:hAnsi="Arial" w:cs="Arial"/>
          <w:sz w:val="20"/>
          <w:szCs w:val="20"/>
        </w:rPr>
        <w:t>next</w:t>
      </w:r>
      <w:r w:rsidR="0018081A" w:rsidRPr="007A682B">
        <w:rPr>
          <w:rFonts w:ascii="Arial" w:hAnsi="Arial" w:cs="Arial"/>
          <w:sz w:val="20"/>
          <w:szCs w:val="20"/>
        </w:rPr>
        <w:t xml:space="preserve"> </w:t>
      </w:r>
      <w:r w:rsidRPr="007A682B">
        <w:rPr>
          <w:rFonts w:ascii="Arial" w:hAnsi="Arial" w:cs="Arial"/>
          <w:sz w:val="20"/>
          <w:szCs w:val="20"/>
        </w:rPr>
        <w:t>measured</w:t>
      </w:r>
      <w:r w:rsidR="0018081A" w:rsidRPr="007A682B">
        <w:rPr>
          <w:rFonts w:ascii="Arial" w:hAnsi="Arial" w:cs="Arial"/>
          <w:sz w:val="20"/>
          <w:szCs w:val="20"/>
        </w:rPr>
        <w:t xml:space="preserve"> circulating levels of 11-ketotestosterone (11KT), the primary bioactive androgen in teleosts</w:t>
      </w:r>
      <w:r w:rsidR="007F07B7" w:rsidRPr="007A682B">
        <w:rPr>
          <w:rFonts w:ascii="Arial" w:hAnsi="Arial" w:cs="Arial"/>
          <w:sz w:val="20"/>
          <w:szCs w:val="20"/>
        </w:rPr>
        <w:t>,</w:t>
      </w:r>
      <w:r w:rsidR="0018081A" w:rsidRPr="007A682B">
        <w:rPr>
          <w:rFonts w:ascii="Arial" w:hAnsi="Arial" w:cs="Arial"/>
          <w:sz w:val="20"/>
          <w:szCs w:val="20"/>
        </w:rPr>
        <w:t xml:space="preserve"> </w:t>
      </w:r>
      <w:r w:rsidRPr="007A682B">
        <w:rPr>
          <w:rFonts w:ascii="Arial" w:hAnsi="Arial" w:cs="Arial"/>
          <w:sz w:val="20"/>
          <w:szCs w:val="20"/>
        </w:rPr>
        <w:t>which</w:t>
      </w:r>
      <w:r w:rsidR="0018081A" w:rsidRPr="007A682B">
        <w:rPr>
          <w:rFonts w:ascii="Arial" w:hAnsi="Arial" w:cs="Arial"/>
          <w:sz w:val="20"/>
          <w:szCs w:val="20"/>
        </w:rPr>
        <w:t xml:space="preserve"> displays </w:t>
      </w:r>
      <w:r w:rsidR="001C6762">
        <w:rPr>
          <w:rFonts w:ascii="Arial" w:hAnsi="Arial" w:cs="Arial"/>
          <w:sz w:val="20"/>
          <w:szCs w:val="20"/>
        </w:rPr>
        <w:t>robust</w:t>
      </w:r>
      <w:r w:rsidR="0018081A" w:rsidRPr="007A682B">
        <w:rPr>
          <w:rFonts w:ascii="Arial" w:hAnsi="Arial" w:cs="Arial"/>
          <w:sz w:val="20"/>
          <w:szCs w:val="20"/>
        </w:rPr>
        <w:t xml:space="preserve"> sexual dimorphism. Like behavior</w:t>
      </w:r>
      <w:r w:rsidR="007207D1">
        <w:rPr>
          <w:rFonts w:ascii="Arial" w:hAnsi="Arial" w:cs="Arial"/>
          <w:sz w:val="20"/>
          <w:szCs w:val="20"/>
        </w:rPr>
        <w:t xml:space="preserve"> </w:t>
      </w:r>
      <w:r w:rsidR="001C6762">
        <w:rPr>
          <w:rFonts w:ascii="Arial" w:hAnsi="Arial" w:cs="Arial"/>
          <w:sz w:val="20"/>
          <w:szCs w:val="20"/>
        </w:rPr>
        <w:t>I</w:t>
      </w:r>
      <w:r w:rsidR="0018081A" w:rsidRPr="007A682B">
        <w:rPr>
          <w:rFonts w:ascii="Arial" w:hAnsi="Arial" w:cs="Arial"/>
          <w:sz w:val="20"/>
          <w:szCs w:val="20"/>
        </w:rPr>
        <w:t xml:space="preserve">ntermediates retained </w:t>
      </w:r>
      <w:r w:rsidR="001C6762">
        <w:rPr>
          <w:rFonts w:ascii="Arial" w:hAnsi="Arial" w:cs="Arial"/>
          <w:sz w:val="20"/>
          <w:szCs w:val="20"/>
        </w:rPr>
        <w:t>M</w:t>
      </w:r>
      <w:r w:rsidR="0018081A" w:rsidRPr="007A682B">
        <w:rPr>
          <w:rFonts w:ascii="Arial" w:hAnsi="Arial" w:cs="Arial"/>
          <w:sz w:val="20"/>
          <w:szCs w:val="20"/>
        </w:rPr>
        <w:t>ale levels</w:t>
      </w:r>
      <w:r w:rsidR="007207D1">
        <w:rPr>
          <w:rFonts w:ascii="Arial" w:hAnsi="Arial" w:cs="Arial"/>
          <w:sz w:val="20"/>
          <w:szCs w:val="20"/>
        </w:rPr>
        <w:t xml:space="preserve">, both approximately </w:t>
      </w:r>
      <w:commentRangeStart w:id="2"/>
      <w:commentRangeStart w:id="3"/>
      <w:r w:rsidR="007207D1">
        <w:rPr>
          <w:rFonts w:ascii="Arial" w:hAnsi="Arial" w:cs="Arial"/>
          <w:sz w:val="20"/>
          <w:szCs w:val="20"/>
        </w:rPr>
        <w:t>1.</w:t>
      </w:r>
      <w:r w:rsidR="009D76F1">
        <w:rPr>
          <w:rFonts w:ascii="Arial" w:hAnsi="Arial" w:cs="Arial"/>
          <w:sz w:val="20"/>
          <w:szCs w:val="20"/>
        </w:rPr>
        <w:t>8</w:t>
      </w:r>
      <w:r w:rsidR="007207D1">
        <w:rPr>
          <w:rFonts w:ascii="Arial" w:hAnsi="Arial" w:cs="Arial"/>
          <w:sz w:val="20"/>
          <w:szCs w:val="20"/>
        </w:rPr>
        <w:t xml:space="preserve">-fold </w:t>
      </w:r>
      <w:commentRangeEnd w:id="2"/>
      <w:r w:rsidR="00861E9A">
        <w:rPr>
          <w:rStyle w:val="CommentReference"/>
          <w:rFonts w:ascii="Arial" w:hAnsi="Arial" w:cs="Arial"/>
          <w:sz w:val="20"/>
          <w:szCs w:val="20"/>
        </w:rPr>
        <w:commentReference w:id="2"/>
      </w:r>
      <w:commentRangeEnd w:id="3"/>
      <w:r w:rsidR="000C5206">
        <w:rPr>
          <w:rStyle w:val="CommentReference"/>
          <w:rFonts w:ascii="Arial" w:hAnsi="Arial" w:cs="Arial"/>
          <w:sz w:val="20"/>
          <w:szCs w:val="20"/>
        </w:rPr>
        <w:commentReference w:id="3"/>
      </w:r>
      <w:r w:rsidR="007207D1">
        <w:rPr>
          <w:rFonts w:ascii="Arial" w:hAnsi="Arial" w:cs="Arial"/>
          <w:sz w:val="20"/>
          <w:szCs w:val="20"/>
        </w:rPr>
        <w:t xml:space="preserve">higher than </w:t>
      </w:r>
      <w:r w:rsidR="001C6762">
        <w:rPr>
          <w:rFonts w:ascii="Arial" w:hAnsi="Arial" w:cs="Arial"/>
          <w:sz w:val="20"/>
          <w:szCs w:val="20"/>
        </w:rPr>
        <w:t>F</w:t>
      </w:r>
      <w:r w:rsidR="007207D1">
        <w:rPr>
          <w:rFonts w:ascii="Arial" w:hAnsi="Arial" w:cs="Arial"/>
          <w:sz w:val="20"/>
          <w:szCs w:val="20"/>
        </w:rPr>
        <w:t>emales</w:t>
      </w:r>
      <w:r w:rsidR="0018081A" w:rsidRPr="007A682B">
        <w:rPr>
          <w:rFonts w:ascii="Arial" w:hAnsi="Arial" w:cs="Arial"/>
          <w:sz w:val="20"/>
          <w:szCs w:val="20"/>
        </w:rPr>
        <w:t xml:space="preserve"> while </w:t>
      </w:r>
      <w:r w:rsidR="001C6762">
        <w:rPr>
          <w:rFonts w:ascii="Arial" w:hAnsi="Arial" w:cs="Arial"/>
          <w:sz w:val="20"/>
          <w:szCs w:val="20"/>
        </w:rPr>
        <w:t>L</w:t>
      </w:r>
      <w:r w:rsidR="0018081A" w:rsidRPr="007A682B">
        <w:rPr>
          <w:rFonts w:ascii="Arial" w:hAnsi="Arial" w:cs="Arial"/>
          <w:sz w:val="20"/>
          <w:szCs w:val="20"/>
        </w:rPr>
        <w:t xml:space="preserve">ate </w:t>
      </w:r>
      <w:r w:rsidR="001C6762">
        <w:rPr>
          <w:rFonts w:ascii="Arial" w:hAnsi="Arial" w:cs="Arial"/>
          <w:sz w:val="20"/>
          <w:szCs w:val="20"/>
        </w:rPr>
        <w:t>I</w:t>
      </w:r>
      <w:r w:rsidR="0018081A" w:rsidRPr="007A682B">
        <w:rPr>
          <w:rFonts w:ascii="Arial" w:hAnsi="Arial" w:cs="Arial"/>
          <w:sz w:val="20"/>
          <w:szCs w:val="20"/>
        </w:rPr>
        <w:t xml:space="preserve">ntermediates and </w:t>
      </w:r>
      <w:r w:rsidR="00D44132" w:rsidRPr="007A682B">
        <w:rPr>
          <w:rFonts w:ascii="Arial" w:hAnsi="Arial" w:cs="Arial"/>
          <w:sz w:val="20"/>
          <w:szCs w:val="20"/>
        </w:rPr>
        <w:t xml:space="preserve">the </w:t>
      </w:r>
      <w:r w:rsidR="001C6762">
        <w:rPr>
          <w:rFonts w:ascii="Arial" w:hAnsi="Arial" w:cs="Arial"/>
          <w:sz w:val="20"/>
          <w:szCs w:val="20"/>
        </w:rPr>
        <w:t>N</w:t>
      </w:r>
      <w:r w:rsidR="00D44132" w:rsidRPr="007A682B">
        <w:rPr>
          <w:rFonts w:ascii="Arial" w:hAnsi="Arial" w:cs="Arial"/>
          <w:sz w:val="20"/>
          <w:szCs w:val="20"/>
        </w:rPr>
        <w:t xml:space="preserve">ew </w:t>
      </w:r>
      <w:r w:rsidR="001C6762">
        <w:rPr>
          <w:rFonts w:ascii="Arial" w:hAnsi="Arial" w:cs="Arial"/>
          <w:sz w:val="20"/>
          <w:szCs w:val="20"/>
        </w:rPr>
        <w:t>F</w:t>
      </w:r>
      <w:r w:rsidR="00D44132" w:rsidRPr="007A682B">
        <w:rPr>
          <w:rFonts w:ascii="Arial" w:hAnsi="Arial" w:cs="Arial"/>
          <w:sz w:val="20"/>
          <w:szCs w:val="20"/>
        </w:rPr>
        <w:t>emale</w:t>
      </w:r>
      <w:r w:rsidR="00883078" w:rsidRPr="007A682B">
        <w:rPr>
          <w:rFonts w:ascii="Arial" w:hAnsi="Arial" w:cs="Arial"/>
          <w:sz w:val="20"/>
          <w:szCs w:val="20"/>
        </w:rPr>
        <w:t xml:space="preserve"> </w:t>
      </w:r>
      <w:r w:rsidR="0018081A" w:rsidRPr="007A682B">
        <w:rPr>
          <w:rFonts w:ascii="Arial" w:hAnsi="Arial" w:cs="Arial"/>
          <w:sz w:val="20"/>
          <w:szCs w:val="20"/>
        </w:rPr>
        <w:t xml:space="preserve">aligned with </w:t>
      </w:r>
      <w:r w:rsidR="001C6762">
        <w:rPr>
          <w:rFonts w:ascii="Arial" w:hAnsi="Arial" w:cs="Arial"/>
          <w:sz w:val="20"/>
          <w:szCs w:val="20"/>
        </w:rPr>
        <w:t>F</w:t>
      </w:r>
      <w:r w:rsidR="0018081A" w:rsidRPr="007A682B">
        <w:rPr>
          <w:rFonts w:ascii="Arial" w:hAnsi="Arial" w:cs="Arial"/>
          <w:sz w:val="20"/>
          <w:szCs w:val="20"/>
        </w:rPr>
        <w:t xml:space="preserve">emale levels. Late </w:t>
      </w:r>
      <w:r w:rsidR="001C6762">
        <w:rPr>
          <w:rFonts w:ascii="Arial" w:hAnsi="Arial" w:cs="Arial"/>
          <w:sz w:val="20"/>
          <w:szCs w:val="20"/>
        </w:rPr>
        <w:t>I</w:t>
      </w:r>
      <w:r w:rsidR="0018081A" w:rsidRPr="007A682B">
        <w:rPr>
          <w:rFonts w:ascii="Arial" w:hAnsi="Arial" w:cs="Arial"/>
          <w:sz w:val="20"/>
          <w:szCs w:val="20"/>
        </w:rPr>
        <w:t xml:space="preserve">ntermediate </w:t>
      </w:r>
      <w:r w:rsidR="001C6762">
        <w:rPr>
          <w:rFonts w:ascii="Arial" w:hAnsi="Arial" w:cs="Arial"/>
          <w:sz w:val="20"/>
          <w:szCs w:val="20"/>
        </w:rPr>
        <w:t>P</w:t>
      </w:r>
      <w:r w:rsidR="0018081A" w:rsidRPr="007A682B">
        <w:rPr>
          <w:rFonts w:ascii="Arial" w:hAnsi="Arial" w:cs="Arial"/>
          <w:sz w:val="20"/>
          <w:szCs w:val="20"/>
        </w:rPr>
        <w:t>artners</w:t>
      </w:r>
      <w:r w:rsidR="00883078" w:rsidRPr="007A682B">
        <w:rPr>
          <w:rFonts w:ascii="Arial" w:hAnsi="Arial" w:cs="Arial"/>
          <w:sz w:val="20"/>
          <w:szCs w:val="20"/>
        </w:rPr>
        <w:t xml:space="preserve"> </w:t>
      </w:r>
      <w:r w:rsidR="0018081A" w:rsidRPr="007A682B">
        <w:rPr>
          <w:rFonts w:ascii="Arial" w:hAnsi="Arial" w:cs="Arial"/>
          <w:sz w:val="20"/>
          <w:szCs w:val="20"/>
        </w:rPr>
        <w:t xml:space="preserve">and </w:t>
      </w:r>
      <w:r w:rsidR="00D44132" w:rsidRPr="007A682B">
        <w:rPr>
          <w:rFonts w:ascii="Arial" w:hAnsi="Arial" w:cs="Arial"/>
          <w:sz w:val="20"/>
          <w:szCs w:val="20"/>
        </w:rPr>
        <w:t xml:space="preserve">the </w:t>
      </w:r>
      <w:r w:rsidR="001C6762">
        <w:rPr>
          <w:rFonts w:ascii="Arial" w:hAnsi="Arial" w:cs="Arial"/>
          <w:sz w:val="20"/>
          <w:szCs w:val="20"/>
        </w:rPr>
        <w:t>N</w:t>
      </w:r>
      <w:r w:rsidR="00D44132" w:rsidRPr="007A682B">
        <w:rPr>
          <w:rFonts w:ascii="Arial" w:hAnsi="Arial" w:cs="Arial"/>
          <w:sz w:val="20"/>
          <w:szCs w:val="20"/>
        </w:rPr>
        <w:t xml:space="preserve">ew </w:t>
      </w:r>
      <w:r w:rsidR="001C6762">
        <w:rPr>
          <w:rFonts w:ascii="Arial" w:hAnsi="Arial" w:cs="Arial"/>
          <w:sz w:val="20"/>
          <w:szCs w:val="20"/>
        </w:rPr>
        <w:t>M</w:t>
      </w:r>
      <w:r w:rsidR="00D44132" w:rsidRPr="007A682B">
        <w:rPr>
          <w:rFonts w:ascii="Arial" w:hAnsi="Arial" w:cs="Arial"/>
          <w:sz w:val="20"/>
          <w:szCs w:val="20"/>
        </w:rPr>
        <w:t>ale</w:t>
      </w:r>
      <w:r w:rsidR="00883078" w:rsidRPr="007A682B">
        <w:rPr>
          <w:rFonts w:ascii="Arial" w:hAnsi="Arial" w:cs="Arial"/>
          <w:sz w:val="20"/>
          <w:szCs w:val="20"/>
        </w:rPr>
        <w:t xml:space="preserve"> </w:t>
      </w:r>
      <w:r w:rsidR="0018081A" w:rsidRPr="007A682B">
        <w:rPr>
          <w:rFonts w:ascii="Arial" w:hAnsi="Arial" w:cs="Arial"/>
          <w:sz w:val="20"/>
          <w:szCs w:val="20"/>
        </w:rPr>
        <w:t xml:space="preserve">aligned with </w:t>
      </w:r>
      <w:r w:rsidR="001C6762">
        <w:rPr>
          <w:rFonts w:ascii="Arial" w:hAnsi="Arial" w:cs="Arial"/>
          <w:sz w:val="20"/>
          <w:szCs w:val="20"/>
        </w:rPr>
        <w:t>M</w:t>
      </w:r>
      <w:r w:rsidR="0018081A" w:rsidRPr="007A682B">
        <w:rPr>
          <w:rFonts w:ascii="Arial" w:hAnsi="Arial" w:cs="Arial"/>
          <w:sz w:val="20"/>
          <w:szCs w:val="20"/>
        </w:rPr>
        <w:t>ale levels</w:t>
      </w:r>
      <w:r w:rsidR="00F7225B">
        <w:rPr>
          <w:rFonts w:ascii="Arial" w:hAnsi="Arial" w:cs="Arial"/>
          <w:sz w:val="20"/>
          <w:szCs w:val="20"/>
        </w:rPr>
        <w:t xml:space="preserve">. These differences were supported by the omnibus anova (F(7,22) =15.161, </w:t>
      </w:r>
      <w:r w:rsidR="00F7225B">
        <w:rPr>
          <w:rFonts w:ascii="Arial" w:hAnsi="Arial" w:cs="Arial"/>
          <w:i/>
          <w:iCs/>
          <w:sz w:val="20"/>
          <w:szCs w:val="20"/>
        </w:rPr>
        <w:t>p</w:t>
      </w:r>
      <w:r w:rsidR="00F7225B">
        <w:rPr>
          <w:rFonts w:ascii="Arial" w:hAnsi="Arial" w:cs="Arial"/>
          <w:sz w:val="20"/>
          <w:szCs w:val="20"/>
        </w:rPr>
        <w:t>&lt;0.001</w:t>
      </w:r>
      <w:r w:rsidR="00F7225B" w:rsidRPr="007207D1">
        <w:rPr>
          <w:rFonts w:ascii="Arial" w:hAnsi="Arial" w:cs="Arial"/>
          <w:sz w:val="20"/>
          <w:szCs w:val="20"/>
        </w:rPr>
        <w:t>)</w:t>
      </w:r>
      <w:r w:rsidR="00F7225B">
        <w:rPr>
          <w:rFonts w:ascii="Arial" w:hAnsi="Arial" w:cs="Arial"/>
          <w:sz w:val="20"/>
          <w:szCs w:val="20"/>
        </w:rPr>
        <w:t xml:space="preserve"> and posthoc pairwise tests</w:t>
      </w:r>
      <w:r w:rsidR="0018081A" w:rsidRPr="007A682B">
        <w:rPr>
          <w:rFonts w:ascii="Arial" w:hAnsi="Arial" w:cs="Arial"/>
          <w:sz w:val="20"/>
          <w:szCs w:val="20"/>
        </w:rPr>
        <w:t xml:space="preserve"> </w:t>
      </w:r>
      <w:r w:rsidR="0018081A" w:rsidRPr="007A682B">
        <w:rPr>
          <w:rFonts w:ascii="Arial" w:hAnsi="Arial" w:cs="Arial"/>
          <w:sz w:val="20"/>
          <w:szCs w:val="20"/>
          <w:highlight w:val="yellow"/>
        </w:rPr>
        <w:t>(Fig.1B</w:t>
      </w:r>
      <w:r w:rsidR="00883078" w:rsidRPr="007A682B">
        <w:rPr>
          <w:rFonts w:ascii="Arial" w:hAnsi="Arial" w:cs="Arial"/>
          <w:sz w:val="20"/>
          <w:szCs w:val="20"/>
        </w:rPr>
        <w:t>, Appendix S</w:t>
      </w:r>
      <w:r w:rsidR="004A27C9" w:rsidRPr="004A27C9">
        <w:rPr>
          <w:rFonts w:ascii="Arial" w:hAnsi="Arial" w:cs="Arial"/>
          <w:sz w:val="20"/>
          <w:szCs w:val="20"/>
          <w:highlight w:val="yellow"/>
        </w:rPr>
        <w:t>xx</w:t>
      </w:r>
      <w:r w:rsidR="0018081A" w:rsidRPr="007A682B">
        <w:rPr>
          <w:rFonts w:ascii="Arial" w:hAnsi="Arial" w:cs="Arial"/>
          <w:sz w:val="20"/>
          <w:szCs w:val="20"/>
        </w:rPr>
        <w:t xml:space="preserve">). </w:t>
      </w:r>
    </w:p>
    <w:p w14:paraId="541D5D6E" w14:textId="16348AAB" w:rsidR="0018081A" w:rsidRPr="007A682B" w:rsidRDefault="0018081A" w:rsidP="002108AE">
      <w:pPr>
        <w:ind w:firstLine="720"/>
        <w:rPr>
          <w:rFonts w:ascii="Arial" w:hAnsi="Arial" w:cs="Arial"/>
          <w:sz w:val="20"/>
          <w:szCs w:val="20"/>
        </w:rPr>
      </w:pPr>
      <w:r w:rsidRPr="007A682B">
        <w:rPr>
          <w:rFonts w:ascii="Arial" w:hAnsi="Arial" w:cs="Arial"/>
          <w:sz w:val="20"/>
          <w:szCs w:val="20"/>
        </w:rPr>
        <w:t xml:space="preserve">We </w:t>
      </w:r>
      <w:r w:rsidR="002108AE" w:rsidRPr="007A682B">
        <w:rPr>
          <w:rFonts w:ascii="Arial" w:hAnsi="Arial" w:cs="Arial"/>
          <w:sz w:val="20"/>
          <w:szCs w:val="20"/>
        </w:rPr>
        <w:t xml:space="preserve">next </w:t>
      </w:r>
      <w:r w:rsidRPr="007A682B">
        <w:rPr>
          <w:rFonts w:ascii="Arial" w:hAnsi="Arial" w:cs="Arial"/>
          <w:sz w:val="20"/>
          <w:szCs w:val="20"/>
        </w:rPr>
        <w:t xml:space="preserve">euthanized the fish and collected gonads for histological analysis. </w:t>
      </w:r>
      <w:r w:rsidR="00BB3BC8">
        <w:rPr>
          <w:rFonts w:ascii="Arial" w:hAnsi="Arial" w:cs="Arial"/>
          <w:sz w:val="20"/>
          <w:szCs w:val="20"/>
        </w:rPr>
        <w:t xml:space="preserve">As expected, </w:t>
      </w:r>
      <w:r w:rsidRPr="007A682B">
        <w:rPr>
          <w:rFonts w:ascii="Arial" w:hAnsi="Arial" w:cs="Arial"/>
          <w:sz w:val="20"/>
          <w:szCs w:val="20"/>
        </w:rPr>
        <w:t xml:space="preserve">Intermediates </w:t>
      </w:r>
      <w:r w:rsidR="00D13757">
        <w:rPr>
          <w:rFonts w:ascii="Arial" w:hAnsi="Arial" w:cs="Arial"/>
          <w:sz w:val="20"/>
          <w:szCs w:val="20"/>
        </w:rPr>
        <w:t xml:space="preserve">and their partners </w:t>
      </w:r>
      <w:r w:rsidR="0068006A">
        <w:rPr>
          <w:rFonts w:ascii="Arial" w:hAnsi="Arial" w:cs="Arial"/>
          <w:sz w:val="20"/>
          <w:szCs w:val="20"/>
        </w:rPr>
        <w:t>displayed</w:t>
      </w:r>
      <w:r w:rsidRPr="007A682B">
        <w:rPr>
          <w:rFonts w:ascii="Arial" w:hAnsi="Arial" w:cs="Arial"/>
          <w:sz w:val="20"/>
          <w:szCs w:val="20"/>
        </w:rPr>
        <w:t xml:space="preserve"> a</w:t>
      </w:r>
      <w:r w:rsidR="0068006A">
        <w:rPr>
          <w:rFonts w:ascii="Arial" w:hAnsi="Arial" w:cs="Arial"/>
          <w:sz w:val="20"/>
          <w:szCs w:val="20"/>
        </w:rPr>
        <w:t>pproximately a</w:t>
      </w:r>
      <w:r w:rsidRPr="007A682B">
        <w:rPr>
          <w:rFonts w:ascii="Arial" w:hAnsi="Arial" w:cs="Arial"/>
          <w:sz w:val="20"/>
          <w:szCs w:val="20"/>
        </w:rPr>
        <w:t xml:space="preserve"> </w:t>
      </w:r>
      <w:r w:rsidR="006D1586">
        <w:rPr>
          <w:rFonts w:ascii="Arial" w:hAnsi="Arial" w:cs="Arial"/>
          <w:sz w:val="20"/>
          <w:szCs w:val="20"/>
        </w:rPr>
        <w:t>63.6</w:t>
      </w:r>
      <w:r w:rsidR="007207D1">
        <w:rPr>
          <w:rFonts w:ascii="Arial" w:hAnsi="Arial" w:cs="Arial"/>
          <w:sz w:val="20"/>
          <w:szCs w:val="20"/>
        </w:rPr>
        <w:t xml:space="preserve">% </w:t>
      </w:r>
      <w:r w:rsidRPr="007A682B">
        <w:rPr>
          <w:rFonts w:ascii="Arial" w:hAnsi="Arial" w:cs="Arial"/>
          <w:sz w:val="20"/>
          <w:szCs w:val="20"/>
        </w:rPr>
        <w:t>reduced proportion of testicular tissue</w:t>
      </w:r>
      <w:r w:rsidR="007207D1">
        <w:rPr>
          <w:rFonts w:ascii="Arial" w:hAnsi="Arial" w:cs="Arial"/>
          <w:sz w:val="20"/>
          <w:szCs w:val="20"/>
        </w:rPr>
        <w:t xml:space="preserve"> </w:t>
      </w:r>
      <w:r w:rsidR="007207D1">
        <w:rPr>
          <w:rFonts w:ascii="Arial" w:hAnsi="Arial" w:cs="Arial"/>
          <w:sz w:val="20"/>
          <w:szCs w:val="20"/>
        </w:rPr>
        <w:lastRenderedPageBreak/>
        <w:t xml:space="preserve">relative to </w:t>
      </w:r>
      <w:r w:rsidR="001C6762">
        <w:rPr>
          <w:rFonts w:ascii="Arial" w:hAnsi="Arial" w:cs="Arial"/>
          <w:sz w:val="20"/>
          <w:szCs w:val="20"/>
        </w:rPr>
        <w:t>M</w:t>
      </w:r>
      <w:r w:rsidR="007207D1">
        <w:rPr>
          <w:rFonts w:ascii="Arial" w:hAnsi="Arial" w:cs="Arial"/>
          <w:sz w:val="20"/>
          <w:szCs w:val="20"/>
        </w:rPr>
        <w:t xml:space="preserve">ales </w:t>
      </w:r>
      <w:r w:rsidRPr="007A682B">
        <w:rPr>
          <w:rFonts w:ascii="Arial" w:hAnsi="Arial" w:cs="Arial"/>
          <w:sz w:val="20"/>
          <w:szCs w:val="20"/>
        </w:rPr>
        <w:t xml:space="preserve">with a corresponding </w:t>
      </w:r>
      <w:r w:rsidR="006D1586">
        <w:rPr>
          <w:rFonts w:ascii="Arial" w:hAnsi="Arial" w:cs="Arial"/>
          <w:sz w:val="20"/>
          <w:szCs w:val="20"/>
        </w:rPr>
        <w:t xml:space="preserve">2.4-fold </w:t>
      </w:r>
      <w:r w:rsidRPr="007A682B">
        <w:rPr>
          <w:rFonts w:ascii="Arial" w:hAnsi="Arial" w:cs="Arial"/>
          <w:sz w:val="20"/>
          <w:szCs w:val="20"/>
        </w:rPr>
        <w:t>increase in proportion of immature ovarian tissue</w:t>
      </w:r>
      <w:r w:rsidR="006D1586">
        <w:rPr>
          <w:rFonts w:ascii="Arial" w:hAnsi="Arial" w:cs="Arial"/>
          <w:sz w:val="20"/>
          <w:szCs w:val="20"/>
        </w:rPr>
        <w:t xml:space="preserve"> (F(5,1</w:t>
      </w:r>
      <w:r w:rsidR="00BE65FB">
        <w:rPr>
          <w:rFonts w:ascii="Arial" w:hAnsi="Arial" w:cs="Arial"/>
          <w:sz w:val="20"/>
          <w:szCs w:val="20"/>
        </w:rPr>
        <w:t>8</w:t>
      </w:r>
      <w:r w:rsidR="006D1586">
        <w:rPr>
          <w:rFonts w:ascii="Arial" w:hAnsi="Arial" w:cs="Arial"/>
          <w:sz w:val="20"/>
          <w:szCs w:val="20"/>
        </w:rPr>
        <w:t xml:space="preserve">) = 20.349, </w:t>
      </w:r>
      <w:r w:rsidR="006D1586">
        <w:rPr>
          <w:rFonts w:ascii="Arial" w:hAnsi="Arial" w:cs="Arial"/>
          <w:i/>
          <w:iCs/>
          <w:sz w:val="20"/>
          <w:szCs w:val="20"/>
        </w:rPr>
        <w:t xml:space="preserve">p </w:t>
      </w:r>
      <w:r w:rsidR="006D1586">
        <w:rPr>
          <w:rFonts w:ascii="Arial" w:hAnsi="Arial" w:cs="Arial"/>
          <w:sz w:val="20"/>
          <w:szCs w:val="20"/>
        </w:rPr>
        <w:t>&lt;0.001)</w:t>
      </w:r>
      <w:r w:rsidRPr="007A682B">
        <w:rPr>
          <w:rFonts w:ascii="Arial" w:hAnsi="Arial" w:cs="Arial"/>
          <w:sz w:val="20"/>
          <w:szCs w:val="20"/>
        </w:rPr>
        <w:t xml:space="preserve"> in their ovotestes</w:t>
      </w:r>
      <w:r w:rsidR="002108AE" w:rsidRPr="007A682B">
        <w:rPr>
          <w:rFonts w:ascii="Arial" w:hAnsi="Arial" w:cs="Arial"/>
          <w:sz w:val="20"/>
          <w:szCs w:val="20"/>
        </w:rPr>
        <w:t>.</w:t>
      </w:r>
      <w:r w:rsidR="0068006A">
        <w:rPr>
          <w:rFonts w:ascii="Arial" w:hAnsi="Arial" w:cs="Arial"/>
          <w:sz w:val="20"/>
          <w:szCs w:val="20"/>
        </w:rPr>
        <w:t xml:space="preserve"> </w:t>
      </w:r>
      <w:r w:rsidR="002108AE" w:rsidRPr="007A682B">
        <w:rPr>
          <w:rFonts w:ascii="Arial" w:hAnsi="Arial" w:cs="Arial"/>
          <w:sz w:val="20"/>
          <w:szCs w:val="20"/>
        </w:rPr>
        <w:t xml:space="preserve"> Further, </w:t>
      </w:r>
      <w:r w:rsidR="001C6762">
        <w:rPr>
          <w:rFonts w:ascii="Arial" w:hAnsi="Arial" w:cs="Arial"/>
          <w:sz w:val="20"/>
          <w:szCs w:val="20"/>
        </w:rPr>
        <w:t>I</w:t>
      </w:r>
      <w:r w:rsidR="002108AE" w:rsidRPr="007A682B">
        <w:rPr>
          <w:rFonts w:ascii="Arial" w:hAnsi="Arial" w:cs="Arial"/>
          <w:sz w:val="20"/>
          <w:szCs w:val="20"/>
        </w:rPr>
        <w:t xml:space="preserve">ntermediates </w:t>
      </w:r>
      <w:r w:rsidR="00BB3BC8">
        <w:rPr>
          <w:rFonts w:ascii="Arial" w:hAnsi="Arial" w:cs="Arial"/>
          <w:sz w:val="20"/>
          <w:szCs w:val="20"/>
        </w:rPr>
        <w:t xml:space="preserve">and their partners </w:t>
      </w:r>
      <w:r w:rsidR="007A7762">
        <w:rPr>
          <w:rFonts w:ascii="Arial" w:hAnsi="Arial" w:cs="Arial"/>
          <w:sz w:val="20"/>
          <w:szCs w:val="20"/>
        </w:rPr>
        <w:t xml:space="preserve">showed an approximately </w:t>
      </w:r>
      <w:r w:rsidR="007A7762" w:rsidRPr="007A7762">
        <w:rPr>
          <w:rFonts w:ascii="Arial" w:hAnsi="Arial" w:cs="Arial"/>
          <w:sz w:val="20"/>
          <w:szCs w:val="20"/>
          <w:highlight w:val="yellow"/>
        </w:rPr>
        <w:t>xx%</w:t>
      </w:r>
      <w:r w:rsidR="007A7762">
        <w:rPr>
          <w:rFonts w:ascii="Arial" w:hAnsi="Arial" w:cs="Arial"/>
          <w:sz w:val="20"/>
          <w:szCs w:val="20"/>
        </w:rPr>
        <w:t xml:space="preserve"> reduction in</w:t>
      </w:r>
      <w:r w:rsidR="002108AE" w:rsidRPr="007A682B">
        <w:rPr>
          <w:rFonts w:ascii="Arial" w:hAnsi="Arial" w:cs="Arial"/>
          <w:sz w:val="20"/>
          <w:szCs w:val="20"/>
        </w:rPr>
        <w:t xml:space="preserve"> </w:t>
      </w:r>
      <w:r w:rsidRPr="007A682B">
        <w:rPr>
          <w:rFonts w:ascii="Arial" w:hAnsi="Arial" w:cs="Arial"/>
          <w:sz w:val="20"/>
          <w:szCs w:val="20"/>
        </w:rPr>
        <w:t>gonadal volume</w:t>
      </w:r>
      <w:r w:rsidR="0083565B">
        <w:rPr>
          <w:rFonts w:ascii="Arial" w:hAnsi="Arial" w:cs="Arial"/>
          <w:sz w:val="20"/>
          <w:szCs w:val="20"/>
        </w:rPr>
        <w:t xml:space="preserve"> (F(5, 19) =6.831 , </w:t>
      </w:r>
      <w:r w:rsidR="0083565B">
        <w:rPr>
          <w:rFonts w:ascii="Arial" w:hAnsi="Arial" w:cs="Arial"/>
          <w:i/>
          <w:iCs/>
          <w:sz w:val="20"/>
          <w:szCs w:val="20"/>
        </w:rPr>
        <w:t>p</w:t>
      </w:r>
      <w:r w:rsidR="0083565B">
        <w:rPr>
          <w:rFonts w:ascii="Arial" w:hAnsi="Arial" w:cs="Arial"/>
          <w:sz w:val="20"/>
          <w:szCs w:val="20"/>
        </w:rPr>
        <w:t xml:space="preserve"> &lt; 0.001)</w:t>
      </w:r>
      <w:r w:rsidRPr="007A682B">
        <w:rPr>
          <w:rFonts w:ascii="Arial" w:hAnsi="Arial" w:cs="Arial"/>
          <w:sz w:val="20"/>
          <w:szCs w:val="20"/>
        </w:rPr>
        <w:t xml:space="preserve"> </w:t>
      </w:r>
      <w:r w:rsidR="007A7762">
        <w:rPr>
          <w:rFonts w:ascii="Arial" w:hAnsi="Arial" w:cs="Arial"/>
          <w:sz w:val="20"/>
          <w:szCs w:val="20"/>
        </w:rPr>
        <w:t>relative to</w:t>
      </w:r>
      <w:r w:rsidRPr="007A682B">
        <w:rPr>
          <w:rFonts w:ascii="Arial" w:hAnsi="Arial" w:cs="Arial"/>
          <w:sz w:val="20"/>
          <w:szCs w:val="20"/>
        </w:rPr>
        <w:t xml:space="preserve"> males</w:t>
      </w:r>
      <w:r w:rsidR="00161CC6" w:rsidRPr="007A682B">
        <w:rPr>
          <w:rFonts w:ascii="Arial" w:hAnsi="Arial" w:cs="Arial"/>
          <w:sz w:val="20"/>
          <w:szCs w:val="20"/>
        </w:rPr>
        <w:t xml:space="preserve"> after correcting for body </w:t>
      </w:r>
      <w:r w:rsidR="007F07B7" w:rsidRPr="007A682B">
        <w:rPr>
          <w:rFonts w:ascii="Arial" w:hAnsi="Arial" w:cs="Arial"/>
          <w:sz w:val="20"/>
          <w:szCs w:val="20"/>
        </w:rPr>
        <w:t>length</w:t>
      </w:r>
      <w:r w:rsidR="0083565B">
        <w:rPr>
          <w:rFonts w:ascii="Arial" w:hAnsi="Arial" w:cs="Arial"/>
          <w:sz w:val="20"/>
          <w:szCs w:val="20"/>
        </w:rPr>
        <w:t xml:space="preserve"> </w:t>
      </w:r>
      <w:r w:rsidR="007A7762">
        <w:rPr>
          <w:rFonts w:ascii="Arial" w:hAnsi="Arial" w:cs="Arial"/>
          <w:sz w:val="20"/>
          <w:szCs w:val="20"/>
        </w:rPr>
        <w:t>(</w:t>
      </w:r>
      <w:r w:rsidRPr="007A682B">
        <w:rPr>
          <w:rFonts w:ascii="Arial" w:hAnsi="Arial" w:cs="Arial"/>
          <w:sz w:val="20"/>
          <w:szCs w:val="20"/>
          <w:highlight w:val="yellow"/>
        </w:rPr>
        <w:t>Fig. 1C</w:t>
      </w:r>
      <w:r w:rsidR="001E33C3" w:rsidRPr="007A682B">
        <w:rPr>
          <w:rFonts w:ascii="Arial" w:hAnsi="Arial" w:cs="Arial"/>
          <w:sz w:val="20"/>
          <w:szCs w:val="20"/>
          <w:highlight w:val="yellow"/>
        </w:rPr>
        <w:t>, S1E</w:t>
      </w:r>
      <w:r w:rsidR="00697079" w:rsidRPr="007A682B">
        <w:rPr>
          <w:rFonts w:ascii="Arial" w:hAnsi="Arial" w:cs="Arial"/>
          <w:sz w:val="20"/>
          <w:szCs w:val="20"/>
          <w:highlight w:val="yellow"/>
        </w:rPr>
        <w:t>,</w:t>
      </w:r>
      <w:r w:rsidR="001E33C3" w:rsidRPr="007A682B">
        <w:rPr>
          <w:rFonts w:ascii="Arial" w:hAnsi="Arial" w:cs="Arial"/>
          <w:sz w:val="20"/>
          <w:szCs w:val="20"/>
          <w:highlight w:val="yellow"/>
        </w:rPr>
        <w:t>F</w:t>
      </w:r>
      <w:r w:rsidR="00161CC6" w:rsidRPr="007A682B">
        <w:rPr>
          <w:rFonts w:ascii="Arial" w:hAnsi="Arial" w:cs="Arial"/>
          <w:sz w:val="20"/>
          <w:szCs w:val="20"/>
          <w:highlight w:val="yellow"/>
        </w:rPr>
        <w:t xml:space="preserve">, Appendix </w:t>
      </w:r>
      <w:r w:rsidR="00161CC6" w:rsidRPr="0083565B">
        <w:rPr>
          <w:rFonts w:ascii="Arial" w:hAnsi="Arial" w:cs="Arial"/>
          <w:sz w:val="20"/>
          <w:szCs w:val="20"/>
        </w:rPr>
        <w:t>S</w:t>
      </w:r>
      <w:r w:rsidR="004A27C9" w:rsidRPr="004A27C9">
        <w:rPr>
          <w:rFonts w:ascii="Arial" w:hAnsi="Arial" w:cs="Arial"/>
          <w:sz w:val="20"/>
          <w:szCs w:val="20"/>
          <w:highlight w:val="yellow"/>
        </w:rPr>
        <w:t>xx</w:t>
      </w:r>
      <w:r w:rsidRPr="007A682B">
        <w:rPr>
          <w:rFonts w:ascii="Arial" w:hAnsi="Arial" w:cs="Arial"/>
          <w:sz w:val="20"/>
          <w:szCs w:val="20"/>
          <w:highlight w:val="yellow"/>
        </w:rPr>
        <w:t>)</w:t>
      </w:r>
      <w:r w:rsidR="007A7762">
        <w:rPr>
          <w:rFonts w:ascii="Arial" w:hAnsi="Arial" w:cs="Arial"/>
          <w:sz w:val="20"/>
          <w:szCs w:val="20"/>
        </w:rPr>
        <w:t xml:space="preserve">. </w:t>
      </w:r>
      <w:r w:rsidRPr="007A682B">
        <w:rPr>
          <w:rFonts w:ascii="Arial" w:hAnsi="Arial" w:cs="Arial"/>
          <w:sz w:val="20"/>
          <w:szCs w:val="20"/>
        </w:rPr>
        <w:t xml:space="preserve">By the </w:t>
      </w:r>
      <w:r w:rsidR="001C6762">
        <w:rPr>
          <w:rFonts w:ascii="Arial" w:hAnsi="Arial" w:cs="Arial"/>
          <w:sz w:val="20"/>
          <w:szCs w:val="20"/>
        </w:rPr>
        <w:t>L</w:t>
      </w:r>
      <w:r w:rsidRPr="007A682B">
        <w:rPr>
          <w:rFonts w:ascii="Arial" w:hAnsi="Arial" w:cs="Arial"/>
          <w:sz w:val="20"/>
          <w:szCs w:val="20"/>
        </w:rPr>
        <w:t xml:space="preserve">ate </w:t>
      </w:r>
      <w:r w:rsidR="001C6762">
        <w:rPr>
          <w:rFonts w:ascii="Arial" w:hAnsi="Arial" w:cs="Arial"/>
          <w:sz w:val="20"/>
          <w:szCs w:val="20"/>
        </w:rPr>
        <w:t>I</w:t>
      </w:r>
      <w:r w:rsidRPr="007A682B">
        <w:rPr>
          <w:rFonts w:ascii="Arial" w:hAnsi="Arial" w:cs="Arial"/>
          <w:sz w:val="20"/>
          <w:szCs w:val="20"/>
        </w:rPr>
        <w:t xml:space="preserve">ntermediate stage, no measurable testicular tissue </w:t>
      </w:r>
      <w:r w:rsidR="00F339F4" w:rsidRPr="007A682B">
        <w:rPr>
          <w:rFonts w:ascii="Arial" w:hAnsi="Arial" w:cs="Arial"/>
          <w:sz w:val="20"/>
          <w:szCs w:val="20"/>
        </w:rPr>
        <w:t>remained,</w:t>
      </w:r>
      <w:r w:rsidR="00D770B1" w:rsidRPr="007A682B">
        <w:rPr>
          <w:rFonts w:ascii="Arial" w:hAnsi="Arial" w:cs="Arial"/>
          <w:sz w:val="20"/>
          <w:szCs w:val="20"/>
        </w:rPr>
        <w:t xml:space="preserve"> and</w:t>
      </w:r>
      <w:r w:rsidRPr="007A682B">
        <w:rPr>
          <w:rFonts w:ascii="Arial" w:hAnsi="Arial" w:cs="Arial"/>
          <w:sz w:val="20"/>
          <w:szCs w:val="20"/>
        </w:rPr>
        <w:t xml:space="preserve"> the gonad consisted only of immature ovarian tissue, connective tissue, and empty space (</w:t>
      </w:r>
      <w:r w:rsidRPr="007A682B">
        <w:rPr>
          <w:rFonts w:ascii="Arial" w:hAnsi="Arial" w:cs="Arial"/>
          <w:sz w:val="20"/>
          <w:szCs w:val="20"/>
          <w:highlight w:val="yellow"/>
        </w:rPr>
        <w:t>Fig. 1D</w:t>
      </w:r>
      <w:r w:rsidRPr="007A682B">
        <w:rPr>
          <w:rFonts w:ascii="Arial" w:hAnsi="Arial" w:cs="Arial"/>
          <w:sz w:val="20"/>
          <w:szCs w:val="20"/>
        </w:rPr>
        <w:t>).</w:t>
      </w:r>
      <w:r w:rsidR="0016224F" w:rsidRPr="007A682B">
        <w:rPr>
          <w:rFonts w:ascii="Arial" w:hAnsi="Arial" w:cs="Arial"/>
          <w:sz w:val="20"/>
          <w:szCs w:val="20"/>
        </w:rPr>
        <w:t xml:space="preserve"> </w:t>
      </w:r>
    </w:p>
    <w:p w14:paraId="7523EA4F" w14:textId="77777777" w:rsidR="0072779C" w:rsidRPr="007A682B" w:rsidRDefault="0072779C" w:rsidP="004816FA">
      <w:pPr>
        <w:ind w:firstLine="720"/>
        <w:rPr>
          <w:rFonts w:ascii="Arial" w:hAnsi="Arial" w:cs="Arial"/>
          <w:sz w:val="20"/>
          <w:szCs w:val="20"/>
        </w:rPr>
      </w:pPr>
    </w:p>
    <w:p w14:paraId="52DFE827"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Multiomics Capture High Quality Transcriptomes, Epigenomes, and Spatial Transcriptomes</w:t>
      </w:r>
    </w:p>
    <w:p w14:paraId="08DAC190" w14:textId="1D93A673" w:rsidR="0018081A" w:rsidRPr="007A682B" w:rsidRDefault="0018081A" w:rsidP="003E4206">
      <w:pPr>
        <w:ind w:firstLine="720"/>
        <w:rPr>
          <w:rFonts w:ascii="Arial" w:hAnsi="Arial" w:cs="Arial"/>
          <w:sz w:val="20"/>
          <w:szCs w:val="20"/>
        </w:rPr>
      </w:pPr>
      <w:r w:rsidRPr="007A682B">
        <w:rPr>
          <w:rFonts w:ascii="Arial" w:hAnsi="Arial" w:cs="Arial"/>
          <w:sz w:val="20"/>
          <w:szCs w:val="20"/>
        </w:rPr>
        <w:t>Following euthanasia, we dissected out the ventrocaudal telencephala (</w:t>
      </w:r>
      <w:r w:rsidR="00DB4306" w:rsidRPr="007A682B">
        <w:rPr>
          <w:rFonts w:ascii="Arial" w:hAnsi="Arial" w:cs="Arial"/>
          <w:sz w:val="20"/>
          <w:szCs w:val="20"/>
          <w:highlight w:val="yellow"/>
        </w:rPr>
        <w:t>M</w:t>
      </w:r>
      <w:r w:rsidRPr="007A682B">
        <w:rPr>
          <w:rFonts w:ascii="Arial" w:hAnsi="Arial" w:cs="Arial"/>
          <w:sz w:val="20"/>
          <w:szCs w:val="20"/>
          <w:highlight w:val="yellow"/>
        </w:rPr>
        <w:t>ethods</w:t>
      </w:r>
      <w:r w:rsidR="00715C76" w:rsidRPr="007A682B">
        <w:rPr>
          <w:rFonts w:ascii="Arial" w:hAnsi="Arial" w:cs="Arial"/>
          <w:sz w:val="20"/>
          <w:szCs w:val="20"/>
        </w:rPr>
        <w:t xml:space="preserve">, </w:t>
      </w:r>
      <w:r w:rsidR="00715C76" w:rsidRPr="007A682B">
        <w:rPr>
          <w:rFonts w:ascii="Arial" w:hAnsi="Arial" w:cs="Arial"/>
          <w:sz w:val="20"/>
          <w:szCs w:val="20"/>
          <w:highlight w:val="yellow"/>
        </w:rPr>
        <w:t xml:space="preserve">Fig. </w:t>
      </w:r>
      <w:commentRangeStart w:id="4"/>
      <w:r w:rsidR="00715C76" w:rsidRPr="007A682B">
        <w:rPr>
          <w:rFonts w:ascii="Arial" w:hAnsi="Arial" w:cs="Arial"/>
          <w:sz w:val="20"/>
          <w:szCs w:val="20"/>
          <w:highlight w:val="yellow"/>
        </w:rPr>
        <w:t>S2</w:t>
      </w:r>
      <w:commentRangeEnd w:id="4"/>
      <w:r w:rsidR="00715C76" w:rsidRPr="007A682B">
        <w:rPr>
          <w:rStyle w:val="CommentReference"/>
          <w:rFonts w:ascii="Arial" w:hAnsi="Arial" w:cs="Arial"/>
          <w:sz w:val="20"/>
          <w:szCs w:val="20"/>
        </w:rPr>
        <w:commentReference w:id="4"/>
      </w:r>
      <w:r w:rsidR="00170D0A" w:rsidRPr="007A682B">
        <w:rPr>
          <w:rFonts w:ascii="Arial" w:hAnsi="Arial" w:cs="Arial"/>
          <w:sz w:val="20"/>
          <w:szCs w:val="20"/>
        </w:rPr>
        <w:t xml:space="preserve"> </w:t>
      </w:r>
      <w:r w:rsidR="00170D0A" w:rsidRPr="007A682B">
        <w:rPr>
          <w:rFonts w:ascii="Arial" w:hAnsi="Arial" w:cs="Arial"/>
          <w:sz w:val="20"/>
          <w:szCs w:val="20"/>
          <w:highlight w:val="yellow"/>
        </w:rPr>
        <w:t>A, B</w:t>
      </w:r>
      <w:r w:rsidR="00433010" w:rsidRPr="007A682B">
        <w:rPr>
          <w:rFonts w:ascii="Arial" w:hAnsi="Arial" w:cs="Arial"/>
          <w:sz w:val="20"/>
          <w:szCs w:val="20"/>
        </w:rPr>
        <w:t xml:space="preserve"> </w:t>
      </w:r>
      <w:r w:rsidR="004A27C9" w:rsidRPr="004A27C9">
        <w:rPr>
          <w:rFonts w:ascii="Arial" w:hAnsi="Arial" w:cs="Arial"/>
          <w:sz w:val="20"/>
          <w:szCs w:val="20"/>
          <w:highlight w:val="yellow"/>
        </w:rPr>
        <w:t>xx</w:t>
      </w:r>
      <w:r w:rsidR="00433010" w:rsidRPr="007A682B">
        <w:rPr>
          <w:rFonts w:ascii="Arial" w:hAnsi="Arial" w:cs="Arial"/>
          <w:sz w:val="20"/>
          <w:szCs w:val="20"/>
          <w:highlight w:val="yellow"/>
        </w:rPr>
        <w:t xml:space="preserve"> Coltan can you review the figure and see if there is anything you want to change about it</w:t>
      </w:r>
      <w:r w:rsidRPr="007A682B">
        <w:rPr>
          <w:rFonts w:ascii="Arial" w:hAnsi="Arial" w:cs="Arial"/>
          <w:sz w:val="20"/>
          <w:szCs w:val="20"/>
        </w:rPr>
        <w:t xml:space="preserve">) targeting the </w:t>
      </w:r>
      <w:r w:rsidR="00E318E3" w:rsidRPr="007A682B">
        <w:rPr>
          <w:rFonts w:ascii="Arial" w:hAnsi="Arial" w:cs="Arial"/>
          <w:sz w:val="20"/>
          <w:szCs w:val="20"/>
        </w:rPr>
        <w:t>P</w:t>
      </w:r>
      <w:r w:rsidRPr="007A682B">
        <w:rPr>
          <w:rFonts w:ascii="Arial" w:hAnsi="Arial" w:cs="Arial"/>
          <w:sz w:val="20"/>
          <w:szCs w:val="20"/>
        </w:rPr>
        <w:t>OA</w:t>
      </w:r>
      <w:r w:rsidR="00E318E3" w:rsidRPr="007A682B">
        <w:rPr>
          <w:rFonts w:ascii="Arial" w:hAnsi="Arial" w:cs="Arial"/>
          <w:sz w:val="20"/>
          <w:szCs w:val="20"/>
        </w:rPr>
        <w:t>s</w:t>
      </w:r>
      <w:r w:rsidRPr="007A682B">
        <w:rPr>
          <w:rFonts w:ascii="Arial" w:hAnsi="Arial" w:cs="Arial"/>
          <w:sz w:val="20"/>
          <w:szCs w:val="20"/>
        </w:rPr>
        <w:t xml:space="preserve"> from males (n = 6), </w:t>
      </w:r>
      <w:r w:rsidR="00A836DA">
        <w:rPr>
          <w:rFonts w:ascii="Arial" w:hAnsi="Arial" w:cs="Arial"/>
          <w:sz w:val="20"/>
          <w:szCs w:val="20"/>
        </w:rPr>
        <w:t>I</w:t>
      </w:r>
      <w:r w:rsidRPr="007A682B">
        <w:rPr>
          <w:rFonts w:ascii="Arial" w:hAnsi="Arial" w:cs="Arial"/>
          <w:sz w:val="20"/>
          <w:szCs w:val="20"/>
        </w:rPr>
        <w:t xml:space="preserve">ntermediates (n = 7), </w:t>
      </w:r>
      <w:r w:rsidR="00A836DA">
        <w:rPr>
          <w:rFonts w:ascii="Arial" w:hAnsi="Arial" w:cs="Arial"/>
          <w:sz w:val="20"/>
          <w:szCs w:val="20"/>
        </w:rPr>
        <w:t>L</w:t>
      </w:r>
      <w:r w:rsidRPr="007A682B">
        <w:rPr>
          <w:rFonts w:ascii="Arial" w:hAnsi="Arial" w:cs="Arial"/>
          <w:sz w:val="20"/>
          <w:szCs w:val="20"/>
        </w:rPr>
        <w:t xml:space="preserve">ate </w:t>
      </w:r>
      <w:r w:rsidR="00A836DA">
        <w:rPr>
          <w:rFonts w:ascii="Arial" w:hAnsi="Arial" w:cs="Arial"/>
          <w:sz w:val="20"/>
          <w:szCs w:val="20"/>
        </w:rPr>
        <w:t>I</w:t>
      </w:r>
      <w:r w:rsidRPr="007A682B">
        <w:rPr>
          <w:rFonts w:ascii="Arial" w:hAnsi="Arial" w:cs="Arial"/>
          <w:sz w:val="20"/>
          <w:szCs w:val="20"/>
        </w:rPr>
        <w:t xml:space="preserve">ntermediates (n = 2), the </w:t>
      </w:r>
      <w:r w:rsidR="00A836DA">
        <w:rPr>
          <w:rFonts w:ascii="Arial" w:hAnsi="Arial" w:cs="Arial"/>
          <w:sz w:val="20"/>
          <w:szCs w:val="20"/>
        </w:rPr>
        <w:t>N</w:t>
      </w:r>
      <w:r w:rsidRPr="007A682B">
        <w:rPr>
          <w:rFonts w:ascii="Arial" w:hAnsi="Arial" w:cs="Arial"/>
          <w:sz w:val="20"/>
          <w:szCs w:val="20"/>
        </w:rPr>
        <w:t xml:space="preserve">ew </w:t>
      </w:r>
      <w:r w:rsidR="00A836DA">
        <w:rPr>
          <w:rFonts w:ascii="Arial" w:hAnsi="Arial" w:cs="Arial"/>
          <w:sz w:val="20"/>
          <w:szCs w:val="20"/>
        </w:rPr>
        <w:t>F</w:t>
      </w:r>
      <w:r w:rsidRPr="007A682B">
        <w:rPr>
          <w:rFonts w:ascii="Arial" w:hAnsi="Arial" w:cs="Arial"/>
          <w:sz w:val="20"/>
          <w:szCs w:val="20"/>
        </w:rPr>
        <w:t xml:space="preserve">emale (n =1), and </w:t>
      </w:r>
      <w:r w:rsidR="00A836DA">
        <w:rPr>
          <w:rFonts w:ascii="Arial" w:hAnsi="Arial" w:cs="Arial"/>
          <w:sz w:val="20"/>
          <w:szCs w:val="20"/>
        </w:rPr>
        <w:t>F</w:t>
      </w:r>
      <w:r w:rsidRPr="007A682B">
        <w:rPr>
          <w:rFonts w:ascii="Arial" w:hAnsi="Arial" w:cs="Arial"/>
          <w:sz w:val="20"/>
          <w:szCs w:val="20"/>
        </w:rPr>
        <w:t>emales (n = 6) and used single-nucleus multiomics (snMultiome; RNA + ATAC modalities) to profile gene expression and chromatin accessibility changes during sex change. In total, 35,364 nuclei passed quality control and were clustered using weighted shared nearest neighbors analysis</w:t>
      </w:r>
      <w:r w:rsidR="00433010" w:rsidRPr="007A682B">
        <w:rPr>
          <w:rFonts w:ascii="Arial" w:hAnsi="Arial" w:cs="Arial"/>
          <w:sz w:val="20"/>
          <w:szCs w:val="20"/>
        </w:rPr>
        <w:t xml:space="preserve"> </w:t>
      </w:r>
      <w:r w:rsidR="004A27C9" w:rsidRPr="004A27C9">
        <w:rPr>
          <w:rFonts w:ascii="Arial" w:hAnsi="Arial" w:cs="Arial"/>
          <w:sz w:val="20"/>
          <w:szCs w:val="20"/>
          <w:highlight w:val="yellow"/>
        </w:rPr>
        <w:t>xx</w:t>
      </w:r>
      <w:r w:rsidR="00433010" w:rsidRPr="007A682B">
        <w:rPr>
          <w:rFonts w:ascii="Arial" w:hAnsi="Arial" w:cs="Arial"/>
          <w:sz w:val="20"/>
          <w:szCs w:val="20"/>
          <w:highlight w:val="yellow"/>
        </w:rPr>
        <w:t xml:space="preserve"> Katie I’m not sure if you want to edit this since we used harmony for the clustering, or if you want to keep that to only being discussed in methods</w:t>
      </w:r>
      <w:r w:rsidRPr="007A682B">
        <w:rPr>
          <w:rFonts w:ascii="Arial" w:hAnsi="Arial" w:cs="Arial"/>
          <w:sz w:val="20"/>
          <w:szCs w:val="20"/>
        </w:rPr>
        <w:t xml:space="preserve">. Hierarchical clustering yielded 27 clusters: 20 neuronal and </w:t>
      </w:r>
      <w:r w:rsidR="00BA565C">
        <w:rPr>
          <w:rFonts w:ascii="Arial" w:hAnsi="Arial" w:cs="Arial"/>
          <w:sz w:val="20"/>
          <w:szCs w:val="20"/>
        </w:rPr>
        <w:t>7</w:t>
      </w:r>
      <w:r w:rsidRPr="007A682B">
        <w:rPr>
          <w:rFonts w:ascii="Arial" w:hAnsi="Arial" w:cs="Arial"/>
          <w:sz w:val="20"/>
          <w:szCs w:val="20"/>
        </w:rPr>
        <w:t xml:space="preserve"> glial </w:t>
      </w:r>
      <w:r w:rsidRPr="007A682B">
        <w:rPr>
          <w:rFonts w:ascii="Arial" w:hAnsi="Arial" w:cs="Arial"/>
          <w:sz w:val="20"/>
          <w:szCs w:val="20"/>
          <w:highlight w:val="yellow"/>
        </w:rPr>
        <w:t>(Fig. 2A)</w:t>
      </w:r>
      <w:r w:rsidRPr="007A682B">
        <w:rPr>
          <w:rFonts w:ascii="Arial" w:hAnsi="Arial" w:cs="Arial"/>
          <w:sz w:val="20"/>
          <w:szCs w:val="20"/>
        </w:rPr>
        <w:t xml:space="preserve">. </w:t>
      </w:r>
    </w:p>
    <w:p w14:paraId="4B40617E" w14:textId="77777777" w:rsidR="0018081A" w:rsidRPr="007A682B" w:rsidRDefault="0018081A" w:rsidP="0018081A">
      <w:pPr>
        <w:ind w:firstLine="720"/>
        <w:rPr>
          <w:rFonts w:ascii="Arial" w:hAnsi="Arial" w:cs="Arial"/>
          <w:sz w:val="20"/>
          <w:szCs w:val="20"/>
        </w:rPr>
      </w:pPr>
      <w:r w:rsidRPr="007A682B">
        <w:rPr>
          <w:rFonts w:ascii="Arial" w:hAnsi="Arial" w:cs="Arial"/>
          <w:sz w:val="20"/>
          <w:szCs w:val="20"/>
        </w:rPr>
        <w:t>Following clustering, we identified 10 glutamatergic (</w:t>
      </w:r>
      <w:r w:rsidRPr="007A682B">
        <w:rPr>
          <w:rFonts w:ascii="Arial" w:hAnsi="Arial" w:cs="Arial"/>
          <w:i/>
          <w:iCs/>
          <w:sz w:val="20"/>
          <w:szCs w:val="20"/>
        </w:rPr>
        <w:t xml:space="preserve">slc17a6b+ </w:t>
      </w:r>
      <w:r w:rsidRPr="007A682B">
        <w:rPr>
          <w:rFonts w:ascii="Arial" w:hAnsi="Arial" w:cs="Arial"/>
          <w:sz w:val="20"/>
          <w:szCs w:val="20"/>
        </w:rPr>
        <w:t>or</w:t>
      </w:r>
      <w:r w:rsidRPr="007A682B">
        <w:rPr>
          <w:rFonts w:ascii="Arial" w:hAnsi="Arial" w:cs="Arial"/>
          <w:i/>
          <w:iCs/>
          <w:sz w:val="20"/>
          <w:szCs w:val="20"/>
        </w:rPr>
        <w:t xml:space="preserve"> slc17a7a+</w:t>
      </w:r>
      <w:r w:rsidRPr="007A682B">
        <w:rPr>
          <w:rFonts w:ascii="Arial" w:hAnsi="Arial" w:cs="Arial"/>
          <w:sz w:val="20"/>
          <w:szCs w:val="20"/>
        </w:rPr>
        <w:t>), six GABAergic (</w:t>
      </w:r>
      <w:r w:rsidRPr="007A682B">
        <w:rPr>
          <w:rFonts w:ascii="Arial" w:hAnsi="Arial" w:cs="Arial"/>
          <w:i/>
          <w:iCs/>
          <w:sz w:val="20"/>
          <w:szCs w:val="20"/>
        </w:rPr>
        <w:t xml:space="preserve">gad1+ </w:t>
      </w:r>
      <w:r w:rsidRPr="007A682B">
        <w:rPr>
          <w:rFonts w:ascii="Arial" w:hAnsi="Arial" w:cs="Arial"/>
          <w:sz w:val="20"/>
          <w:szCs w:val="20"/>
        </w:rPr>
        <w:t xml:space="preserve">or </w:t>
      </w:r>
      <w:r w:rsidRPr="007A682B">
        <w:rPr>
          <w:rFonts w:ascii="Arial" w:hAnsi="Arial" w:cs="Arial"/>
          <w:i/>
          <w:iCs/>
          <w:sz w:val="20"/>
          <w:szCs w:val="20"/>
        </w:rPr>
        <w:t>gad2+</w:t>
      </w:r>
      <w:r w:rsidRPr="007A682B">
        <w:rPr>
          <w:rFonts w:ascii="Arial" w:hAnsi="Arial" w:cs="Arial"/>
          <w:sz w:val="20"/>
          <w:szCs w:val="20"/>
        </w:rPr>
        <w:t xml:space="preserve">), and four mixed (GABA and glutamatergic markers) neuronal clusters. Further, we detected clusters of radial glial cells (1_RGC, </w:t>
      </w:r>
      <w:r w:rsidRPr="007A682B">
        <w:rPr>
          <w:rFonts w:ascii="Arial" w:hAnsi="Arial" w:cs="Arial"/>
          <w:i/>
          <w:iCs/>
          <w:sz w:val="20"/>
          <w:szCs w:val="20"/>
        </w:rPr>
        <w:t xml:space="preserve">gfap+ </w:t>
      </w:r>
      <w:r w:rsidRPr="007A682B">
        <w:rPr>
          <w:rFonts w:ascii="Arial" w:hAnsi="Arial" w:cs="Arial"/>
          <w:sz w:val="20"/>
          <w:szCs w:val="20"/>
        </w:rPr>
        <w:t xml:space="preserve">and </w:t>
      </w:r>
      <w:r w:rsidRPr="007A682B">
        <w:rPr>
          <w:rFonts w:ascii="Arial" w:hAnsi="Arial" w:cs="Arial"/>
          <w:i/>
          <w:iCs/>
          <w:sz w:val="20"/>
          <w:szCs w:val="20"/>
        </w:rPr>
        <w:t>crocc2-</w:t>
      </w:r>
      <w:r w:rsidRPr="007A682B">
        <w:rPr>
          <w:rFonts w:ascii="Arial" w:hAnsi="Arial" w:cs="Arial"/>
          <w:sz w:val="20"/>
          <w:szCs w:val="20"/>
        </w:rPr>
        <w:t xml:space="preserve">), ependymal cells (15_EC, </w:t>
      </w:r>
      <w:r w:rsidRPr="007A682B">
        <w:rPr>
          <w:rFonts w:ascii="Arial" w:hAnsi="Arial" w:cs="Arial"/>
          <w:i/>
          <w:iCs/>
          <w:sz w:val="20"/>
          <w:szCs w:val="20"/>
        </w:rPr>
        <w:t xml:space="preserve">gfap+ </w:t>
      </w:r>
      <w:r w:rsidRPr="007A682B">
        <w:rPr>
          <w:rFonts w:ascii="Arial" w:hAnsi="Arial" w:cs="Arial"/>
          <w:sz w:val="20"/>
          <w:szCs w:val="20"/>
        </w:rPr>
        <w:t xml:space="preserve">and </w:t>
      </w:r>
      <w:r w:rsidRPr="007A682B">
        <w:rPr>
          <w:rFonts w:ascii="Arial" w:hAnsi="Arial" w:cs="Arial"/>
          <w:i/>
          <w:iCs/>
          <w:sz w:val="20"/>
          <w:szCs w:val="20"/>
        </w:rPr>
        <w:t>crocc2+</w:t>
      </w:r>
      <w:r w:rsidRPr="007A682B">
        <w:rPr>
          <w:rFonts w:ascii="Arial" w:hAnsi="Arial" w:cs="Arial"/>
          <w:sz w:val="20"/>
          <w:szCs w:val="20"/>
        </w:rPr>
        <w:t xml:space="preserve">), dividing glia (26_DG, </w:t>
      </w:r>
      <w:r w:rsidRPr="007A682B">
        <w:rPr>
          <w:rFonts w:ascii="Arial" w:hAnsi="Arial" w:cs="Arial"/>
          <w:i/>
          <w:iCs/>
          <w:sz w:val="20"/>
          <w:szCs w:val="20"/>
        </w:rPr>
        <w:t xml:space="preserve">gfap+ </w:t>
      </w:r>
      <w:r w:rsidRPr="007A682B">
        <w:rPr>
          <w:rFonts w:ascii="Arial" w:hAnsi="Arial" w:cs="Arial"/>
          <w:sz w:val="20"/>
          <w:szCs w:val="20"/>
        </w:rPr>
        <w:t xml:space="preserve">and </w:t>
      </w:r>
      <w:r w:rsidRPr="007A682B">
        <w:rPr>
          <w:rFonts w:ascii="Arial" w:hAnsi="Arial" w:cs="Arial"/>
          <w:i/>
          <w:iCs/>
          <w:sz w:val="20"/>
          <w:szCs w:val="20"/>
        </w:rPr>
        <w:t>top2a+</w:t>
      </w:r>
      <w:r w:rsidRPr="007A682B">
        <w:rPr>
          <w:rFonts w:ascii="Arial" w:hAnsi="Arial" w:cs="Arial"/>
          <w:sz w:val="20"/>
          <w:szCs w:val="20"/>
        </w:rPr>
        <w:t xml:space="preserve">), oligodendrocytes (2_OL, </w:t>
      </w:r>
      <w:r w:rsidRPr="007A682B">
        <w:rPr>
          <w:rFonts w:ascii="Arial" w:hAnsi="Arial" w:cs="Arial"/>
          <w:i/>
          <w:iCs/>
          <w:sz w:val="20"/>
          <w:szCs w:val="20"/>
        </w:rPr>
        <w:t>mbpa+</w:t>
      </w:r>
      <w:r w:rsidRPr="007A682B">
        <w:rPr>
          <w:rFonts w:ascii="Arial" w:hAnsi="Arial" w:cs="Arial"/>
          <w:sz w:val="20"/>
          <w:szCs w:val="20"/>
        </w:rPr>
        <w:t xml:space="preserve">), oligodendrocyte precursor cells (13_OPC, </w:t>
      </w:r>
      <w:r w:rsidRPr="007A682B">
        <w:rPr>
          <w:rFonts w:ascii="Arial" w:hAnsi="Arial" w:cs="Arial"/>
          <w:i/>
          <w:iCs/>
          <w:sz w:val="20"/>
          <w:szCs w:val="20"/>
        </w:rPr>
        <w:t>cspg+</w:t>
      </w:r>
      <w:r w:rsidRPr="007A682B">
        <w:rPr>
          <w:rFonts w:ascii="Arial" w:hAnsi="Arial" w:cs="Arial"/>
          <w:sz w:val="20"/>
          <w:szCs w:val="20"/>
        </w:rPr>
        <w:t xml:space="preserve">), microglia (11_MG, </w:t>
      </w:r>
      <w:r w:rsidRPr="007A682B">
        <w:rPr>
          <w:rFonts w:ascii="Arial" w:hAnsi="Arial" w:cs="Arial"/>
          <w:i/>
          <w:iCs/>
          <w:sz w:val="20"/>
          <w:szCs w:val="20"/>
        </w:rPr>
        <w:t xml:space="preserve">ptprc+ </w:t>
      </w:r>
      <w:r w:rsidRPr="007A682B">
        <w:rPr>
          <w:rFonts w:ascii="Arial" w:hAnsi="Arial" w:cs="Arial"/>
          <w:sz w:val="20"/>
          <w:szCs w:val="20"/>
        </w:rPr>
        <w:t xml:space="preserve">and </w:t>
      </w:r>
      <w:r w:rsidRPr="007A682B">
        <w:rPr>
          <w:rFonts w:ascii="Arial" w:hAnsi="Arial" w:cs="Arial"/>
          <w:i/>
          <w:iCs/>
          <w:sz w:val="20"/>
          <w:szCs w:val="20"/>
        </w:rPr>
        <w:t>p2ry12+</w:t>
      </w:r>
      <w:r w:rsidRPr="007A682B">
        <w:rPr>
          <w:rFonts w:ascii="Arial" w:hAnsi="Arial" w:cs="Arial"/>
          <w:sz w:val="20"/>
          <w:szCs w:val="20"/>
        </w:rPr>
        <w:t xml:space="preserve">) and leukocytes (20_Leuko, </w:t>
      </w:r>
      <w:r w:rsidRPr="007A682B">
        <w:rPr>
          <w:rFonts w:ascii="Arial" w:hAnsi="Arial" w:cs="Arial"/>
          <w:i/>
          <w:iCs/>
          <w:sz w:val="20"/>
          <w:szCs w:val="20"/>
        </w:rPr>
        <w:t xml:space="preserve">ptprc+ </w:t>
      </w:r>
      <w:r w:rsidRPr="007A682B">
        <w:rPr>
          <w:rFonts w:ascii="Arial" w:hAnsi="Arial" w:cs="Arial"/>
          <w:sz w:val="20"/>
          <w:szCs w:val="20"/>
        </w:rPr>
        <w:t xml:space="preserve">and </w:t>
      </w:r>
      <w:r w:rsidRPr="007A682B">
        <w:rPr>
          <w:rFonts w:ascii="Arial" w:hAnsi="Arial" w:cs="Arial"/>
          <w:i/>
          <w:iCs/>
          <w:sz w:val="20"/>
          <w:szCs w:val="20"/>
        </w:rPr>
        <w:t>p2ry12-</w:t>
      </w:r>
      <w:r w:rsidRPr="007A682B">
        <w:rPr>
          <w:rFonts w:ascii="Arial" w:hAnsi="Arial" w:cs="Arial"/>
          <w:sz w:val="20"/>
          <w:szCs w:val="20"/>
        </w:rPr>
        <w:t xml:space="preserve">). These markers along with strong markers for each cluster from Seurat’s “FindMarkers” function are shown in </w:t>
      </w:r>
      <w:r w:rsidRPr="007A682B">
        <w:rPr>
          <w:rFonts w:ascii="Arial" w:hAnsi="Arial" w:cs="Arial"/>
          <w:sz w:val="20"/>
          <w:szCs w:val="20"/>
          <w:highlight w:val="yellow"/>
        </w:rPr>
        <w:t>Figure 2B</w:t>
      </w:r>
      <w:r w:rsidRPr="007A682B">
        <w:rPr>
          <w:rFonts w:ascii="Arial" w:hAnsi="Arial" w:cs="Arial"/>
          <w:sz w:val="20"/>
          <w:szCs w:val="20"/>
        </w:rPr>
        <w:t>.</w:t>
      </w:r>
    </w:p>
    <w:p w14:paraId="26689E4A" w14:textId="4DD3C932" w:rsidR="0018081A" w:rsidRPr="007A682B" w:rsidRDefault="0018081A" w:rsidP="0018081A">
      <w:pPr>
        <w:rPr>
          <w:rFonts w:ascii="Arial" w:hAnsi="Arial" w:cs="Arial"/>
          <w:sz w:val="20"/>
          <w:szCs w:val="20"/>
        </w:rPr>
      </w:pPr>
      <w:r w:rsidRPr="007A682B">
        <w:rPr>
          <w:rFonts w:ascii="Arial" w:hAnsi="Arial" w:cs="Arial"/>
          <w:sz w:val="20"/>
          <w:szCs w:val="20"/>
        </w:rPr>
        <w:tab/>
        <w:t>Using Visium HD, we further generated spatial transcriptomic atlases of anemonefish telencephala and adjacent regions using n =6 male and 6 female anemonefish. In total 433,999 cell segmented polygons passed quality control. We then manually annotated neuroanatomical regions (</w:t>
      </w:r>
      <w:r w:rsidR="003247AC" w:rsidRPr="007A682B">
        <w:rPr>
          <w:rFonts w:ascii="Arial" w:hAnsi="Arial" w:cs="Arial"/>
          <w:sz w:val="20"/>
          <w:szCs w:val="20"/>
        </w:rPr>
        <w:t>M</w:t>
      </w:r>
      <w:r w:rsidRPr="007A682B">
        <w:rPr>
          <w:rFonts w:ascii="Arial" w:hAnsi="Arial" w:cs="Arial"/>
          <w:sz w:val="20"/>
          <w:szCs w:val="20"/>
        </w:rPr>
        <w:t xml:space="preserve">ethods, </w:t>
      </w:r>
      <w:r w:rsidRPr="007A682B">
        <w:rPr>
          <w:rFonts w:ascii="Arial" w:hAnsi="Arial" w:cs="Arial"/>
          <w:sz w:val="20"/>
          <w:szCs w:val="20"/>
          <w:highlight w:val="yellow"/>
        </w:rPr>
        <w:t>Fig. S</w:t>
      </w:r>
      <w:r w:rsidR="006468B0" w:rsidRPr="007A682B">
        <w:rPr>
          <w:rFonts w:ascii="Arial" w:hAnsi="Arial" w:cs="Arial"/>
          <w:sz w:val="20"/>
          <w:szCs w:val="20"/>
          <w:highlight w:val="yellow"/>
        </w:rPr>
        <w:t>3</w:t>
      </w:r>
      <w:r w:rsidRPr="007A682B">
        <w:rPr>
          <w:rFonts w:ascii="Arial" w:hAnsi="Arial" w:cs="Arial"/>
          <w:sz w:val="20"/>
          <w:szCs w:val="20"/>
        </w:rPr>
        <w:t xml:space="preserve">). To </w:t>
      </w:r>
      <w:r w:rsidR="00D770B1" w:rsidRPr="007A682B">
        <w:rPr>
          <w:rFonts w:ascii="Arial" w:hAnsi="Arial" w:cs="Arial"/>
          <w:sz w:val="20"/>
          <w:szCs w:val="20"/>
        </w:rPr>
        <w:t xml:space="preserve">spatially </w:t>
      </w:r>
      <w:r w:rsidRPr="007A682B">
        <w:rPr>
          <w:rFonts w:ascii="Arial" w:hAnsi="Arial" w:cs="Arial"/>
          <w:sz w:val="20"/>
          <w:szCs w:val="20"/>
        </w:rPr>
        <w:t>annotate our snMultiome clusters, we next used Cell2location to project the multiome clusters onto our spatial atlases</w:t>
      </w:r>
      <w:r w:rsidR="00715C76" w:rsidRPr="007A682B">
        <w:rPr>
          <w:rFonts w:ascii="Arial" w:hAnsi="Arial" w:cs="Arial"/>
          <w:sz w:val="20"/>
          <w:szCs w:val="20"/>
        </w:rPr>
        <w:t xml:space="preserve">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{"citationID":"6P8seHCt","properties":{"unsorted":false,"formattedCitation":"(19)","plainCitation":"(19)","noteIndex":0},"citationItems":[{"id":6492,"uris":["http://zotero.org/users/11313215/items/BC3FN9G6"],"itemData":{"id":6492,"type":"article-journal","abstract":"Spatial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7A682B">
        <w:rPr>
          <w:rFonts w:ascii="Arial" w:hAnsi="Arial" w:cs="Arial"/>
          <w:sz w:val="20"/>
          <w:szCs w:val="20"/>
        </w:rPr>
        <w:fldChar w:fldCharType="separate"/>
      </w:r>
      <w:r w:rsidR="00304DDF">
        <w:rPr>
          <w:rFonts w:ascii="Arial" w:hAnsi="Arial" w:cs="Arial"/>
          <w:sz w:val="20"/>
          <w:szCs w:val="20"/>
        </w:rPr>
        <w:t>(19)</w:t>
      </w:r>
      <w:r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sz w:val="20"/>
          <w:szCs w:val="20"/>
          <w:highlight w:val="yellow"/>
        </w:rPr>
        <w:t>Fig. 2C,D</w:t>
      </w:r>
      <w:r w:rsidRPr="007A682B">
        <w:rPr>
          <w:rFonts w:ascii="Arial" w:hAnsi="Arial" w:cs="Arial"/>
          <w:sz w:val="20"/>
          <w:szCs w:val="20"/>
        </w:rPr>
        <w:t xml:space="preserve">). </w:t>
      </w:r>
      <w:r w:rsidRPr="007A682B">
        <w:rPr>
          <w:rFonts w:ascii="Arial" w:hAnsi="Arial" w:cs="Arial"/>
          <w:sz w:val="20"/>
          <w:szCs w:val="20"/>
          <w:highlight w:val="yellow"/>
        </w:rPr>
        <w:t>Figure 2C</w:t>
      </w:r>
      <w:r w:rsidRPr="007A682B">
        <w:rPr>
          <w:rFonts w:ascii="Arial" w:hAnsi="Arial" w:cs="Arial"/>
          <w:sz w:val="20"/>
          <w:szCs w:val="20"/>
        </w:rPr>
        <w:t xml:space="preserve"> shows a heatmap of the cell type composition of each region. We labeled clusters based on primary cell type (neuronal versus glial), primary neurotransmitter (Glutamate, GABA, or mixed), and neuroanatomical location if the cell type was spatially localized (</w:t>
      </w:r>
      <w:r w:rsidRPr="007A682B">
        <w:rPr>
          <w:rFonts w:ascii="Arial" w:hAnsi="Arial" w:cs="Arial"/>
          <w:sz w:val="20"/>
          <w:szCs w:val="20"/>
          <w:highlight w:val="yellow"/>
        </w:rPr>
        <w:t xml:space="preserve">see Appendix </w:t>
      </w:r>
      <w:r w:rsidR="00C538DF" w:rsidRPr="007A682B">
        <w:rPr>
          <w:rFonts w:ascii="Arial" w:hAnsi="Arial" w:cs="Arial"/>
          <w:sz w:val="20"/>
          <w:szCs w:val="20"/>
          <w:highlight w:val="yellow"/>
        </w:rPr>
        <w:t>S2</w:t>
      </w:r>
      <w:r w:rsidRPr="007A682B">
        <w:rPr>
          <w:rFonts w:ascii="Arial" w:hAnsi="Arial" w:cs="Arial"/>
          <w:sz w:val="20"/>
          <w:szCs w:val="20"/>
          <w:highlight w:val="yellow"/>
        </w:rPr>
        <w:t xml:space="preserve"> for all cell type labels and S</w:t>
      </w:r>
      <w:r w:rsidR="00C538DF" w:rsidRPr="007A682B">
        <w:rPr>
          <w:rFonts w:ascii="Arial" w:hAnsi="Arial" w:cs="Arial"/>
          <w:sz w:val="20"/>
          <w:szCs w:val="20"/>
          <w:highlight w:val="yellow"/>
        </w:rPr>
        <w:t>3</w:t>
      </w:r>
      <w:r w:rsidRPr="007A682B">
        <w:rPr>
          <w:rFonts w:ascii="Arial" w:hAnsi="Arial" w:cs="Arial"/>
          <w:sz w:val="20"/>
          <w:szCs w:val="20"/>
          <w:highlight w:val="yellow"/>
        </w:rPr>
        <w:t xml:space="preserve"> for abbreviations</w:t>
      </w:r>
      <w:r w:rsidRPr="007A682B">
        <w:rPr>
          <w:rFonts w:ascii="Arial" w:hAnsi="Arial" w:cs="Arial"/>
          <w:sz w:val="20"/>
          <w:szCs w:val="20"/>
        </w:rPr>
        <w:t>).</w:t>
      </w:r>
    </w:p>
    <w:p w14:paraId="168D3AB4" w14:textId="5ED8A153" w:rsidR="0018081A" w:rsidRPr="007A682B" w:rsidRDefault="0018081A" w:rsidP="0018081A">
      <w:pPr>
        <w:rPr>
          <w:rFonts w:ascii="Arial" w:hAnsi="Arial" w:cs="Arial"/>
          <w:sz w:val="20"/>
          <w:szCs w:val="20"/>
        </w:rPr>
      </w:pPr>
      <w:r w:rsidRPr="007A682B">
        <w:rPr>
          <w:rFonts w:ascii="Arial" w:hAnsi="Arial" w:cs="Arial"/>
          <w:sz w:val="20"/>
          <w:szCs w:val="20"/>
        </w:rPr>
        <w:t xml:space="preserve"> </w:t>
      </w:r>
      <w:r w:rsidRPr="007A682B">
        <w:rPr>
          <w:rFonts w:ascii="Arial" w:hAnsi="Arial" w:cs="Arial"/>
          <w:sz w:val="20"/>
          <w:szCs w:val="20"/>
        </w:rPr>
        <w:tab/>
        <w:t>Several multiome clusters mapped to specific neuroanatomical regions. Cluster 6 mapped strongly to parvocellular and magnocellular regions of the POA. This mapping along with expression of</w:t>
      </w:r>
      <w:r w:rsidR="0076007E" w:rsidRPr="007A682B">
        <w:rPr>
          <w:rFonts w:ascii="Arial" w:hAnsi="Arial" w:cs="Arial"/>
          <w:sz w:val="20"/>
          <w:szCs w:val="20"/>
        </w:rPr>
        <w:t xml:space="preserve"> markers </w:t>
      </w:r>
      <w:r w:rsidRPr="007A682B">
        <w:rPr>
          <w:rFonts w:ascii="Arial" w:hAnsi="Arial" w:cs="Arial"/>
          <w:i/>
          <w:iCs/>
          <w:sz w:val="20"/>
          <w:szCs w:val="20"/>
        </w:rPr>
        <w:t>hmx2, hmx3a</w:t>
      </w:r>
      <w:r w:rsidRPr="007A682B">
        <w:rPr>
          <w:rFonts w:ascii="Arial" w:hAnsi="Arial" w:cs="Arial"/>
          <w:sz w:val="20"/>
          <w:szCs w:val="20"/>
        </w:rPr>
        <w:t xml:space="preserve">, </w:t>
      </w:r>
      <w:r w:rsidRPr="007A682B">
        <w:rPr>
          <w:rFonts w:ascii="Arial" w:hAnsi="Arial" w:cs="Arial"/>
          <w:i/>
          <w:iCs/>
          <w:sz w:val="20"/>
          <w:szCs w:val="20"/>
        </w:rPr>
        <w:t xml:space="preserve">hmx3b, avp, oxt, cckb, otpa </w:t>
      </w:r>
      <w:r w:rsidRPr="007A682B">
        <w:rPr>
          <w:rFonts w:ascii="Arial" w:hAnsi="Arial" w:cs="Arial"/>
          <w:i/>
          <w:iCs/>
          <w:sz w:val="20"/>
          <w:szCs w:val="20"/>
        </w:rPr>
        <w:fldChar w:fldCharType="begin"/>
      </w:r>
      <w:r w:rsidR="00304DDF">
        <w:rPr>
          <w:rFonts w:ascii="Arial" w:hAnsi="Arial" w:cs="Arial"/>
          <w:i/>
          <w:iCs/>
          <w:sz w:val="20"/>
          <w:szCs w:val="20"/>
        </w:rPr>
        <w:instrText xml:space="preserve"> ADDIN ZOTERO_ITEM CSL_CITATION {"citationID":"iilkUTZy","properties":{"unsorted":false,"formattedCitation":"(5, 20\\uc0\\u8211{}23)","plainCitation":"(5, 20–23)","noteIndex":0},"citationItems":[{"id":3227,"uris":["http://zotero.org/users/11313215/items/RWMZ9QFA"],"itemData":{"id":3227,"type":"article-journal","abstract":"BACKGROUND: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V."}],"issued":{"date-parts":[["2024",7,23]]}}},{"id":5472,"uris":["http://zotero.org/users/11313215/items/GN7FM3HU"],"itemData":{"id":5472,"type":"article-journal","abstract":"The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5474,"uris":["http://zotero.org/users/11313215/items/EPCRK4FH"],"itemData":{"id":5474,"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K."},{"family":"Ryu","given":"Soojin"}],"issued":{"date-parts":[["2019",1,1]]}}},{"id":6190,"uris":["http://zotero.org/users/11313215/items/564F7S3L"],"itemData":{"id":6190,"type":"article-journal","abstract":"The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F."},{"family":"Ryu","given":"Soojin"}],"issued":{"date-parts":[["2014"]]}}},{"id":5457,"uris":["http://zotero.org/users/11313215/items/ZWC5X5LD"],"itemData":{"id":5457,"type":"article-journal","abstract":"We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7A682B">
        <w:rPr>
          <w:rFonts w:ascii="Arial" w:hAnsi="Arial" w:cs="Arial"/>
          <w:i/>
          <w:iCs/>
          <w:sz w:val="20"/>
          <w:szCs w:val="20"/>
        </w:rPr>
        <w:fldChar w:fldCharType="separate"/>
      </w:r>
      <w:r w:rsidR="00304DDF" w:rsidRPr="00304DDF">
        <w:rPr>
          <w:rFonts w:ascii="Arial" w:hAnsi="Arial" w:cs="Arial"/>
          <w:color w:val="000000"/>
          <w:kern w:val="0"/>
          <w:sz w:val="20"/>
          <w:szCs w:val="24"/>
        </w:rPr>
        <w:t>(5, 20–23)</w:t>
      </w:r>
      <w:r w:rsidRPr="007A682B">
        <w:rPr>
          <w:rFonts w:ascii="Arial" w:hAnsi="Arial" w:cs="Arial"/>
          <w:i/>
          <w:iCs/>
          <w:sz w:val="20"/>
          <w:szCs w:val="20"/>
        </w:rPr>
        <w:fldChar w:fldCharType="end"/>
      </w:r>
      <w:r w:rsidRPr="007A682B">
        <w:rPr>
          <w:rFonts w:ascii="Arial" w:hAnsi="Arial" w:cs="Arial"/>
          <w:sz w:val="20"/>
          <w:szCs w:val="20"/>
        </w:rPr>
        <w:t xml:space="preserve"> lead us to annotate this cluster as the POA (6_POA_Mixed). Clusters 0, 3, 14, 21, and 24 mapped to other subpallial regions of the telencephalon (0_Spall_Mixed, 3_Spall_GABA, 14_Vsst_GABA </w:t>
      </w:r>
      <w:r w:rsidRPr="007A682B">
        <w:rPr>
          <w:rFonts w:ascii="Arial" w:hAnsi="Arial" w:cs="Arial"/>
          <w:sz w:val="20"/>
          <w:szCs w:val="20"/>
        </w:rPr>
        <w:fldChar w:fldCharType="begin"/>
      </w:r>
      <w:r w:rsidRPr="007A682B">
        <w:rPr>
          <w:rFonts w:ascii="Arial" w:hAnsi="Arial" w:cs="Arial"/>
          <w:sz w:val="20"/>
          <w:szCs w:val="20"/>
        </w:rPr>
        <w:instrText xml:space="preserve"> ADDIN ZOTERO_TEMP </w:instrText>
      </w:r>
      <w:r w:rsidRPr="007A682B">
        <w:rPr>
          <w:rFonts w:ascii="Arial" w:hAnsi="Arial" w:cs="Arial"/>
          <w:sz w:val="20"/>
          <w:szCs w:val="20"/>
        </w:rPr>
        <w:fldChar w:fldCharType="separate"/>
      </w:r>
      <w:r w:rsidRPr="007A682B">
        <w:rPr>
          <w:rFonts w:ascii="Arial" w:hAnsi="Arial" w:cs="Arial"/>
          <w:sz w:val="20"/>
          <w:szCs w:val="20"/>
        </w:rPr>
        <w:fldChar w:fldCharType="end"/>
      </w:r>
      <w:r w:rsidRPr="007A682B">
        <w:rPr>
          <w:rFonts w:ascii="Arial" w:hAnsi="Arial" w:cs="Arial"/>
          <w:sz w:val="20"/>
          <w:szCs w:val="20"/>
        </w:rPr>
        <w:t xml:space="preserve">, 21_Spall_Gaba, 24_Vs-M_Mixed) while </w:t>
      </w:r>
      <w:r w:rsidR="0076007E" w:rsidRPr="007A682B">
        <w:rPr>
          <w:rFonts w:ascii="Arial" w:hAnsi="Arial" w:cs="Arial"/>
          <w:sz w:val="20"/>
          <w:szCs w:val="20"/>
        </w:rPr>
        <w:t>c</w:t>
      </w:r>
      <w:r w:rsidRPr="007A682B">
        <w:rPr>
          <w:rFonts w:ascii="Arial" w:hAnsi="Arial" w:cs="Arial"/>
          <w:sz w:val="20"/>
          <w:szCs w:val="20"/>
        </w:rPr>
        <w:t>luster 7 mapped to pallial regions (7_Pall_Glut).  Clusters 4, 8, 10, 19, 22, and 23 mapped to diencephalic regions (4_TGN_Glut, 8_VOT_Glut, 10_nH_Glut</w:t>
      </w:r>
      <w:r w:rsidR="00BA565C">
        <w:rPr>
          <w:rFonts w:ascii="Arial" w:hAnsi="Arial" w:cs="Arial"/>
          <w:sz w:val="20"/>
          <w:szCs w:val="20"/>
        </w:rPr>
        <w:t>,</w:t>
      </w:r>
      <w:r w:rsidRPr="007A682B">
        <w:rPr>
          <w:rFonts w:ascii="Arial" w:hAnsi="Arial" w:cs="Arial"/>
          <w:sz w:val="20"/>
          <w:szCs w:val="20"/>
        </w:rPr>
        <w:t xml:space="preserve"> 19_Di_</w:t>
      </w:r>
      <w:r w:rsidR="008C795A">
        <w:rPr>
          <w:rFonts w:ascii="Arial" w:hAnsi="Arial" w:cs="Arial"/>
          <w:sz w:val="20"/>
          <w:szCs w:val="20"/>
        </w:rPr>
        <w:t>GABA</w:t>
      </w:r>
      <w:r w:rsidRPr="007A682B">
        <w:rPr>
          <w:rFonts w:ascii="Arial" w:hAnsi="Arial" w:cs="Arial"/>
          <w:sz w:val="20"/>
          <w:szCs w:val="20"/>
        </w:rPr>
        <w:t xml:space="preserve">, 22_Di_Glut, 23_NLT_GABA). </w:t>
      </w:r>
    </w:p>
    <w:p w14:paraId="37B69C26" w14:textId="1013E77C" w:rsidR="00FA5D9F" w:rsidRPr="007A682B" w:rsidRDefault="00AB5925" w:rsidP="00C61BB7">
      <w:pPr>
        <w:ind w:firstLine="720"/>
        <w:rPr>
          <w:rFonts w:ascii="Arial" w:hAnsi="Arial" w:cs="Arial"/>
          <w:sz w:val="20"/>
          <w:szCs w:val="20"/>
        </w:rPr>
      </w:pPr>
      <w:r w:rsidRPr="00AB5925">
        <w:rPr>
          <w:rFonts w:ascii="Arial" w:hAnsi="Arial" w:cs="Arial"/>
          <w:sz w:val="20"/>
          <w:szCs w:val="20"/>
          <w:highlight w:val="yellow"/>
        </w:rPr>
        <w:t>Xxsupplementary results?</w:t>
      </w:r>
      <w:r w:rsidR="00E318E3" w:rsidRPr="007A682B">
        <w:rPr>
          <w:rFonts w:ascii="Arial" w:hAnsi="Arial" w:cs="Arial"/>
          <w:sz w:val="20"/>
          <w:szCs w:val="20"/>
        </w:rPr>
        <w:t xml:space="preserve">We also used this opportunity to spatially annotate the clusters from our </w:t>
      </w:r>
      <w:r w:rsidR="00F339F4" w:rsidRPr="007A682B">
        <w:rPr>
          <w:rFonts w:ascii="Arial" w:hAnsi="Arial" w:cs="Arial"/>
          <w:sz w:val="20"/>
          <w:szCs w:val="20"/>
        </w:rPr>
        <w:t xml:space="preserve">previously published </w:t>
      </w:r>
      <w:r w:rsidR="00E318E3" w:rsidRPr="007A682B">
        <w:rPr>
          <w:rFonts w:ascii="Arial" w:hAnsi="Arial" w:cs="Arial"/>
          <w:sz w:val="20"/>
          <w:szCs w:val="20"/>
        </w:rPr>
        <w:t>s</w:t>
      </w:r>
      <w:r w:rsidR="00F339F4" w:rsidRPr="007A682B">
        <w:rPr>
          <w:rFonts w:ascii="Arial" w:hAnsi="Arial" w:cs="Arial"/>
          <w:sz w:val="20"/>
          <w:szCs w:val="20"/>
        </w:rPr>
        <w:t>ingle nucleus RNA-sequencing (s</w:t>
      </w:r>
      <w:r w:rsidR="00E318E3" w:rsidRPr="007A682B">
        <w:rPr>
          <w:rFonts w:ascii="Arial" w:hAnsi="Arial" w:cs="Arial"/>
          <w:sz w:val="20"/>
          <w:szCs w:val="20"/>
        </w:rPr>
        <w:t>nRNA-seq</w:t>
      </w:r>
      <w:r w:rsidR="00F339F4" w:rsidRPr="007A682B">
        <w:rPr>
          <w:rFonts w:ascii="Arial" w:hAnsi="Arial" w:cs="Arial"/>
          <w:sz w:val="20"/>
          <w:szCs w:val="20"/>
        </w:rPr>
        <w:t>)</w:t>
      </w:r>
      <w:r w:rsidR="00E318E3" w:rsidRPr="007A682B">
        <w:rPr>
          <w:rFonts w:ascii="Arial" w:hAnsi="Arial" w:cs="Arial"/>
          <w:sz w:val="20"/>
          <w:szCs w:val="20"/>
        </w:rPr>
        <w:t xml:space="preserve"> atlas</w:t>
      </w:r>
      <w:r w:rsidR="00E53DE5" w:rsidRPr="007A682B">
        <w:rPr>
          <w:rFonts w:ascii="Arial" w:hAnsi="Arial" w:cs="Arial"/>
          <w:sz w:val="20"/>
          <w:szCs w:val="20"/>
        </w:rPr>
        <w:t xml:space="preserve"> of the anemonefish telencephalon</w:t>
      </w:r>
      <w:r w:rsidR="00E318E3" w:rsidRPr="007A682B">
        <w:rPr>
          <w:rFonts w:ascii="Arial" w:hAnsi="Arial" w:cs="Arial"/>
          <w:sz w:val="20"/>
          <w:szCs w:val="20"/>
        </w:rPr>
        <w:t xml:space="preserve"> </w:t>
      </w:r>
      <w:r w:rsidR="00F339F4"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{"citationID":"rJLJnPtd","properties":{"unsorted":false,"formattedCitation":"(5)","plainCitation":"(5)","noteIndex":0},"citationItems":[{"id":3227,"uris":["http://zotero.org/users/11313215/items/RWMZ9QFA"],"itemData":{"id":3227,"type":"article-journal","abstract":"BACKGROUND: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F339F4" w:rsidRPr="007A682B">
        <w:rPr>
          <w:rFonts w:ascii="Arial" w:hAnsi="Arial" w:cs="Arial"/>
          <w:sz w:val="20"/>
          <w:szCs w:val="20"/>
        </w:rPr>
        <w:fldChar w:fldCharType="separate"/>
      </w:r>
      <w:r w:rsidR="0072390C" w:rsidRPr="007A682B">
        <w:rPr>
          <w:rFonts w:ascii="Arial" w:hAnsi="Arial" w:cs="Arial"/>
          <w:noProof/>
          <w:sz w:val="20"/>
          <w:szCs w:val="20"/>
        </w:rPr>
        <w:t>(5)</w:t>
      </w:r>
      <w:r w:rsidR="00F339F4" w:rsidRPr="007A682B">
        <w:rPr>
          <w:rFonts w:ascii="Arial" w:hAnsi="Arial" w:cs="Arial"/>
          <w:sz w:val="20"/>
          <w:szCs w:val="20"/>
        </w:rPr>
        <w:fldChar w:fldCharType="end"/>
      </w:r>
      <w:r w:rsidR="00F339F4" w:rsidRPr="007A682B">
        <w:rPr>
          <w:rFonts w:ascii="Arial" w:hAnsi="Arial" w:cs="Arial"/>
          <w:sz w:val="20"/>
          <w:szCs w:val="20"/>
        </w:rPr>
        <w:t xml:space="preserve"> </w:t>
      </w:r>
      <w:r w:rsidR="00E318E3" w:rsidRPr="007A682B">
        <w:rPr>
          <w:rFonts w:ascii="Arial" w:hAnsi="Arial" w:cs="Arial"/>
          <w:sz w:val="20"/>
          <w:szCs w:val="20"/>
        </w:rPr>
        <w:t>(</w:t>
      </w:r>
      <w:r w:rsidR="00E318E3" w:rsidRPr="007A682B">
        <w:rPr>
          <w:rFonts w:ascii="Arial" w:hAnsi="Arial" w:cs="Arial"/>
          <w:sz w:val="20"/>
          <w:szCs w:val="20"/>
          <w:highlight w:val="yellow"/>
        </w:rPr>
        <w:t>Fig. S</w:t>
      </w:r>
      <w:r w:rsidR="00376C7F" w:rsidRPr="007A682B">
        <w:rPr>
          <w:rFonts w:ascii="Arial" w:hAnsi="Arial" w:cs="Arial"/>
          <w:sz w:val="20"/>
          <w:szCs w:val="20"/>
          <w:highlight w:val="yellow"/>
        </w:rPr>
        <w:t>4</w:t>
      </w:r>
      <w:r w:rsidR="00E318E3" w:rsidRPr="007A682B">
        <w:rPr>
          <w:rFonts w:ascii="Arial" w:hAnsi="Arial" w:cs="Arial"/>
          <w:sz w:val="20"/>
          <w:szCs w:val="20"/>
        </w:rPr>
        <w:t>).</w:t>
      </w:r>
      <w:r w:rsidR="003247AC" w:rsidRPr="007A682B">
        <w:rPr>
          <w:rFonts w:ascii="Arial" w:hAnsi="Arial" w:cs="Arial"/>
          <w:sz w:val="20"/>
          <w:szCs w:val="20"/>
        </w:rPr>
        <w:t xml:space="preserve"> </w:t>
      </w:r>
      <w:r w:rsidR="007E5E79" w:rsidRPr="007A682B">
        <w:rPr>
          <w:rFonts w:ascii="Arial" w:hAnsi="Arial" w:cs="Arial"/>
          <w:sz w:val="20"/>
          <w:szCs w:val="20"/>
        </w:rPr>
        <w:t>We confirmed the</w:t>
      </w:r>
      <w:r w:rsidR="003247AC" w:rsidRPr="007A682B">
        <w:rPr>
          <w:rFonts w:ascii="Arial" w:hAnsi="Arial" w:cs="Arial"/>
          <w:sz w:val="20"/>
          <w:szCs w:val="20"/>
        </w:rPr>
        <w:t xml:space="preserve"> neuroanatomical regions</w:t>
      </w:r>
      <w:r w:rsidR="007E5E79" w:rsidRPr="007A682B">
        <w:rPr>
          <w:rFonts w:ascii="Arial" w:hAnsi="Arial" w:cs="Arial"/>
          <w:sz w:val="20"/>
          <w:szCs w:val="20"/>
        </w:rPr>
        <w:t xml:space="preserve"> of several clusters</w:t>
      </w:r>
      <w:r w:rsidR="003247AC" w:rsidRPr="007A682B">
        <w:rPr>
          <w:rFonts w:ascii="Arial" w:hAnsi="Arial" w:cs="Arial"/>
          <w:sz w:val="20"/>
          <w:szCs w:val="20"/>
        </w:rPr>
        <w:t xml:space="preserve"> </w:t>
      </w:r>
      <w:r w:rsidR="007E5E79" w:rsidRPr="007A682B">
        <w:rPr>
          <w:rFonts w:ascii="Arial" w:hAnsi="Arial" w:cs="Arial"/>
          <w:sz w:val="20"/>
          <w:szCs w:val="20"/>
        </w:rPr>
        <w:t xml:space="preserve">predicted </w:t>
      </w:r>
      <w:r w:rsidR="00AF0BB8" w:rsidRPr="007A682B">
        <w:rPr>
          <w:rFonts w:ascii="Arial" w:hAnsi="Arial" w:cs="Arial"/>
          <w:sz w:val="20"/>
          <w:szCs w:val="20"/>
        </w:rPr>
        <w:t>from that analysis</w:t>
      </w:r>
      <w:r w:rsidR="007E5E79" w:rsidRPr="007A682B">
        <w:rPr>
          <w:rFonts w:ascii="Arial" w:hAnsi="Arial" w:cs="Arial"/>
          <w:sz w:val="20"/>
          <w:szCs w:val="20"/>
        </w:rPr>
        <w:t xml:space="preserve">, </w:t>
      </w:r>
      <w:r w:rsidR="00AF0BB8" w:rsidRPr="007A682B">
        <w:rPr>
          <w:rFonts w:ascii="Arial" w:hAnsi="Arial" w:cs="Arial"/>
          <w:sz w:val="20"/>
          <w:szCs w:val="20"/>
        </w:rPr>
        <w:t>including the ventral telencephalon (parent cluster 9), dorsal telencephalon (parent cluster 2),</w:t>
      </w:r>
      <w:r w:rsidR="0076007E" w:rsidRPr="007A682B">
        <w:rPr>
          <w:rFonts w:ascii="Arial" w:hAnsi="Arial" w:cs="Arial"/>
          <w:sz w:val="20"/>
          <w:szCs w:val="20"/>
        </w:rPr>
        <w:t xml:space="preserve"> and</w:t>
      </w:r>
      <w:r w:rsidR="00AF0BB8" w:rsidRPr="007A682B">
        <w:rPr>
          <w:rFonts w:ascii="Arial" w:hAnsi="Arial" w:cs="Arial"/>
          <w:sz w:val="20"/>
          <w:szCs w:val="20"/>
        </w:rPr>
        <w:t xml:space="preserve"> POA (parent cluster 13). </w:t>
      </w:r>
    </w:p>
    <w:p w14:paraId="4C3BB7BD" w14:textId="7170EF14" w:rsidR="00AB18FA" w:rsidRPr="007A682B" w:rsidRDefault="00FA5D9F" w:rsidP="00D770B1">
      <w:pPr>
        <w:ind w:firstLine="720"/>
        <w:rPr>
          <w:rFonts w:ascii="Arial" w:hAnsi="Arial" w:cs="Arial"/>
          <w:sz w:val="20"/>
          <w:szCs w:val="20"/>
        </w:rPr>
      </w:pPr>
      <w:r w:rsidRPr="007A682B">
        <w:rPr>
          <w:rFonts w:ascii="Arial" w:hAnsi="Arial" w:cs="Arial"/>
          <w:sz w:val="20"/>
          <w:szCs w:val="20"/>
        </w:rPr>
        <w:t xml:space="preserve">To further characterize our cell-types, we cross-projected cluster labels from this snMultiome dataset with </w:t>
      </w:r>
      <w:r w:rsidR="007E5E79" w:rsidRPr="007A682B">
        <w:rPr>
          <w:rFonts w:ascii="Arial" w:hAnsi="Arial" w:cs="Arial"/>
          <w:sz w:val="20"/>
          <w:szCs w:val="20"/>
        </w:rPr>
        <w:t xml:space="preserve">the </w:t>
      </w:r>
      <w:r w:rsidR="00D770B1" w:rsidRPr="007A682B">
        <w:rPr>
          <w:rFonts w:ascii="Arial" w:hAnsi="Arial" w:cs="Arial"/>
          <w:sz w:val="20"/>
          <w:szCs w:val="20"/>
        </w:rPr>
        <w:t xml:space="preserve">snRNA-seq </w:t>
      </w:r>
      <w:r w:rsidR="007E5E79" w:rsidRPr="007A682B">
        <w:rPr>
          <w:rFonts w:ascii="Arial" w:hAnsi="Arial" w:cs="Arial"/>
          <w:sz w:val="20"/>
          <w:szCs w:val="20"/>
        </w:rPr>
        <w:t>telencephalon atlas and assessed agreement.</w:t>
      </w:r>
      <w:r w:rsidRPr="007A682B">
        <w:rPr>
          <w:rFonts w:ascii="Arial" w:hAnsi="Arial" w:cs="Arial"/>
          <w:sz w:val="20"/>
          <w:szCs w:val="20"/>
        </w:rPr>
        <w:t xml:space="preserve"> Glial cell types and excitatory neurons showed strong correspondence. Further, 6_POA_Mixed was the mutual best match for the putatively POA child cluster 13d</w:t>
      </w:r>
      <w:r w:rsidR="00D770B1" w:rsidRPr="007A682B">
        <w:rPr>
          <w:rFonts w:ascii="Arial" w:hAnsi="Arial" w:cs="Arial"/>
          <w:sz w:val="20"/>
          <w:szCs w:val="20"/>
        </w:rPr>
        <w:t xml:space="preserve"> (</w:t>
      </w:r>
      <w:r w:rsidR="00D770B1" w:rsidRPr="007A682B">
        <w:rPr>
          <w:rFonts w:ascii="Arial" w:hAnsi="Arial" w:cs="Arial"/>
          <w:sz w:val="20"/>
          <w:szCs w:val="20"/>
          <w:highlight w:val="yellow"/>
        </w:rPr>
        <w:t>Appendix S</w:t>
      </w:r>
      <w:r w:rsidR="00C538DF" w:rsidRPr="007A682B">
        <w:rPr>
          <w:rFonts w:ascii="Arial" w:hAnsi="Arial" w:cs="Arial"/>
          <w:sz w:val="20"/>
          <w:szCs w:val="20"/>
          <w:highlight w:val="yellow"/>
        </w:rPr>
        <w:t>4</w:t>
      </w:r>
      <w:r w:rsidR="00D770B1" w:rsidRPr="007A682B">
        <w:rPr>
          <w:rFonts w:ascii="Arial" w:hAnsi="Arial" w:cs="Arial"/>
          <w:sz w:val="20"/>
          <w:szCs w:val="20"/>
          <w:highlight w:val="yellow"/>
        </w:rPr>
        <w:t xml:space="preserve"> and S</w:t>
      </w:r>
      <w:r w:rsidR="00C538DF" w:rsidRPr="007A682B">
        <w:rPr>
          <w:rFonts w:ascii="Arial" w:hAnsi="Arial" w:cs="Arial"/>
          <w:sz w:val="20"/>
          <w:szCs w:val="20"/>
          <w:highlight w:val="yellow"/>
        </w:rPr>
        <w:t>5</w:t>
      </w:r>
      <w:r w:rsidR="00D770B1" w:rsidRPr="007A682B">
        <w:rPr>
          <w:rFonts w:ascii="Arial" w:hAnsi="Arial" w:cs="Arial"/>
          <w:sz w:val="20"/>
          <w:szCs w:val="20"/>
        </w:rPr>
        <w:t>)</w:t>
      </w:r>
      <w:r w:rsidRPr="007A682B">
        <w:rPr>
          <w:rFonts w:ascii="Arial" w:hAnsi="Arial" w:cs="Arial"/>
          <w:sz w:val="20"/>
          <w:szCs w:val="20"/>
        </w:rPr>
        <w:t xml:space="preserve">. We observed weaker </w:t>
      </w:r>
      <w:r w:rsidR="007E5E79" w:rsidRPr="007A682B">
        <w:rPr>
          <w:rFonts w:ascii="Arial" w:hAnsi="Arial" w:cs="Arial"/>
          <w:sz w:val="20"/>
          <w:szCs w:val="20"/>
        </w:rPr>
        <w:t>agreement</w:t>
      </w:r>
      <w:r w:rsidRPr="007A682B">
        <w:rPr>
          <w:rFonts w:ascii="Arial" w:hAnsi="Arial" w:cs="Arial"/>
          <w:sz w:val="20"/>
          <w:szCs w:val="20"/>
        </w:rPr>
        <w:t xml:space="preserve"> between cell types mapping to the </w:t>
      </w:r>
      <w:r w:rsidR="00256506" w:rsidRPr="007A682B">
        <w:rPr>
          <w:rFonts w:ascii="Arial" w:hAnsi="Arial" w:cs="Arial"/>
          <w:sz w:val="20"/>
          <w:szCs w:val="20"/>
        </w:rPr>
        <w:t>subpallium. Namely</w:t>
      </w:r>
      <w:r w:rsidR="007E5E79" w:rsidRPr="007A682B">
        <w:rPr>
          <w:rFonts w:ascii="Arial" w:hAnsi="Arial" w:cs="Arial"/>
          <w:sz w:val="20"/>
          <w:szCs w:val="20"/>
        </w:rPr>
        <w:t>,</w:t>
      </w:r>
      <w:r w:rsidR="00256506" w:rsidRPr="007A682B">
        <w:rPr>
          <w:rFonts w:ascii="Arial" w:hAnsi="Arial" w:cs="Arial"/>
          <w:sz w:val="20"/>
          <w:szCs w:val="20"/>
        </w:rPr>
        <w:t xml:space="preserve"> parent clusters 9 and 13 which clustered separately in Parker 2024</w:t>
      </w:r>
      <w:r w:rsidR="00433010" w:rsidRPr="007A682B">
        <w:rPr>
          <w:rFonts w:ascii="Arial" w:hAnsi="Arial" w:cs="Arial"/>
          <w:sz w:val="20"/>
          <w:szCs w:val="20"/>
        </w:rPr>
        <w:t xml:space="preserve"> </w:t>
      </w:r>
      <w:r w:rsidR="00433010" w:rsidRPr="007A682B">
        <w:rPr>
          <w:rFonts w:ascii="Arial" w:hAnsi="Arial" w:cs="Arial"/>
          <w:sz w:val="20"/>
          <w:szCs w:val="20"/>
        </w:rPr>
        <w:fldChar w:fldCharType="begin"/>
      </w:r>
      <w:r w:rsidR="00433010" w:rsidRPr="007A682B">
        <w:rPr>
          <w:rFonts w:ascii="Arial" w:hAnsi="Arial" w:cs="Arial"/>
          <w:sz w:val="20"/>
          <w:szCs w:val="20"/>
        </w:rPr>
        <w:instrText xml:space="preserve"> ADDIN ZOTERO_ITEM CSL_CITATION {"citationID":"mw0AU9pH","properties":{"unsorted":false,"formattedCitation":"(5)","plainCitation":"(5)","noteIndex":0},"citationItems":[{"id":3227,"uris":["http://zotero.org/users/11313215/items/RWMZ9QFA"],"itemData":{"id":3227,"type":"article-journal","abstract":"BACKGROUND: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433010" w:rsidRPr="007A682B">
        <w:rPr>
          <w:rFonts w:ascii="Arial" w:hAnsi="Arial" w:cs="Arial"/>
          <w:sz w:val="20"/>
          <w:szCs w:val="20"/>
        </w:rPr>
        <w:fldChar w:fldCharType="separate"/>
      </w:r>
      <w:r w:rsidR="00433010" w:rsidRPr="007A682B">
        <w:rPr>
          <w:rFonts w:ascii="Arial" w:hAnsi="Arial" w:cs="Arial"/>
          <w:noProof/>
          <w:sz w:val="20"/>
          <w:szCs w:val="20"/>
        </w:rPr>
        <w:t>(5)</w:t>
      </w:r>
      <w:r w:rsidR="00433010" w:rsidRPr="007A682B">
        <w:rPr>
          <w:rFonts w:ascii="Arial" w:hAnsi="Arial" w:cs="Arial"/>
          <w:sz w:val="20"/>
          <w:szCs w:val="20"/>
        </w:rPr>
        <w:fldChar w:fldCharType="end"/>
      </w:r>
      <w:r w:rsidR="00C32F02" w:rsidRPr="007A682B">
        <w:rPr>
          <w:rFonts w:ascii="Arial" w:hAnsi="Arial" w:cs="Arial"/>
          <w:sz w:val="20"/>
          <w:szCs w:val="20"/>
        </w:rPr>
        <w:t xml:space="preserve"> </w:t>
      </w:r>
      <w:r w:rsidR="00256506" w:rsidRPr="007A682B">
        <w:rPr>
          <w:rFonts w:ascii="Arial" w:hAnsi="Arial" w:cs="Arial"/>
          <w:sz w:val="20"/>
          <w:szCs w:val="20"/>
        </w:rPr>
        <w:t>clustered together in this work (clusters 0_</w:t>
      </w:r>
      <w:r w:rsidR="007E5E79" w:rsidRPr="007A682B">
        <w:rPr>
          <w:rFonts w:ascii="Arial" w:hAnsi="Arial" w:cs="Arial"/>
          <w:sz w:val="20"/>
          <w:szCs w:val="20"/>
        </w:rPr>
        <w:t>Spall_Mixed</w:t>
      </w:r>
      <w:r w:rsidR="00256506" w:rsidRPr="007A682B">
        <w:rPr>
          <w:rFonts w:ascii="Arial" w:hAnsi="Arial" w:cs="Arial"/>
          <w:sz w:val="20"/>
          <w:szCs w:val="20"/>
        </w:rPr>
        <w:t>, 3</w:t>
      </w:r>
      <w:r w:rsidR="007E5E79" w:rsidRPr="007A682B">
        <w:rPr>
          <w:rFonts w:ascii="Arial" w:hAnsi="Arial" w:cs="Arial"/>
          <w:sz w:val="20"/>
          <w:szCs w:val="20"/>
        </w:rPr>
        <w:t>_Spall_GABA</w:t>
      </w:r>
      <w:r w:rsidR="00256506" w:rsidRPr="007A682B">
        <w:rPr>
          <w:rFonts w:ascii="Arial" w:hAnsi="Arial" w:cs="Arial"/>
          <w:sz w:val="20"/>
          <w:szCs w:val="20"/>
        </w:rPr>
        <w:t>, 5</w:t>
      </w:r>
      <w:r w:rsidR="007E5E79" w:rsidRPr="007A682B">
        <w:rPr>
          <w:rFonts w:ascii="Arial" w:hAnsi="Arial" w:cs="Arial"/>
          <w:sz w:val="20"/>
          <w:szCs w:val="20"/>
        </w:rPr>
        <w:t>_Glut</w:t>
      </w:r>
      <w:r w:rsidR="00256506" w:rsidRPr="007A682B">
        <w:rPr>
          <w:rFonts w:ascii="Arial" w:hAnsi="Arial" w:cs="Arial"/>
          <w:sz w:val="20"/>
          <w:szCs w:val="20"/>
        </w:rPr>
        <w:t>, 6</w:t>
      </w:r>
      <w:r w:rsidR="007E5E79" w:rsidRPr="007A682B">
        <w:rPr>
          <w:rFonts w:ascii="Arial" w:hAnsi="Arial" w:cs="Arial"/>
          <w:sz w:val="20"/>
          <w:szCs w:val="20"/>
        </w:rPr>
        <w:t>_POA_Mixed</w:t>
      </w:r>
      <w:r w:rsidR="00256506" w:rsidRPr="007A682B">
        <w:rPr>
          <w:rFonts w:ascii="Arial" w:hAnsi="Arial" w:cs="Arial"/>
          <w:sz w:val="20"/>
          <w:szCs w:val="20"/>
        </w:rPr>
        <w:t>, 9</w:t>
      </w:r>
      <w:r w:rsidR="007E5E79" w:rsidRPr="007A682B">
        <w:rPr>
          <w:rFonts w:ascii="Arial" w:hAnsi="Arial" w:cs="Arial"/>
          <w:sz w:val="20"/>
          <w:szCs w:val="20"/>
        </w:rPr>
        <w:t>_Mixed</w:t>
      </w:r>
      <w:r w:rsidR="00256506" w:rsidRPr="007A682B">
        <w:rPr>
          <w:rFonts w:ascii="Arial" w:hAnsi="Arial" w:cs="Arial"/>
          <w:sz w:val="20"/>
          <w:szCs w:val="20"/>
        </w:rPr>
        <w:t>,</w:t>
      </w:r>
      <w:r w:rsidR="007E5E79" w:rsidRPr="007A682B">
        <w:rPr>
          <w:rFonts w:ascii="Arial" w:hAnsi="Arial" w:cs="Arial"/>
          <w:sz w:val="20"/>
          <w:szCs w:val="20"/>
        </w:rPr>
        <w:t xml:space="preserve"> </w:t>
      </w:r>
      <w:r w:rsidR="00256506" w:rsidRPr="007A682B">
        <w:rPr>
          <w:rFonts w:ascii="Arial" w:hAnsi="Arial" w:cs="Arial"/>
          <w:sz w:val="20"/>
          <w:szCs w:val="20"/>
        </w:rPr>
        <w:t>21</w:t>
      </w:r>
      <w:r w:rsidR="007E5E79" w:rsidRPr="007A682B">
        <w:rPr>
          <w:rFonts w:ascii="Arial" w:hAnsi="Arial" w:cs="Arial"/>
          <w:sz w:val="20"/>
          <w:szCs w:val="20"/>
        </w:rPr>
        <w:t>_Spall_GABA</w:t>
      </w:r>
      <w:r w:rsidR="00256506" w:rsidRPr="007A682B">
        <w:rPr>
          <w:rFonts w:ascii="Arial" w:hAnsi="Arial" w:cs="Arial"/>
          <w:sz w:val="20"/>
          <w:szCs w:val="20"/>
        </w:rPr>
        <w:t>,</w:t>
      </w:r>
      <w:r w:rsidR="007E5E79" w:rsidRPr="007A682B">
        <w:rPr>
          <w:rFonts w:ascii="Arial" w:hAnsi="Arial" w:cs="Arial"/>
          <w:sz w:val="20"/>
          <w:szCs w:val="20"/>
        </w:rPr>
        <w:t xml:space="preserve"> and </w:t>
      </w:r>
      <w:r w:rsidR="00256506" w:rsidRPr="007A682B">
        <w:rPr>
          <w:rFonts w:ascii="Arial" w:hAnsi="Arial" w:cs="Arial"/>
          <w:sz w:val="20"/>
          <w:szCs w:val="20"/>
        </w:rPr>
        <w:t>24</w:t>
      </w:r>
      <w:r w:rsidR="007E5E79" w:rsidRPr="007A682B">
        <w:rPr>
          <w:rFonts w:ascii="Arial" w:hAnsi="Arial" w:cs="Arial"/>
          <w:sz w:val="20"/>
          <w:szCs w:val="20"/>
        </w:rPr>
        <w:t>_Vs-m_Mixed</w:t>
      </w:r>
      <w:r w:rsidR="00256506" w:rsidRPr="007A682B">
        <w:rPr>
          <w:rFonts w:ascii="Arial" w:hAnsi="Arial" w:cs="Arial"/>
          <w:sz w:val="20"/>
          <w:szCs w:val="20"/>
        </w:rPr>
        <w:t>)</w:t>
      </w:r>
      <w:r w:rsidRPr="007A682B">
        <w:rPr>
          <w:rFonts w:ascii="Arial" w:hAnsi="Arial" w:cs="Arial"/>
          <w:sz w:val="20"/>
          <w:szCs w:val="20"/>
        </w:rPr>
        <w:t xml:space="preserve">. This is likely due to the weighted shared nearest neighbors clustering integrating both ATAC and RNA data used in this work reflecting their shared subpallial </w:t>
      </w:r>
      <w:r w:rsidR="007E5E79" w:rsidRPr="007A682B">
        <w:rPr>
          <w:rFonts w:ascii="Arial" w:hAnsi="Arial" w:cs="Arial"/>
          <w:sz w:val="20"/>
          <w:szCs w:val="20"/>
        </w:rPr>
        <w:t>identity (</w:t>
      </w:r>
      <w:r w:rsidR="00E318E3" w:rsidRPr="007A682B">
        <w:rPr>
          <w:rFonts w:ascii="Arial" w:hAnsi="Arial" w:cs="Arial"/>
          <w:sz w:val="20"/>
          <w:szCs w:val="20"/>
          <w:highlight w:val="yellow"/>
        </w:rPr>
        <w:t>Fig S</w:t>
      </w:r>
      <w:r w:rsidR="00376C7F" w:rsidRPr="007A682B">
        <w:rPr>
          <w:rFonts w:ascii="Arial" w:hAnsi="Arial" w:cs="Arial"/>
          <w:sz w:val="20"/>
          <w:szCs w:val="20"/>
          <w:highlight w:val="yellow"/>
        </w:rPr>
        <w:t>5A-C</w:t>
      </w:r>
      <w:r w:rsidR="00E318E3" w:rsidRPr="007A682B">
        <w:rPr>
          <w:rFonts w:ascii="Arial" w:hAnsi="Arial" w:cs="Arial"/>
          <w:sz w:val="20"/>
          <w:szCs w:val="20"/>
        </w:rPr>
        <w:t>)</w:t>
      </w:r>
      <w:r w:rsidR="003247AC" w:rsidRPr="007A682B">
        <w:rPr>
          <w:rFonts w:ascii="Arial" w:hAnsi="Arial" w:cs="Arial"/>
          <w:sz w:val="20"/>
          <w:szCs w:val="20"/>
        </w:rPr>
        <w:t>.</w:t>
      </w:r>
      <w:r w:rsidRPr="007A682B">
        <w:rPr>
          <w:rFonts w:ascii="Arial" w:hAnsi="Arial" w:cs="Arial"/>
          <w:sz w:val="20"/>
          <w:szCs w:val="20"/>
        </w:rPr>
        <w:t xml:space="preserve"> </w:t>
      </w:r>
      <w:r w:rsidR="00C61BB7" w:rsidRPr="007A682B">
        <w:rPr>
          <w:rFonts w:ascii="Arial" w:hAnsi="Arial" w:cs="Arial"/>
          <w:sz w:val="20"/>
          <w:szCs w:val="20"/>
        </w:rPr>
        <w:t xml:space="preserve">These findings demonstrate the robustness and reproducibility of the identified cell types identified in this work and </w:t>
      </w:r>
      <w:r w:rsidR="00C32F02" w:rsidRPr="007A682B">
        <w:rPr>
          <w:rFonts w:ascii="Arial" w:hAnsi="Arial" w:cs="Arial"/>
          <w:sz w:val="20"/>
          <w:szCs w:val="20"/>
        </w:rPr>
        <w:t xml:space="preserve">our </w:t>
      </w:r>
      <w:r w:rsidR="00C61BB7" w:rsidRPr="007A682B">
        <w:rPr>
          <w:rFonts w:ascii="Arial" w:hAnsi="Arial" w:cs="Arial"/>
          <w:sz w:val="20"/>
          <w:szCs w:val="20"/>
        </w:rPr>
        <w:t xml:space="preserve">previous </w:t>
      </w:r>
      <w:r w:rsidR="00C32F02" w:rsidRPr="007A682B">
        <w:rPr>
          <w:rFonts w:ascii="Arial" w:hAnsi="Arial" w:cs="Arial"/>
          <w:sz w:val="20"/>
          <w:szCs w:val="20"/>
        </w:rPr>
        <w:t>paper</w:t>
      </w:r>
      <w:r w:rsidR="00C61BB7" w:rsidRPr="007A682B">
        <w:rPr>
          <w:rFonts w:ascii="Arial" w:hAnsi="Arial" w:cs="Arial"/>
          <w:sz w:val="20"/>
          <w:szCs w:val="20"/>
        </w:rPr>
        <w:t>.</w:t>
      </w:r>
    </w:p>
    <w:p w14:paraId="4B2718F7" w14:textId="77777777" w:rsidR="00C32F02" w:rsidRPr="007A682B" w:rsidRDefault="00C32F02" w:rsidP="00D770B1">
      <w:pPr>
        <w:ind w:firstLine="720"/>
        <w:rPr>
          <w:rFonts w:ascii="Arial" w:hAnsi="Arial" w:cs="Arial"/>
          <w:sz w:val="20"/>
          <w:szCs w:val="20"/>
        </w:rPr>
      </w:pPr>
    </w:p>
    <w:p w14:paraId="46622BD7"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Asynchronous Changes in Cell Type Composition During Sex Change</w:t>
      </w:r>
    </w:p>
    <w:p w14:paraId="3218A3CB" w14:textId="1D27C9FA" w:rsidR="00A9403F" w:rsidRDefault="00C65318" w:rsidP="00A9403F">
      <w:pPr>
        <w:rPr>
          <w:rFonts w:ascii="Arial" w:hAnsi="Arial" w:cs="Arial"/>
          <w:sz w:val="20"/>
          <w:szCs w:val="20"/>
        </w:rPr>
      </w:pPr>
      <w:r w:rsidRPr="007A682B">
        <w:rPr>
          <w:rFonts w:ascii="Arial" w:hAnsi="Arial" w:cs="Arial"/>
          <w:b/>
          <w:bCs/>
          <w:sz w:val="20"/>
          <w:szCs w:val="20"/>
        </w:rPr>
        <w:lastRenderedPageBreak/>
        <w:tab/>
      </w:r>
      <w:r w:rsidRPr="007A682B">
        <w:rPr>
          <w:rFonts w:ascii="Arial" w:hAnsi="Arial" w:cs="Arial"/>
          <w:sz w:val="20"/>
          <w:szCs w:val="20"/>
        </w:rPr>
        <w:t>Because sex change is associated with changes in brain size and composition</w:t>
      </w:r>
      <w:r w:rsidR="000E7AF0" w:rsidRPr="007A682B">
        <w:rPr>
          <w:rFonts w:ascii="Arial" w:hAnsi="Arial" w:cs="Arial"/>
          <w:sz w:val="20"/>
          <w:szCs w:val="20"/>
        </w:rPr>
        <w:t xml:space="preserve"> </w:t>
      </w:r>
      <w:r w:rsidRPr="007A682B">
        <w:rPr>
          <w:rFonts w:ascii="Arial" w:hAnsi="Arial" w:cs="Arial"/>
          <w:sz w:val="20"/>
          <w:szCs w:val="20"/>
        </w:rPr>
        <w:fldChar w:fldCharType="begin"/>
      </w:r>
      <w:r w:rsidR="008C795A">
        <w:rPr>
          <w:rFonts w:ascii="Arial" w:hAnsi="Arial" w:cs="Arial"/>
          <w:sz w:val="20"/>
          <w:szCs w:val="20"/>
        </w:rPr>
        <w:instrText xml:space="preserve"> ADDIN ZOTERO_ITEM CSL_CITATION {"citationID":"UlasmyMh","properties":{"unsorted":false,"formattedCitation":"(5, 6)","plainCitation":"(5, 6)","noteIndex":0},"citationItems":[{"id":3227,"uris":["http://zotero.org/users/11313215/items/RWMZ9QFA"],"itemData":{"id":3227,"type":"article-journal","abstract":"BACKGROUND: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7A682B">
        <w:rPr>
          <w:rFonts w:ascii="Arial" w:hAnsi="Arial" w:cs="Arial"/>
          <w:sz w:val="20"/>
          <w:szCs w:val="20"/>
        </w:rPr>
        <w:fldChar w:fldCharType="separate"/>
      </w:r>
      <w:r w:rsidR="008C795A">
        <w:rPr>
          <w:rFonts w:ascii="Arial" w:hAnsi="Arial" w:cs="Arial"/>
          <w:sz w:val="20"/>
          <w:szCs w:val="20"/>
        </w:rPr>
        <w:t>(5, 6)</w:t>
      </w:r>
      <w:r w:rsidRPr="007A682B">
        <w:rPr>
          <w:rFonts w:ascii="Arial" w:hAnsi="Arial" w:cs="Arial"/>
          <w:sz w:val="20"/>
          <w:szCs w:val="20"/>
        </w:rPr>
        <w:fldChar w:fldCharType="end"/>
      </w:r>
      <w:r w:rsidRPr="007A682B">
        <w:rPr>
          <w:rFonts w:ascii="Arial" w:hAnsi="Arial" w:cs="Arial"/>
          <w:sz w:val="20"/>
          <w:szCs w:val="20"/>
        </w:rPr>
        <w:t xml:space="preserve">, we next analyzed changes in cell populations across sex change. </w:t>
      </w:r>
      <w:r w:rsidR="00204F66" w:rsidRPr="007A682B">
        <w:rPr>
          <w:rFonts w:ascii="Arial" w:hAnsi="Arial" w:cs="Arial"/>
          <w:sz w:val="20"/>
          <w:szCs w:val="20"/>
        </w:rPr>
        <w:t xml:space="preserve">We then classified the changes in population according to its temporal pattern and direction of changes across </w:t>
      </w:r>
      <w:r w:rsidR="00A9403F">
        <w:rPr>
          <w:rFonts w:ascii="Arial" w:hAnsi="Arial" w:cs="Arial"/>
          <w:sz w:val="20"/>
          <w:szCs w:val="20"/>
        </w:rPr>
        <w:t>M</w:t>
      </w:r>
      <w:r w:rsidR="00204F66" w:rsidRPr="007A682B">
        <w:rPr>
          <w:rFonts w:ascii="Arial" w:hAnsi="Arial" w:cs="Arial"/>
          <w:sz w:val="20"/>
          <w:szCs w:val="20"/>
        </w:rPr>
        <w:t xml:space="preserve">ales, </w:t>
      </w:r>
      <w:r w:rsidR="00A9403F">
        <w:rPr>
          <w:rFonts w:ascii="Arial" w:hAnsi="Arial" w:cs="Arial"/>
          <w:sz w:val="20"/>
          <w:szCs w:val="20"/>
        </w:rPr>
        <w:t>I</w:t>
      </w:r>
      <w:r w:rsidR="00204F66" w:rsidRPr="007A682B">
        <w:rPr>
          <w:rFonts w:ascii="Arial" w:hAnsi="Arial" w:cs="Arial"/>
          <w:sz w:val="20"/>
          <w:szCs w:val="20"/>
        </w:rPr>
        <w:t xml:space="preserve">ntermediates, and </w:t>
      </w:r>
      <w:r w:rsidR="00A9403F">
        <w:rPr>
          <w:rFonts w:ascii="Arial" w:hAnsi="Arial" w:cs="Arial"/>
          <w:sz w:val="20"/>
          <w:szCs w:val="20"/>
        </w:rPr>
        <w:t>F</w:t>
      </w:r>
      <w:r w:rsidR="00204F66" w:rsidRPr="007A682B">
        <w:rPr>
          <w:rFonts w:ascii="Arial" w:hAnsi="Arial" w:cs="Arial"/>
          <w:sz w:val="20"/>
          <w:szCs w:val="20"/>
        </w:rPr>
        <w:t>emales (</w:t>
      </w:r>
      <w:r w:rsidR="00204F66" w:rsidRPr="007A682B">
        <w:rPr>
          <w:rFonts w:ascii="Arial" w:hAnsi="Arial" w:cs="Arial"/>
          <w:sz w:val="20"/>
          <w:szCs w:val="20"/>
          <w:highlight w:val="yellow"/>
        </w:rPr>
        <w:t>Methods</w:t>
      </w:r>
      <w:r w:rsidR="00204F66" w:rsidRPr="007A682B">
        <w:rPr>
          <w:rFonts w:ascii="Arial" w:hAnsi="Arial" w:cs="Arial"/>
          <w:sz w:val="20"/>
          <w:szCs w:val="20"/>
        </w:rPr>
        <w:t xml:space="preserve">). Specifically, cell types were classified as exhibiting early, late, progressive, or transient patterns as well as either increasing or decreasing </w:t>
      </w:r>
      <w:r w:rsidR="00A9403F">
        <w:rPr>
          <w:rFonts w:ascii="Arial" w:hAnsi="Arial" w:cs="Arial"/>
          <w:sz w:val="20"/>
          <w:szCs w:val="20"/>
        </w:rPr>
        <w:t xml:space="preserve">relative </w:t>
      </w:r>
      <w:r w:rsidR="00204F66" w:rsidRPr="007A682B">
        <w:rPr>
          <w:rFonts w:ascii="Arial" w:hAnsi="Arial" w:cs="Arial"/>
          <w:sz w:val="20"/>
          <w:szCs w:val="20"/>
        </w:rPr>
        <w:t xml:space="preserve">abundance. </w:t>
      </w:r>
      <w:r w:rsidRPr="007A682B">
        <w:rPr>
          <w:rFonts w:ascii="Arial" w:hAnsi="Arial" w:cs="Arial"/>
          <w:sz w:val="20"/>
          <w:szCs w:val="20"/>
        </w:rPr>
        <w:t xml:space="preserve">We detected significant phase differences in the </w:t>
      </w:r>
      <w:r w:rsidR="00A9403F">
        <w:rPr>
          <w:rFonts w:ascii="Arial" w:hAnsi="Arial" w:cs="Arial"/>
          <w:sz w:val="20"/>
          <w:szCs w:val="20"/>
        </w:rPr>
        <w:t xml:space="preserve">relative </w:t>
      </w:r>
      <w:r w:rsidR="000E7AF0" w:rsidRPr="007A682B">
        <w:rPr>
          <w:rFonts w:ascii="Arial" w:hAnsi="Arial" w:cs="Arial"/>
          <w:sz w:val="20"/>
          <w:szCs w:val="20"/>
        </w:rPr>
        <w:t xml:space="preserve">abundance </w:t>
      </w:r>
      <w:r w:rsidRPr="007A682B">
        <w:rPr>
          <w:rFonts w:ascii="Arial" w:hAnsi="Arial" w:cs="Arial"/>
          <w:sz w:val="20"/>
          <w:szCs w:val="20"/>
        </w:rPr>
        <w:t xml:space="preserve">of cells in 12 of the 27 multiome clusters. Of these, nine were </w:t>
      </w:r>
      <w:r w:rsidR="000E7AF0" w:rsidRPr="007A682B">
        <w:rPr>
          <w:rFonts w:ascii="Arial" w:hAnsi="Arial" w:cs="Arial"/>
          <w:sz w:val="20"/>
          <w:szCs w:val="20"/>
        </w:rPr>
        <w:t xml:space="preserve">relative </w:t>
      </w:r>
      <w:r w:rsidRPr="007A682B">
        <w:rPr>
          <w:rFonts w:ascii="Arial" w:hAnsi="Arial" w:cs="Arial"/>
          <w:sz w:val="20"/>
          <w:szCs w:val="20"/>
        </w:rPr>
        <w:t>decreases in cell population while only three were increases. Notably, all three increases occurred in glia. Oligodendrocytes (2_OL) increased in population progressively with each phase</w:t>
      </w:r>
      <w:r w:rsidR="00530E82">
        <w:rPr>
          <w:rFonts w:ascii="Arial" w:hAnsi="Arial" w:cs="Arial"/>
          <w:sz w:val="20"/>
          <w:szCs w:val="20"/>
        </w:rPr>
        <w:t xml:space="preserve"> (</w:t>
      </w:r>
      <w:r w:rsidR="00530E82" w:rsidRPr="00530E82">
        <w:rPr>
          <w:rFonts w:ascii="Arial" w:hAnsi="Arial" w:cs="Arial"/>
          <w:sz w:val="20"/>
          <w:szCs w:val="20"/>
        </w:rPr>
        <w:t>χ</w:t>
      </w:r>
      <w:r w:rsidR="00530E82">
        <w:rPr>
          <w:rFonts w:ascii="Arial" w:hAnsi="Arial" w:cs="Arial"/>
          <w:sz w:val="20"/>
          <w:szCs w:val="20"/>
          <w:vertAlign w:val="superscript"/>
        </w:rPr>
        <w:t>2</w:t>
      </w:r>
      <w:r w:rsidR="00530E82">
        <w:rPr>
          <w:rFonts w:ascii="Arial" w:hAnsi="Arial" w:cs="Arial"/>
          <w:sz w:val="20"/>
          <w:szCs w:val="20"/>
        </w:rPr>
        <w:t>(2</w:t>
      </w:r>
      <w:r w:rsidR="00530E82" w:rsidRPr="007A682B">
        <w:rPr>
          <w:rFonts w:ascii="Arial" w:hAnsi="Arial" w:cs="Arial"/>
          <w:sz w:val="20"/>
          <w:szCs w:val="20"/>
        </w:rPr>
        <w:t>)</w:t>
      </w:r>
      <w:r w:rsidR="00530E82">
        <w:rPr>
          <w:rFonts w:ascii="Arial" w:hAnsi="Arial" w:cs="Arial"/>
          <w:sz w:val="20"/>
          <w:szCs w:val="20"/>
        </w:rPr>
        <w:t xml:space="preserve"> =</w:t>
      </w:r>
      <w:commentRangeStart w:id="5"/>
      <w:r w:rsidR="00530E82">
        <w:rPr>
          <w:rFonts w:ascii="Arial" w:hAnsi="Arial" w:cs="Arial"/>
          <w:sz w:val="20"/>
          <w:szCs w:val="20"/>
        </w:rPr>
        <w:t xml:space="preserve"> 64.552</w:t>
      </w:r>
      <w:commentRangeEnd w:id="5"/>
      <w:r w:rsidR="00E019AF">
        <w:rPr>
          <w:rStyle w:val="CommentReference"/>
          <w:rFonts w:ascii="Arial" w:hAnsi="Arial" w:cs="Arial"/>
          <w:sz w:val="20"/>
          <w:szCs w:val="20"/>
        </w:rPr>
        <w:commentReference w:id="5"/>
      </w:r>
      <w:r w:rsidR="00530E82">
        <w:rPr>
          <w:rFonts w:ascii="Arial" w:hAnsi="Arial" w:cs="Arial"/>
          <w:sz w:val="20"/>
          <w:szCs w:val="20"/>
        </w:rPr>
        <w:t xml:space="preserve">, </w:t>
      </w:r>
      <w:r w:rsidR="00530E82">
        <w:rPr>
          <w:rFonts w:ascii="Arial" w:hAnsi="Arial" w:cs="Arial"/>
          <w:i/>
          <w:iCs/>
          <w:sz w:val="20"/>
          <w:szCs w:val="20"/>
        </w:rPr>
        <w:t>q</w:t>
      </w:r>
      <w:r w:rsidR="00530E82">
        <w:rPr>
          <w:rFonts w:ascii="Arial" w:hAnsi="Arial" w:cs="Arial"/>
          <w:sz w:val="20"/>
          <w:szCs w:val="20"/>
        </w:rPr>
        <w:t xml:space="preserve"> &lt;0.001), with </w:t>
      </w:r>
      <w:r w:rsidR="00530E82" w:rsidRPr="0059476D">
        <w:rPr>
          <w:rFonts w:ascii="Arial" w:hAnsi="Arial" w:cs="Arial"/>
          <w:sz w:val="20"/>
          <w:szCs w:val="20"/>
        </w:rPr>
        <w:t>a 1.2-fold</w:t>
      </w:r>
      <w:r w:rsidR="00530E82">
        <w:rPr>
          <w:rFonts w:ascii="Arial" w:hAnsi="Arial" w:cs="Arial"/>
          <w:sz w:val="20"/>
          <w:szCs w:val="20"/>
        </w:rPr>
        <w:t xml:space="preserve"> increase during both the male-intermediate transition and the intermediates-female transition. M</w:t>
      </w:r>
      <w:r w:rsidRPr="007A682B">
        <w:rPr>
          <w:rFonts w:ascii="Arial" w:hAnsi="Arial" w:cs="Arial"/>
          <w:sz w:val="20"/>
          <w:szCs w:val="20"/>
        </w:rPr>
        <w:t xml:space="preserve">icroglia (11_MG) </w:t>
      </w:r>
      <w:r w:rsidRPr="00530E82">
        <w:rPr>
          <w:rFonts w:ascii="Arial" w:hAnsi="Arial" w:cs="Arial"/>
          <w:sz w:val="20"/>
          <w:szCs w:val="20"/>
        </w:rPr>
        <w:t>increased</w:t>
      </w:r>
      <w:r w:rsidR="00530E82" w:rsidRPr="00530E82">
        <w:rPr>
          <w:rFonts w:ascii="Arial" w:hAnsi="Arial" w:cs="Arial"/>
          <w:sz w:val="20"/>
          <w:szCs w:val="20"/>
        </w:rPr>
        <w:t xml:space="preserve"> 1.2-fold</w:t>
      </w:r>
      <w:r w:rsidR="00530E82">
        <w:rPr>
          <w:rFonts w:ascii="Arial" w:hAnsi="Arial" w:cs="Arial"/>
          <w:sz w:val="20"/>
          <w:szCs w:val="20"/>
        </w:rPr>
        <w:t xml:space="preserve"> </w:t>
      </w:r>
      <w:r w:rsidRPr="007A682B">
        <w:rPr>
          <w:rFonts w:ascii="Arial" w:hAnsi="Arial" w:cs="Arial"/>
          <w:sz w:val="20"/>
          <w:szCs w:val="20"/>
        </w:rPr>
        <w:t>during the male-intermediate transition</w:t>
      </w:r>
      <w:r w:rsidR="00530E82">
        <w:rPr>
          <w:rFonts w:ascii="Arial" w:hAnsi="Arial" w:cs="Arial"/>
          <w:sz w:val="20"/>
          <w:szCs w:val="20"/>
        </w:rPr>
        <w:t xml:space="preserve"> </w:t>
      </w:r>
      <w:r w:rsidR="006468B0" w:rsidRPr="007A682B">
        <w:rPr>
          <w:rFonts w:ascii="Arial" w:hAnsi="Arial" w:cs="Arial"/>
          <w:sz w:val="20"/>
          <w:szCs w:val="20"/>
        </w:rPr>
        <w:t>(</w:t>
      </w:r>
      <w:r w:rsidR="00530E82" w:rsidRPr="00530E82">
        <w:rPr>
          <w:rFonts w:ascii="Arial" w:hAnsi="Arial" w:cs="Arial"/>
          <w:sz w:val="20"/>
          <w:szCs w:val="20"/>
        </w:rPr>
        <w:t>χ</w:t>
      </w:r>
      <w:r w:rsidR="00530E82">
        <w:rPr>
          <w:rFonts w:ascii="Arial" w:hAnsi="Arial" w:cs="Arial"/>
          <w:sz w:val="20"/>
          <w:szCs w:val="20"/>
          <w:vertAlign w:val="superscript"/>
        </w:rPr>
        <w:t>2</w:t>
      </w:r>
      <w:r w:rsidR="00530E82">
        <w:rPr>
          <w:rFonts w:ascii="Arial" w:hAnsi="Arial" w:cs="Arial"/>
          <w:sz w:val="20"/>
          <w:szCs w:val="20"/>
        </w:rPr>
        <w:t>(2</w:t>
      </w:r>
      <w:r w:rsidR="006468B0" w:rsidRPr="007A682B">
        <w:rPr>
          <w:rFonts w:ascii="Arial" w:hAnsi="Arial" w:cs="Arial"/>
          <w:sz w:val="20"/>
          <w:szCs w:val="20"/>
        </w:rPr>
        <w:t>)</w:t>
      </w:r>
      <w:r w:rsidR="00530E82">
        <w:rPr>
          <w:rFonts w:ascii="Arial" w:hAnsi="Arial" w:cs="Arial"/>
          <w:sz w:val="20"/>
          <w:szCs w:val="20"/>
        </w:rPr>
        <w:t xml:space="preserve"> =9.6</w:t>
      </w:r>
      <w:r w:rsidR="006044D0">
        <w:rPr>
          <w:rFonts w:ascii="Arial" w:hAnsi="Arial" w:cs="Arial"/>
          <w:sz w:val="20"/>
          <w:szCs w:val="20"/>
        </w:rPr>
        <w:t>9</w:t>
      </w:r>
      <w:r w:rsidR="00530E82">
        <w:rPr>
          <w:rFonts w:ascii="Arial" w:hAnsi="Arial" w:cs="Arial"/>
          <w:sz w:val="20"/>
          <w:szCs w:val="20"/>
        </w:rPr>
        <w:t xml:space="preserve">7, </w:t>
      </w:r>
      <w:r w:rsidR="00530E82">
        <w:rPr>
          <w:rFonts w:ascii="Arial" w:hAnsi="Arial" w:cs="Arial"/>
          <w:i/>
          <w:iCs/>
          <w:sz w:val="20"/>
          <w:szCs w:val="20"/>
        </w:rPr>
        <w:t>q</w:t>
      </w:r>
      <w:r w:rsidR="00530E82">
        <w:rPr>
          <w:rFonts w:ascii="Arial" w:hAnsi="Arial" w:cs="Arial"/>
          <w:sz w:val="20"/>
          <w:szCs w:val="20"/>
        </w:rPr>
        <w:t xml:space="preserve"> = 0.024, </w:t>
      </w:r>
      <w:r w:rsidRPr="007A682B">
        <w:rPr>
          <w:rFonts w:ascii="Arial" w:hAnsi="Arial" w:cs="Arial"/>
          <w:sz w:val="20"/>
          <w:szCs w:val="20"/>
          <w:highlight w:val="yellow"/>
        </w:rPr>
        <w:t>Fig. S</w:t>
      </w:r>
      <w:r w:rsidR="00376C7F" w:rsidRPr="007A682B">
        <w:rPr>
          <w:rFonts w:ascii="Arial" w:hAnsi="Arial" w:cs="Arial"/>
          <w:sz w:val="20"/>
          <w:szCs w:val="20"/>
          <w:highlight w:val="yellow"/>
        </w:rPr>
        <w:t>6</w:t>
      </w:r>
      <w:r w:rsidRPr="007A682B">
        <w:rPr>
          <w:rFonts w:ascii="Arial" w:hAnsi="Arial" w:cs="Arial"/>
          <w:sz w:val="20"/>
          <w:szCs w:val="20"/>
          <w:highlight w:val="yellow"/>
        </w:rPr>
        <w:t>A</w:t>
      </w:r>
      <w:r w:rsidRPr="007A682B">
        <w:rPr>
          <w:rFonts w:ascii="Arial" w:hAnsi="Arial" w:cs="Arial"/>
          <w:sz w:val="20"/>
          <w:szCs w:val="20"/>
        </w:rPr>
        <w:t xml:space="preserve">). Consistent with the idea that sex change is characterized by transient increases in neuro- and gliogenesis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{"citationID":"0xeA6Ki8","properties":{"unsorted":false,"formattedCitation":"(5, 6)","plainCitation":"(5, 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(5, 6)</w:t>
      </w:r>
      <w:r w:rsidRPr="007A682B">
        <w:rPr>
          <w:rFonts w:ascii="Arial" w:hAnsi="Arial" w:cs="Arial"/>
          <w:sz w:val="20"/>
          <w:szCs w:val="20"/>
        </w:rPr>
        <w:fldChar w:fldCharType="end"/>
      </w:r>
      <w:r w:rsidRPr="007A682B">
        <w:rPr>
          <w:rFonts w:ascii="Arial" w:hAnsi="Arial" w:cs="Arial"/>
          <w:sz w:val="20"/>
          <w:szCs w:val="20"/>
        </w:rPr>
        <w:t xml:space="preserve">, the proportion of </w:t>
      </w:r>
      <w:r w:rsidR="00910508" w:rsidRPr="007A682B">
        <w:rPr>
          <w:rFonts w:ascii="Arial" w:hAnsi="Arial" w:cs="Arial"/>
          <w:sz w:val="20"/>
          <w:szCs w:val="20"/>
        </w:rPr>
        <w:t>RGCs</w:t>
      </w:r>
      <w:r w:rsidRPr="007A682B">
        <w:rPr>
          <w:rFonts w:ascii="Arial" w:hAnsi="Arial" w:cs="Arial"/>
          <w:sz w:val="20"/>
          <w:szCs w:val="20"/>
        </w:rPr>
        <w:t xml:space="preserve"> (1_RGC) transiently increased</w:t>
      </w:r>
      <w:r w:rsidR="0059476D">
        <w:rPr>
          <w:rFonts w:ascii="Arial" w:hAnsi="Arial" w:cs="Arial"/>
          <w:sz w:val="20"/>
          <w:szCs w:val="20"/>
        </w:rPr>
        <w:t xml:space="preserve"> 1.2-fold</w:t>
      </w:r>
      <w:r w:rsidRPr="007A682B">
        <w:rPr>
          <w:rFonts w:ascii="Arial" w:hAnsi="Arial" w:cs="Arial"/>
          <w:sz w:val="20"/>
          <w:szCs w:val="20"/>
        </w:rPr>
        <w:t xml:space="preserve"> in </w:t>
      </w:r>
      <w:r w:rsidR="00A9403F">
        <w:rPr>
          <w:rFonts w:ascii="Arial" w:hAnsi="Arial" w:cs="Arial"/>
          <w:sz w:val="20"/>
          <w:szCs w:val="20"/>
        </w:rPr>
        <w:t>I</w:t>
      </w:r>
      <w:r w:rsidRPr="007A682B">
        <w:rPr>
          <w:rFonts w:ascii="Arial" w:hAnsi="Arial" w:cs="Arial"/>
          <w:sz w:val="20"/>
          <w:szCs w:val="20"/>
        </w:rPr>
        <w:t xml:space="preserve">ntermediates before returning to baseline levels in </w:t>
      </w:r>
      <w:r w:rsidR="00A9403F">
        <w:rPr>
          <w:rFonts w:ascii="Arial" w:hAnsi="Arial" w:cs="Arial"/>
          <w:sz w:val="20"/>
          <w:szCs w:val="20"/>
        </w:rPr>
        <w:t>F</w:t>
      </w:r>
      <w:r w:rsidRPr="007A682B">
        <w:rPr>
          <w:rFonts w:ascii="Arial" w:hAnsi="Arial" w:cs="Arial"/>
          <w:sz w:val="20"/>
          <w:szCs w:val="20"/>
        </w:rPr>
        <w:t xml:space="preserve">emales </w:t>
      </w:r>
      <w:r w:rsidR="006468B0" w:rsidRPr="007A682B">
        <w:rPr>
          <w:rFonts w:ascii="Arial" w:hAnsi="Arial" w:cs="Arial"/>
          <w:sz w:val="20"/>
          <w:szCs w:val="20"/>
        </w:rPr>
        <w:t>(</w:t>
      </w:r>
      <w:r w:rsidR="0059476D" w:rsidRPr="00530E82">
        <w:rPr>
          <w:rFonts w:ascii="Arial" w:hAnsi="Arial" w:cs="Arial"/>
          <w:sz w:val="20"/>
          <w:szCs w:val="20"/>
        </w:rPr>
        <w:t>χ</w:t>
      </w:r>
      <w:r w:rsidR="0059476D">
        <w:rPr>
          <w:rFonts w:ascii="Arial" w:hAnsi="Arial" w:cs="Arial"/>
          <w:sz w:val="20"/>
          <w:szCs w:val="20"/>
          <w:vertAlign w:val="superscript"/>
        </w:rPr>
        <w:t>2</w:t>
      </w:r>
      <w:r w:rsidR="0059476D">
        <w:rPr>
          <w:rFonts w:ascii="Arial" w:hAnsi="Arial" w:cs="Arial"/>
          <w:sz w:val="20"/>
          <w:szCs w:val="20"/>
        </w:rPr>
        <w:t>(2</w:t>
      </w:r>
      <w:r w:rsidR="0059476D" w:rsidRPr="007A682B">
        <w:rPr>
          <w:rFonts w:ascii="Arial" w:hAnsi="Arial" w:cs="Arial"/>
          <w:sz w:val="20"/>
          <w:szCs w:val="20"/>
        </w:rPr>
        <w:t>)</w:t>
      </w:r>
      <w:r w:rsidR="0059476D">
        <w:rPr>
          <w:rFonts w:ascii="Arial" w:hAnsi="Arial" w:cs="Arial"/>
          <w:sz w:val="20"/>
          <w:szCs w:val="20"/>
        </w:rPr>
        <w:t xml:space="preserve"> =13.905, </w:t>
      </w:r>
      <w:r w:rsidR="0059476D">
        <w:rPr>
          <w:rFonts w:ascii="Arial" w:hAnsi="Arial" w:cs="Arial"/>
          <w:i/>
          <w:iCs/>
          <w:sz w:val="20"/>
          <w:szCs w:val="20"/>
        </w:rPr>
        <w:t>q</w:t>
      </w:r>
      <w:r w:rsidR="0059476D">
        <w:rPr>
          <w:rFonts w:ascii="Arial" w:hAnsi="Arial" w:cs="Arial"/>
          <w:sz w:val="20"/>
          <w:szCs w:val="20"/>
        </w:rPr>
        <w:t xml:space="preserve"> =0.004, </w:t>
      </w:r>
      <w:r w:rsidRPr="007A682B">
        <w:rPr>
          <w:rFonts w:ascii="Arial" w:hAnsi="Arial" w:cs="Arial"/>
          <w:sz w:val="20"/>
          <w:szCs w:val="20"/>
          <w:highlight w:val="yellow"/>
        </w:rPr>
        <w:t>Fig 3A</w:t>
      </w:r>
      <w:r w:rsidR="006468B0" w:rsidRPr="007A682B">
        <w:rPr>
          <w:rFonts w:ascii="Arial" w:hAnsi="Arial" w:cs="Arial"/>
          <w:sz w:val="20"/>
          <w:szCs w:val="20"/>
        </w:rPr>
        <w:t>, Appendix S1</w:t>
      </w:r>
      <w:r w:rsidRPr="007A682B">
        <w:rPr>
          <w:rFonts w:ascii="Arial" w:hAnsi="Arial" w:cs="Arial"/>
          <w:sz w:val="20"/>
          <w:szCs w:val="20"/>
        </w:rPr>
        <w:t xml:space="preserve">). </w:t>
      </w:r>
      <w:r w:rsidR="00A9403F" w:rsidRPr="00A9403F">
        <w:rPr>
          <w:rFonts w:ascii="Arial" w:hAnsi="Arial" w:cs="Arial"/>
          <w:sz w:val="20"/>
          <w:szCs w:val="20"/>
        </w:rPr>
        <w:t>Together, these findings reveal asynchronous changes in the relative abundance of glial populations during sex change, with RGCs and microglia becoming relatively more abundant early in the transition and oligodendrocytes increasing progressively across phases</w:t>
      </w:r>
      <w:r w:rsidR="005930D4">
        <w:rPr>
          <w:rFonts w:ascii="Arial" w:hAnsi="Arial" w:cs="Arial"/>
          <w:sz w:val="20"/>
          <w:szCs w:val="20"/>
        </w:rPr>
        <w:t>.  These distinct patterns</w:t>
      </w:r>
      <w:r w:rsidR="00A9403F" w:rsidRPr="00A9403F">
        <w:rPr>
          <w:rFonts w:ascii="Arial" w:hAnsi="Arial" w:cs="Arial"/>
          <w:sz w:val="20"/>
          <w:szCs w:val="20"/>
        </w:rPr>
        <w:t xml:space="preserve"> suggest glial populations participate in brain remodeling during sex change in temporally distinct ways, rather than undergoing a uniform response.</w:t>
      </w:r>
    </w:p>
    <w:p w14:paraId="260981F3" w14:textId="5D5AA692" w:rsidR="004816FA" w:rsidRPr="007A682B" w:rsidRDefault="00A9403F" w:rsidP="00A9403F">
      <w:pPr>
        <w:rPr>
          <w:rFonts w:ascii="Arial" w:hAnsi="Arial" w:cs="Arial"/>
          <w:sz w:val="20"/>
          <w:szCs w:val="20"/>
        </w:rPr>
      </w:pPr>
      <w:r>
        <w:rPr>
          <w:rFonts w:ascii="Arial" w:hAnsi="Arial" w:cs="Arial"/>
          <w:sz w:val="20"/>
          <w:szCs w:val="20"/>
        </w:rPr>
        <w:tab/>
      </w:r>
      <w:r w:rsidR="003F3C8F" w:rsidRPr="007A682B">
        <w:rPr>
          <w:rFonts w:ascii="Arial" w:hAnsi="Arial" w:cs="Arial"/>
          <w:sz w:val="20"/>
          <w:szCs w:val="20"/>
        </w:rPr>
        <w:t xml:space="preserve">Because the large-scale changes in glial populations described above may obscure more subtle changes in neuronal populations, we next analyzed changes in proportion only considering neurons. Of the 20 neuronal clusters we analyzed, 11 changed in </w:t>
      </w:r>
      <w:r w:rsidR="005930D4">
        <w:rPr>
          <w:rFonts w:ascii="Arial" w:hAnsi="Arial" w:cs="Arial"/>
          <w:sz w:val="20"/>
          <w:szCs w:val="20"/>
        </w:rPr>
        <w:t>proportion</w:t>
      </w:r>
      <w:r w:rsidR="003F3C8F" w:rsidRPr="007A682B">
        <w:rPr>
          <w:rFonts w:ascii="Arial" w:hAnsi="Arial" w:cs="Arial"/>
          <w:sz w:val="20"/>
          <w:szCs w:val="20"/>
        </w:rPr>
        <w:t xml:space="preserve"> with four decreasing and </w:t>
      </w:r>
      <w:r w:rsidR="000E4265">
        <w:rPr>
          <w:rFonts w:ascii="Arial" w:hAnsi="Arial" w:cs="Arial"/>
          <w:sz w:val="20"/>
          <w:szCs w:val="20"/>
        </w:rPr>
        <w:t>7</w:t>
      </w:r>
      <w:r w:rsidR="003F3C8F" w:rsidRPr="007A682B">
        <w:rPr>
          <w:rFonts w:ascii="Arial" w:hAnsi="Arial" w:cs="Arial"/>
          <w:sz w:val="20"/>
          <w:szCs w:val="20"/>
        </w:rPr>
        <w:t xml:space="preserve"> increasing in </w:t>
      </w:r>
      <w:r w:rsidR="005930D4">
        <w:rPr>
          <w:rFonts w:ascii="Arial" w:hAnsi="Arial" w:cs="Arial"/>
          <w:sz w:val="20"/>
          <w:szCs w:val="20"/>
        </w:rPr>
        <w:t xml:space="preserve">relative abundance </w:t>
      </w:r>
      <w:r w:rsidR="003F3C8F" w:rsidRPr="007A682B">
        <w:rPr>
          <w:rFonts w:ascii="Arial" w:hAnsi="Arial" w:cs="Arial"/>
          <w:sz w:val="20"/>
          <w:szCs w:val="20"/>
        </w:rPr>
        <w:t xml:space="preserve">over the course of sex change. During the </w:t>
      </w:r>
      <w:r w:rsidR="005930D4">
        <w:rPr>
          <w:rFonts w:ascii="Arial" w:hAnsi="Arial" w:cs="Arial"/>
          <w:sz w:val="20"/>
          <w:szCs w:val="20"/>
        </w:rPr>
        <w:t>M</w:t>
      </w:r>
      <w:r w:rsidR="003F3C8F" w:rsidRPr="007A682B">
        <w:rPr>
          <w:rFonts w:ascii="Arial" w:hAnsi="Arial" w:cs="Arial"/>
          <w:sz w:val="20"/>
          <w:szCs w:val="20"/>
        </w:rPr>
        <w:t>ale-</w:t>
      </w:r>
      <w:r w:rsidR="005930D4">
        <w:rPr>
          <w:rFonts w:ascii="Arial" w:hAnsi="Arial" w:cs="Arial"/>
          <w:sz w:val="20"/>
          <w:szCs w:val="20"/>
        </w:rPr>
        <w:t>I</w:t>
      </w:r>
      <w:r w:rsidR="003F3C8F" w:rsidRPr="007A682B">
        <w:rPr>
          <w:rFonts w:ascii="Arial" w:hAnsi="Arial" w:cs="Arial"/>
          <w:sz w:val="20"/>
          <w:szCs w:val="20"/>
        </w:rPr>
        <w:t xml:space="preserve">ntermediate transition, we found significant increases in clusters </w:t>
      </w:r>
      <w:commentRangeStart w:id="6"/>
      <w:r w:rsidR="003F3C8F" w:rsidRPr="007A682B">
        <w:rPr>
          <w:rFonts w:ascii="Arial" w:hAnsi="Arial" w:cs="Arial"/>
          <w:sz w:val="20"/>
          <w:szCs w:val="20"/>
        </w:rPr>
        <w:t>14_Vsst</w:t>
      </w:r>
      <w:r w:rsidR="00815DA7" w:rsidRPr="007A682B">
        <w:rPr>
          <w:rFonts w:ascii="Arial" w:hAnsi="Arial" w:cs="Arial"/>
          <w:sz w:val="20"/>
          <w:szCs w:val="20"/>
        </w:rPr>
        <w:t xml:space="preserve"> (</w:t>
      </w:r>
      <w:commentRangeStart w:id="7"/>
      <w:r w:rsidR="0059476D">
        <w:rPr>
          <w:rFonts w:ascii="Arial" w:hAnsi="Arial" w:cs="Arial"/>
          <w:sz w:val="20"/>
          <w:szCs w:val="20"/>
        </w:rPr>
        <w:t>1.4-fold</w:t>
      </w:r>
      <w:commentRangeEnd w:id="7"/>
      <w:r w:rsidR="005930D4">
        <w:rPr>
          <w:rStyle w:val="CommentReference"/>
          <w:rFonts w:ascii="Arial" w:hAnsi="Arial" w:cs="Arial"/>
          <w:sz w:val="20"/>
          <w:szCs w:val="20"/>
        </w:rPr>
        <w:commentReference w:id="7"/>
      </w:r>
      <w:r w:rsidR="0059476D">
        <w:rPr>
          <w:rFonts w:ascii="Arial" w:hAnsi="Arial" w:cs="Arial"/>
          <w:sz w:val="20"/>
          <w:szCs w:val="20"/>
        </w:rPr>
        <w:t>)</w:t>
      </w:r>
      <w:r w:rsidR="003F3C8F" w:rsidRPr="007A682B">
        <w:rPr>
          <w:rFonts w:ascii="Arial" w:hAnsi="Arial" w:cs="Arial"/>
          <w:sz w:val="20"/>
          <w:szCs w:val="20"/>
        </w:rPr>
        <w:t>, 17_Glut</w:t>
      </w:r>
      <w:r w:rsidR="00815DA7" w:rsidRPr="007A682B">
        <w:rPr>
          <w:rFonts w:ascii="Arial" w:hAnsi="Arial" w:cs="Arial"/>
          <w:sz w:val="20"/>
          <w:szCs w:val="20"/>
        </w:rPr>
        <w:t xml:space="preserve"> (</w:t>
      </w:r>
      <w:r w:rsidR="0059476D">
        <w:rPr>
          <w:rFonts w:ascii="Arial" w:hAnsi="Arial" w:cs="Arial"/>
          <w:sz w:val="20"/>
          <w:szCs w:val="20"/>
        </w:rPr>
        <w:t>1.3-fold)</w:t>
      </w:r>
      <w:r w:rsidR="003F3C8F" w:rsidRPr="007A682B">
        <w:rPr>
          <w:rFonts w:ascii="Arial" w:hAnsi="Arial" w:cs="Arial"/>
          <w:sz w:val="20"/>
          <w:szCs w:val="20"/>
        </w:rPr>
        <w:t>, and 18_Glut</w:t>
      </w:r>
      <w:r w:rsidR="00815DA7" w:rsidRPr="007A682B">
        <w:rPr>
          <w:rFonts w:ascii="Arial" w:hAnsi="Arial" w:cs="Arial"/>
          <w:sz w:val="20"/>
          <w:szCs w:val="20"/>
        </w:rPr>
        <w:t xml:space="preserve"> (</w:t>
      </w:r>
      <w:r w:rsidR="0059476D">
        <w:rPr>
          <w:rFonts w:ascii="Arial" w:hAnsi="Arial" w:cs="Arial"/>
          <w:sz w:val="20"/>
          <w:szCs w:val="20"/>
        </w:rPr>
        <w:t>1.1-fold</w:t>
      </w:r>
      <w:r w:rsidR="00815DA7" w:rsidRPr="007A682B">
        <w:rPr>
          <w:rFonts w:ascii="Arial" w:hAnsi="Arial" w:cs="Arial"/>
          <w:sz w:val="20"/>
          <w:szCs w:val="20"/>
        </w:rPr>
        <w:t>)</w:t>
      </w:r>
      <w:r w:rsidR="003F3C8F" w:rsidRPr="007A682B">
        <w:rPr>
          <w:rFonts w:ascii="Arial" w:hAnsi="Arial" w:cs="Arial"/>
          <w:sz w:val="20"/>
          <w:szCs w:val="20"/>
        </w:rPr>
        <w:t xml:space="preserve">. In </w:t>
      </w:r>
      <w:r w:rsidR="000E4265">
        <w:rPr>
          <w:rFonts w:ascii="Arial" w:hAnsi="Arial" w:cs="Arial"/>
          <w:sz w:val="20"/>
          <w:szCs w:val="20"/>
        </w:rPr>
        <w:t>I</w:t>
      </w:r>
      <w:r w:rsidR="003F3C8F" w:rsidRPr="007A682B">
        <w:rPr>
          <w:rFonts w:ascii="Arial" w:hAnsi="Arial" w:cs="Arial"/>
          <w:sz w:val="20"/>
          <w:szCs w:val="20"/>
        </w:rPr>
        <w:t>ntermediates, we found a transient increa</w:t>
      </w:r>
      <w:commentRangeEnd w:id="6"/>
      <w:r w:rsidR="005930D4" w:rsidRPr="007A682B">
        <w:rPr>
          <w:rStyle w:val="CommentReference"/>
          <w:rFonts w:ascii="Arial" w:hAnsi="Arial" w:cs="Arial"/>
          <w:sz w:val="20"/>
          <w:szCs w:val="20"/>
        </w:rPr>
        <w:commentReference w:id="6"/>
      </w:r>
      <w:r w:rsidR="003F3C8F" w:rsidRPr="007A682B">
        <w:rPr>
          <w:rFonts w:ascii="Arial" w:hAnsi="Arial" w:cs="Arial"/>
          <w:sz w:val="20"/>
          <w:szCs w:val="20"/>
        </w:rPr>
        <w:t>se in cluster 0_Spall_Mixed</w:t>
      </w:r>
      <w:r w:rsidR="00815DA7" w:rsidRPr="007A682B">
        <w:rPr>
          <w:rFonts w:ascii="Arial" w:hAnsi="Arial" w:cs="Arial"/>
          <w:sz w:val="20"/>
          <w:szCs w:val="20"/>
        </w:rPr>
        <w:t xml:space="preserve"> (</w:t>
      </w:r>
      <w:r w:rsidR="00F32437">
        <w:rPr>
          <w:rFonts w:ascii="Arial" w:hAnsi="Arial" w:cs="Arial"/>
          <w:sz w:val="20"/>
          <w:szCs w:val="20"/>
        </w:rPr>
        <w:t>1.1-fold</w:t>
      </w:r>
      <w:r w:rsidR="00C82188">
        <w:rPr>
          <w:rFonts w:ascii="Arial" w:hAnsi="Arial" w:cs="Arial"/>
          <w:sz w:val="20"/>
          <w:szCs w:val="20"/>
        </w:rPr>
        <w:t>)</w:t>
      </w:r>
      <w:r w:rsidR="003F3C8F" w:rsidRPr="007A682B">
        <w:rPr>
          <w:rFonts w:ascii="Arial" w:hAnsi="Arial" w:cs="Arial"/>
          <w:sz w:val="20"/>
          <w:szCs w:val="20"/>
        </w:rPr>
        <w:t xml:space="preserve">, and a transient </w:t>
      </w:r>
      <w:r w:rsidR="00F32437">
        <w:rPr>
          <w:rFonts w:ascii="Arial" w:hAnsi="Arial" w:cs="Arial"/>
          <w:sz w:val="20"/>
          <w:szCs w:val="20"/>
        </w:rPr>
        <w:t>1</w:t>
      </w:r>
      <w:r w:rsidR="006044D0">
        <w:rPr>
          <w:rFonts w:ascii="Arial" w:hAnsi="Arial" w:cs="Arial"/>
          <w:sz w:val="20"/>
          <w:szCs w:val="20"/>
        </w:rPr>
        <w:t>3</w:t>
      </w:r>
      <w:r w:rsidR="00F32437">
        <w:rPr>
          <w:rFonts w:ascii="Arial" w:hAnsi="Arial" w:cs="Arial"/>
          <w:sz w:val="20"/>
          <w:szCs w:val="20"/>
        </w:rPr>
        <w:t xml:space="preserve">% </w:t>
      </w:r>
      <w:r w:rsidR="003F3C8F" w:rsidRPr="007A682B">
        <w:rPr>
          <w:rFonts w:ascii="Arial" w:hAnsi="Arial" w:cs="Arial"/>
          <w:sz w:val="20"/>
          <w:szCs w:val="20"/>
        </w:rPr>
        <w:t>decrease in cluster 4_TGN_Glu</w:t>
      </w:r>
      <w:r w:rsidR="00815DA7" w:rsidRPr="007A682B">
        <w:rPr>
          <w:rFonts w:ascii="Arial" w:hAnsi="Arial" w:cs="Arial"/>
          <w:sz w:val="20"/>
          <w:szCs w:val="20"/>
        </w:rPr>
        <w:t>t</w:t>
      </w:r>
      <w:r w:rsidR="003F3C8F" w:rsidRPr="007A682B">
        <w:rPr>
          <w:rFonts w:ascii="Arial" w:hAnsi="Arial" w:cs="Arial"/>
          <w:sz w:val="20"/>
          <w:szCs w:val="20"/>
        </w:rPr>
        <w:t xml:space="preserve">. During the </w:t>
      </w:r>
      <w:r w:rsidR="000E4265">
        <w:rPr>
          <w:rFonts w:ascii="Arial" w:hAnsi="Arial" w:cs="Arial"/>
          <w:sz w:val="20"/>
          <w:szCs w:val="20"/>
        </w:rPr>
        <w:t>I</w:t>
      </w:r>
      <w:r w:rsidR="003F3C8F" w:rsidRPr="007A682B">
        <w:rPr>
          <w:rFonts w:ascii="Arial" w:hAnsi="Arial" w:cs="Arial"/>
          <w:sz w:val="20"/>
          <w:szCs w:val="20"/>
        </w:rPr>
        <w:t>ntermediate-</w:t>
      </w:r>
      <w:r w:rsidR="000E4265">
        <w:rPr>
          <w:rFonts w:ascii="Arial" w:hAnsi="Arial" w:cs="Arial"/>
          <w:sz w:val="20"/>
          <w:szCs w:val="20"/>
        </w:rPr>
        <w:t>F</w:t>
      </w:r>
      <w:r w:rsidR="003F3C8F" w:rsidRPr="007A682B">
        <w:rPr>
          <w:rFonts w:ascii="Arial" w:hAnsi="Arial" w:cs="Arial"/>
          <w:sz w:val="20"/>
          <w:szCs w:val="20"/>
        </w:rPr>
        <w:t>emale transition, we found significant decreases in in 9_Mixed</w:t>
      </w:r>
      <w:r w:rsidR="00815DA7" w:rsidRPr="007A682B">
        <w:rPr>
          <w:rFonts w:ascii="Arial" w:hAnsi="Arial" w:cs="Arial"/>
          <w:sz w:val="20"/>
          <w:szCs w:val="20"/>
        </w:rPr>
        <w:t xml:space="preserve"> (</w:t>
      </w:r>
      <w:r w:rsidR="00F32437">
        <w:rPr>
          <w:rFonts w:ascii="Arial" w:hAnsi="Arial" w:cs="Arial"/>
          <w:sz w:val="20"/>
          <w:szCs w:val="20"/>
        </w:rPr>
        <w:t>26%</w:t>
      </w:r>
      <w:r w:rsidR="00815DA7" w:rsidRPr="007A682B">
        <w:rPr>
          <w:rFonts w:ascii="Arial" w:hAnsi="Arial" w:cs="Arial"/>
          <w:sz w:val="20"/>
          <w:szCs w:val="20"/>
        </w:rPr>
        <w:t>)</w:t>
      </w:r>
      <w:r w:rsidR="003F3C8F" w:rsidRPr="007A682B">
        <w:rPr>
          <w:rFonts w:ascii="Arial" w:hAnsi="Arial" w:cs="Arial"/>
          <w:sz w:val="20"/>
          <w:szCs w:val="20"/>
        </w:rPr>
        <w:t>, 22_Di_Glut</w:t>
      </w:r>
      <w:r w:rsidR="00815DA7" w:rsidRPr="007A682B">
        <w:rPr>
          <w:rFonts w:ascii="Arial" w:hAnsi="Arial" w:cs="Arial"/>
          <w:sz w:val="20"/>
          <w:szCs w:val="20"/>
        </w:rPr>
        <w:t xml:space="preserve"> (</w:t>
      </w:r>
      <w:r w:rsidR="00F32437">
        <w:rPr>
          <w:rFonts w:ascii="Arial" w:hAnsi="Arial" w:cs="Arial"/>
          <w:sz w:val="20"/>
          <w:szCs w:val="20"/>
        </w:rPr>
        <w:t>37%</w:t>
      </w:r>
      <w:r w:rsidR="00815DA7" w:rsidRPr="007A682B">
        <w:rPr>
          <w:rFonts w:ascii="Arial" w:hAnsi="Arial" w:cs="Arial"/>
          <w:sz w:val="20"/>
          <w:szCs w:val="20"/>
        </w:rPr>
        <w:t>)</w:t>
      </w:r>
      <w:r w:rsidR="003F3C8F" w:rsidRPr="007A682B">
        <w:rPr>
          <w:rFonts w:ascii="Arial" w:hAnsi="Arial" w:cs="Arial"/>
          <w:sz w:val="20"/>
          <w:szCs w:val="20"/>
        </w:rPr>
        <w:t>, and 24_Vs-m_Mixed</w:t>
      </w:r>
      <w:r w:rsidR="00815DA7" w:rsidRPr="007A682B">
        <w:rPr>
          <w:rFonts w:ascii="Arial" w:hAnsi="Arial" w:cs="Arial"/>
          <w:sz w:val="20"/>
          <w:szCs w:val="20"/>
        </w:rPr>
        <w:t xml:space="preserve"> (</w:t>
      </w:r>
      <w:r w:rsidR="00F32437">
        <w:rPr>
          <w:rFonts w:ascii="Arial" w:hAnsi="Arial" w:cs="Arial"/>
          <w:sz w:val="20"/>
          <w:szCs w:val="20"/>
        </w:rPr>
        <w:t>54%</w:t>
      </w:r>
      <w:r w:rsidR="00815DA7" w:rsidRPr="007A682B">
        <w:rPr>
          <w:rFonts w:ascii="Arial" w:hAnsi="Arial" w:cs="Arial"/>
          <w:sz w:val="20"/>
          <w:szCs w:val="20"/>
        </w:rPr>
        <w:t>)</w:t>
      </w:r>
      <w:r w:rsidR="003F3C8F" w:rsidRPr="007A682B">
        <w:rPr>
          <w:rFonts w:ascii="Arial" w:hAnsi="Arial" w:cs="Arial"/>
          <w:sz w:val="20"/>
          <w:szCs w:val="20"/>
        </w:rPr>
        <w:t xml:space="preserve"> and an</w:t>
      </w:r>
      <w:r w:rsidR="00F32437">
        <w:rPr>
          <w:rFonts w:ascii="Arial" w:hAnsi="Arial" w:cs="Arial"/>
          <w:sz w:val="20"/>
          <w:szCs w:val="20"/>
        </w:rPr>
        <w:t xml:space="preserve"> 1.4-fold</w:t>
      </w:r>
      <w:r w:rsidR="003F3C8F" w:rsidRPr="007A682B">
        <w:rPr>
          <w:rFonts w:ascii="Arial" w:hAnsi="Arial" w:cs="Arial"/>
          <w:sz w:val="20"/>
          <w:szCs w:val="20"/>
        </w:rPr>
        <w:t xml:space="preserve"> increase in 19_Di_GABA. Importantly, we also found a</w:t>
      </w:r>
      <w:r w:rsidR="00F32437">
        <w:rPr>
          <w:rFonts w:ascii="Arial" w:hAnsi="Arial" w:cs="Arial"/>
          <w:sz w:val="20"/>
          <w:szCs w:val="20"/>
        </w:rPr>
        <w:t xml:space="preserve"> 1.1-fold</w:t>
      </w:r>
      <w:r w:rsidR="003F3C8F" w:rsidRPr="007A682B">
        <w:rPr>
          <w:rFonts w:ascii="Arial" w:hAnsi="Arial" w:cs="Arial"/>
          <w:sz w:val="20"/>
          <w:szCs w:val="20"/>
        </w:rPr>
        <w:t xml:space="preserve"> increase in </w:t>
      </w:r>
      <w:r w:rsidR="00F32437">
        <w:rPr>
          <w:rFonts w:ascii="Arial" w:hAnsi="Arial" w:cs="Arial"/>
          <w:sz w:val="20"/>
          <w:szCs w:val="20"/>
        </w:rPr>
        <w:t xml:space="preserve">the population of </w:t>
      </w:r>
      <w:r w:rsidR="003F3C8F" w:rsidRPr="007A682B">
        <w:rPr>
          <w:rFonts w:ascii="Arial" w:hAnsi="Arial" w:cs="Arial"/>
          <w:sz w:val="20"/>
          <w:szCs w:val="20"/>
        </w:rPr>
        <w:t>6_POA_Mixed</w:t>
      </w:r>
      <w:r w:rsidR="00815DA7" w:rsidRPr="007A682B">
        <w:rPr>
          <w:rFonts w:ascii="Arial" w:hAnsi="Arial" w:cs="Arial"/>
          <w:sz w:val="20"/>
          <w:szCs w:val="20"/>
        </w:rPr>
        <w:t xml:space="preserve"> (</w:t>
      </w:r>
      <w:r w:rsidR="003F3C8F" w:rsidRPr="007A682B">
        <w:rPr>
          <w:rFonts w:ascii="Arial" w:hAnsi="Arial" w:cs="Arial"/>
          <w:sz w:val="20"/>
          <w:szCs w:val="20"/>
          <w:highlight w:val="yellow"/>
        </w:rPr>
        <w:t>Fig. 3B, S</w:t>
      </w:r>
      <w:r w:rsidR="00376C7F" w:rsidRPr="007A682B">
        <w:rPr>
          <w:rFonts w:ascii="Arial" w:hAnsi="Arial" w:cs="Arial"/>
          <w:sz w:val="20"/>
          <w:szCs w:val="20"/>
          <w:highlight w:val="yellow"/>
        </w:rPr>
        <w:t>6</w:t>
      </w:r>
      <w:r w:rsidR="003F3C8F" w:rsidRPr="007A682B">
        <w:rPr>
          <w:rFonts w:ascii="Arial" w:hAnsi="Arial" w:cs="Arial"/>
          <w:sz w:val="20"/>
          <w:szCs w:val="20"/>
          <w:highlight w:val="yellow"/>
        </w:rPr>
        <w:t>B</w:t>
      </w:r>
      <w:r w:rsidR="00250B02" w:rsidRPr="007A682B">
        <w:rPr>
          <w:rFonts w:ascii="Arial" w:hAnsi="Arial" w:cs="Arial"/>
          <w:sz w:val="20"/>
          <w:szCs w:val="20"/>
        </w:rPr>
        <w:t>, Appendix S1</w:t>
      </w:r>
      <w:r w:rsidR="003F3C8F" w:rsidRPr="007A682B">
        <w:rPr>
          <w:rFonts w:ascii="Arial" w:hAnsi="Arial" w:cs="Arial"/>
          <w:sz w:val="20"/>
          <w:szCs w:val="20"/>
        </w:rPr>
        <w:t>). This pattern of change in 6_POA_Mixed suggests that remodeling of this cluster occurs relatively late in the sex-change process</w:t>
      </w:r>
      <w:r w:rsidR="00D770B1" w:rsidRPr="007A682B">
        <w:rPr>
          <w:rFonts w:ascii="Arial" w:hAnsi="Arial" w:cs="Arial"/>
          <w:sz w:val="20"/>
          <w:szCs w:val="20"/>
        </w:rPr>
        <w:t>,</w:t>
      </w:r>
      <w:r w:rsidR="003F3C8F" w:rsidRPr="007A682B">
        <w:rPr>
          <w:rFonts w:ascii="Arial" w:hAnsi="Arial" w:cs="Arial"/>
          <w:sz w:val="20"/>
          <w:szCs w:val="20"/>
        </w:rPr>
        <w:t xml:space="preserve"> consistent with the hypothesis that the full expansion of this POA neuronal population occurs after gonadal transformation and represents one of the final neural changes accompanying sex change</w:t>
      </w:r>
      <w:r w:rsidR="00C32F02" w:rsidRPr="007A682B">
        <w:rPr>
          <w:rFonts w:ascii="Arial" w:hAnsi="Arial" w:cs="Arial"/>
          <w:sz w:val="20"/>
          <w:szCs w:val="20"/>
        </w:rPr>
        <w:t xml:space="preserve">. </w:t>
      </w:r>
      <w:r w:rsidR="009C5659" w:rsidRPr="007A682B">
        <w:rPr>
          <w:rFonts w:ascii="Arial" w:hAnsi="Arial" w:cs="Arial"/>
          <w:sz w:val="20"/>
          <w:szCs w:val="20"/>
        </w:rPr>
        <w:t>Together, these findings indicate that neuronal remodeling during sex change is a staged process</w:t>
      </w:r>
      <w:r w:rsidR="00D770B1" w:rsidRPr="007A682B">
        <w:rPr>
          <w:rFonts w:ascii="Arial" w:hAnsi="Arial" w:cs="Arial"/>
          <w:sz w:val="20"/>
          <w:szCs w:val="20"/>
        </w:rPr>
        <w:t xml:space="preserve"> where</w:t>
      </w:r>
      <w:r w:rsidR="009C5659" w:rsidRPr="007A682B">
        <w:rPr>
          <w:rFonts w:ascii="Arial" w:hAnsi="Arial" w:cs="Arial"/>
          <w:sz w:val="20"/>
          <w:szCs w:val="20"/>
        </w:rPr>
        <w:t xml:space="preserve"> distinct neuronal populations remodel at different stages of sex change, with some populations potentially contributing to the initiation of the transition, whereas others remodel only after the new reproductive state has been established.</w:t>
      </w:r>
    </w:p>
    <w:p w14:paraId="5D634031" w14:textId="77777777" w:rsidR="00AB18FA" w:rsidRPr="007A682B" w:rsidRDefault="00AB18FA" w:rsidP="004816FA">
      <w:pPr>
        <w:rPr>
          <w:rFonts w:ascii="Arial" w:hAnsi="Arial" w:cs="Arial"/>
          <w:sz w:val="20"/>
          <w:szCs w:val="20"/>
          <w:highlight w:val="yellow"/>
        </w:rPr>
      </w:pPr>
    </w:p>
    <w:p w14:paraId="2B35DCF9" w14:textId="04782882" w:rsidR="00E074EF" w:rsidRPr="007A682B" w:rsidRDefault="004816FA" w:rsidP="005E315B">
      <w:pPr>
        <w:rPr>
          <w:rFonts w:ascii="Arial" w:hAnsi="Arial" w:cs="Arial"/>
          <w:b/>
          <w:bCs/>
          <w:sz w:val="20"/>
          <w:szCs w:val="20"/>
        </w:rPr>
      </w:pPr>
      <w:r w:rsidRPr="007A682B">
        <w:rPr>
          <w:rFonts w:ascii="Arial" w:hAnsi="Arial" w:cs="Arial"/>
          <w:b/>
          <w:bCs/>
          <w:sz w:val="20"/>
          <w:szCs w:val="20"/>
        </w:rPr>
        <w:t xml:space="preserve">Cell Types Undergo Sex Change at Different Rates </w:t>
      </w:r>
    </w:p>
    <w:p w14:paraId="412C8B56" w14:textId="1E48DAD7" w:rsidR="00E074EF" w:rsidRPr="007A682B" w:rsidRDefault="00E074EF" w:rsidP="005E315B">
      <w:pPr>
        <w:rPr>
          <w:rFonts w:ascii="Arial" w:hAnsi="Arial" w:cs="Arial"/>
          <w:sz w:val="20"/>
          <w:szCs w:val="20"/>
          <w:u w:val="single"/>
        </w:rPr>
      </w:pPr>
      <w:r w:rsidRPr="007A682B">
        <w:rPr>
          <w:rFonts w:ascii="Arial" w:hAnsi="Arial" w:cs="Arial"/>
          <w:sz w:val="20"/>
          <w:szCs w:val="20"/>
          <w:u w:val="single"/>
        </w:rPr>
        <w:t>Transcriptomic sex change</w:t>
      </w:r>
    </w:p>
    <w:p w14:paraId="0D133D33" w14:textId="64027FCC" w:rsidR="00E074EF" w:rsidRPr="007A682B" w:rsidRDefault="004816FA" w:rsidP="005E315B">
      <w:pPr>
        <w:rPr>
          <w:rFonts w:ascii="Arial" w:hAnsi="Arial" w:cs="Arial"/>
          <w:sz w:val="20"/>
          <w:szCs w:val="20"/>
        </w:rPr>
      </w:pPr>
      <w:r w:rsidRPr="007A682B">
        <w:rPr>
          <w:rFonts w:ascii="Arial" w:hAnsi="Arial" w:cs="Arial"/>
          <w:b/>
          <w:bCs/>
          <w:sz w:val="20"/>
          <w:szCs w:val="20"/>
        </w:rPr>
        <w:tab/>
      </w:r>
      <w:r w:rsidR="00264846" w:rsidRPr="007A682B">
        <w:rPr>
          <w:rFonts w:ascii="Arial" w:hAnsi="Arial" w:cs="Arial"/>
          <w:sz w:val="20"/>
          <w:szCs w:val="20"/>
        </w:rPr>
        <w:t xml:space="preserve">To characterize the transcriptomic changes associated with sex change, we next identified differentially expressed genes (DEGs) and classified </w:t>
      </w:r>
      <w:r w:rsidR="00204F66" w:rsidRPr="007A682B">
        <w:rPr>
          <w:rFonts w:ascii="Arial" w:hAnsi="Arial" w:cs="Arial"/>
          <w:sz w:val="20"/>
          <w:szCs w:val="20"/>
        </w:rPr>
        <w:t xml:space="preserve">each in the same way as described above. </w:t>
      </w:r>
      <w:r w:rsidR="00264846" w:rsidRPr="007A682B">
        <w:rPr>
          <w:rFonts w:ascii="Arial" w:hAnsi="Arial" w:cs="Arial"/>
          <w:sz w:val="20"/>
          <w:szCs w:val="20"/>
        </w:rPr>
        <w:t xml:space="preserve">We identified a total of </w:t>
      </w:r>
      <w:r w:rsidR="00EA408F" w:rsidRPr="007A682B">
        <w:rPr>
          <w:rFonts w:ascii="Arial" w:hAnsi="Arial" w:cs="Arial"/>
          <w:sz w:val="20"/>
          <w:szCs w:val="20"/>
        </w:rPr>
        <w:t>290</w:t>
      </w:r>
      <w:r w:rsidR="00264846" w:rsidRPr="007A682B">
        <w:rPr>
          <w:rFonts w:ascii="Arial" w:hAnsi="Arial" w:cs="Arial"/>
          <w:sz w:val="20"/>
          <w:szCs w:val="20"/>
        </w:rPr>
        <w:t xml:space="preserve"> DEGs (</w:t>
      </w:r>
      <w:r w:rsidR="00264846" w:rsidRPr="007A682B">
        <w:rPr>
          <w:rFonts w:ascii="Arial" w:hAnsi="Arial" w:cs="Arial"/>
          <w:sz w:val="20"/>
          <w:szCs w:val="20"/>
          <w:highlight w:val="yellow"/>
        </w:rPr>
        <w:t>Appendix S</w:t>
      </w:r>
      <w:r w:rsidR="00C538DF" w:rsidRPr="007A682B">
        <w:rPr>
          <w:rFonts w:ascii="Arial" w:hAnsi="Arial" w:cs="Arial"/>
          <w:sz w:val="20"/>
          <w:szCs w:val="20"/>
          <w:highlight w:val="yellow"/>
        </w:rPr>
        <w:t>6</w:t>
      </w:r>
      <w:r w:rsidR="00264846" w:rsidRPr="007A682B">
        <w:rPr>
          <w:rFonts w:ascii="Arial" w:hAnsi="Arial" w:cs="Arial"/>
          <w:sz w:val="20"/>
          <w:szCs w:val="20"/>
        </w:rPr>
        <w:t>)</w:t>
      </w:r>
      <w:r w:rsidR="00E019AF">
        <w:rPr>
          <w:rFonts w:ascii="Arial" w:hAnsi="Arial" w:cs="Arial"/>
          <w:sz w:val="20"/>
          <w:szCs w:val="20"/>
        </w:rPr>
        <w:t>.</w:t>
      </w:r>
      <w:r w:rsidR="00C93467" w:rsidRPr="007A682B">
        <w:rPr>
          <w:rFonts w:ascii="Arial" w:hAnsi="Arial" w:cs="Arial"/>
          <w:sz w:val="20"/>
          <w:szCs w:val="20"/>
        </w:rPr>
        <w:t xml:space="preserve"> DEGs were roughly split, with 150 DEGs being upregulated and 140 being downregulated going from </w:t>
      </w:r>
      <w:r w:rsidR="00E019AF">
        <w:rPr>
          <w:rFonts w:ascii="Arial" w:hAnsi="Arial" w:cs="Arial"/>
          <w:sz w:val="20"/>
          <w:szCs w:val="20"/>
        </w:rPr>
        <w:t>M</w:t>
      </w:r>
      <w:r w:rsidR="00C93467" w:rsidRPr="007A682B">
        <w:rPr>
          <w:rFonts w:ascii="Arial" w:hAnsi="Arial" w:cs="Arial"/>
          <w:sz w:val="20"/>
          <w:szCs w:val="20"/>
        </w:rPr>
        <w:t xml:space="preserve">ale to </w:t>
      </w:r>
      <w:r w:rsidR="00E019AF">
        <w:rPr>
          <w:rFonts w:ascii="Arial" w:hAnsi="Arial" w:cs="Arial"/>
          <w:sz w:val="20"/>
          <w:szCs w:val="20"/>
        </w:rPr>
        <w:t>F</w:t>
      </w:r>
      <w:r w:rsidR="00C93467" w:rsidRPr="007A682B">
        <w:rPr>
          <w:rFonts w:ascii="Arial" w:hAnsi="Arial" w:cs="Arial"/>
          <w:sz w:val="20"/>
          <w:szCs w:val="20"/>
        </w:rPr>
        <w:t>emale. Temporally,</w:t>
      </w:r>
      <w:r w:rsidR="00A548FB" w:rsidRPr="007A682B">
        <w:rPr>
          <w:rFonts w:ascii="Arial" w:hAnsi="Arial" w:cs="Arial"/>
          <w:sz w:val="20"/>
          <w:szCs w:val="20"/>
        </w:rPr>
        <w:t xml:space="preserve"> </w:t>
      </w:r>
      <w:r w:rsidR="00653835" w:rsidRPr="007A682B">
        <w:rPr>
          <w:rFonts w:ascii="Arial" w:hAnsi="Arial" w:cs="Arial"/>
          <w:sz w:val="20"/>
          <w:szCs w:val="20"/>
        </w:rPr>
        <w:t>76</w:t>
      </w:r>
      <w:r w:rsidR="00C93467" w:rsidRPr="007A682B">
        <w:rPr>
          <w:rFonts w:ascii="Arial" w:hAnsi="Arial" w:cs="Arial"/>
          <w:sz w:val="20"/>
          <w:szCs w:val="20"/>
        </w:rPr>
        <w:t xml:space="preserve"> DEGs showed an </w:t>
      </w:r>
      <w:r w:rsidR="00264846" w:rsidRPr="007A682B">
        <w:rPr>
          <w:rFonts w:ascii="Arial" w:hAnsi="Arial" w:cs="Arial"/>
          <w:sz w:val="20"/>
          <w:szCs w:val="20"/>
        </w:rPr>
        <w:t>early</w:t>
      </w:r>
      <w:r w:rsidR="00C93467" w:rsidRPr="007A682B">
        <w:rPr>
          <w:rFonts w:ascii="Arial" w:hAnsi="Arial" w:cs="Arial"/>
          <w:sz w:val="20"/>
          <w:szCs w:val="20"/>
        </w:rPr>
        <w:t xml:space="preserve"> pattern </w:t>
      </w:r>
      <w:r w:rsidR="00D770B1" w:rsidRPr="007A682B">
        <w:rPr>
          <w:rFonts w:ascii="Arial" w:hAnsi="Arial" w:cs="Arial"/>
          <w:sz w:val="20"/>
          <w:szCs w:val="20"/>
        </w:rPr>
        <w:t>of change</w:t>
      </w:r>
      <w:r w:rsidR="00264846" w:rsidRPr="007A682B">
        <w:rPr>
          <w:rFonts w:ascii="Arial" w:hAnsi="Arial" w:cs="Arial"/>
          <w:sz w:val="20"/>
          <w:szCs w:val="20"/>
        </w:rPr>
        <w:t xml:space="preserve">, </w:t>
      </w:r>
      <w:r w:rsidR="00653835" w:rsidRPr="007A682B">
        <w:rPr>
          <w:rFonts w:ascii="Arial" w:hAnsi="Arial" w:cs="Arial"/>
          <w:sz w:val="20"/>
          <w:szCs w:val="20"/>
        </w:rPr>
        <w:t xml:space="preserve">136 </w:t>
      </w:r>
      <w:r w:rsidR="00264846" w:rsidRPr="007A682B">
        <w:rPr>
          <w:rFonts w:ascii="Arial" w:hAnsi="Arial" w:cs="Arial"/>
          <w:sz w:val="20"/>
          <w:szCs w:val="20"/>
        </w:rPr>
        <w:t xml:space="preserve">late, </w:t>
      </w:r>
      <w:r w:rsidR="00653835" w:rsidRPr="007A682B">
        <w:rPr>
          <w:rFonts w:ascii="Arial" w:hAnsi="Arial" w:cs="Arial"/>
          <w:sz w:val="20"/>
          <w:szCs w:val="20"/>
        </w:rPr>
        <w:t xml:space="preserve">6 </w:t>
      </w:r>
      <w:r w:rsidR="00264846" w:rsidRPr="007A682B">
        <w:rPr>
          <w:rFonts w:ascii="Arial" w:hAnsi="Arial" w:cs="Arial"/>
          <w:sz w:val="20"/>
          <w:szCs w:val="20"/>
        </w:rPr>
        <w:t xml:space="preserve">progressive and </w:t>
      </w:r>
      <w:r w:rsidR="00653835" w:rsidRPr="007A682B">
        <w:rPr>
          <w:rFonts w:ascii="Arial" w:hAnsi="Arial" w:cs="Arial"/>
          <w:sz w:val="20"/>
          <w:szCs w:val="20"/>
        </w:rPr>
        <w:t xml:space="preserve">72 </w:t>
      </w:r>
      <w:r w:rsidR="00264846" w:rsidRPr="007A682B">
        <w:rPr>
          <w:rFonts w:ascii="Arial" w:hAnsi="Arial" w:cs="Arial"/>
          <w:sz w:val="20"/>
          <w:szCs w:val="20"/>
        </w:rPr>
        <w:t xml:space="preserve">transient. </w:t>
      </w:r>
      <w:r w:rsidR="000471EB" w:rsidRPr="007A682B">
        <w:rPr>
          <w:rFonts w:ascii="Arial" w:hAnsi="Arial" w:cs="Arial"/>
          <w:sz w:val="20"/>
          <w:szCs w:val="20"/>
        </w:rPr>
        <w:t xml:space="preserve">In total 153 DEGs significantly differed between </w:t>
      </w:r>
      <w:r w:rsidR="00E019AF">
        <w:rPr>
          <w:rFonts w:ascii="Arial" w:hAnsi="Arial" w:cs="Arial"/>
          <w:sz w:val="20"/>
          <w:szCs w:val="20"/>
        </w:rPr>
        <w:t>M</w:t>
      </w:r>
      <w:r w:rsidR="000471EB" w:rsidRPr="007A682B">
        <w:rPr>
          <w:rFonts w:ascii="Arial" w:hAnsi="Arial" w:cs="Arial"/>
          <w:sz w:val="20"/>
          <w:szCs w:val="20"/>
        </w:rPr>
        <w:t xml:space="preserve">ales and </w:t>
      </w:r>
      <w:r w:rsidR="00E019AF">
        <w:rPr>
          <w:rFonts w:ascii="Arial" w:hAnsi="Arial" w:cs="Arial"/>
          <w:sz w:val="20"/>
          <w:szCs w:val="20"/>
        </w:rPr>
        <w:t>I</w:t>
      </w:r>
      <w:r w:rsidR="000471EB" w:rsidRPr="007A682B">
        <w:rPr>
          <w:rFonts w:ascii="Arial" w:hAnsi="Arial" w:cs="Arial"/>
          <w:sz w:val="20"/>
          <w:szCs w:val="20"/>
        </w:rPr>
        <w:t xml:space="preserve">ntermediates, 214 differed between </w:t>
      </w:r>
      <w:r w:rsidR="00E019AF">
        <w:rPr>
          <w:rFonts w:ascii="Arial" w:hAnsi="Arial" w:cs="Arial"/>
          <w:sz w:val="20"/>
          <w:szCs w:val="20"/>
        </w:rPr>
        <w:t>F</w:t>
      </w:r>
      <w:r w:rsidR="000471EB" w:rsidRPr="007A682B">
        <w:rPr>
          <w:rFonts w:ascii="Arial" w:hAnsi="Arial" w:cs="Arial"/>
          <w:sz w:val="20"/>
          <w:szCs w:val="20"/>
        </w:rPr>
        <w:t xml:space="preserve">emales and </w:t>
      </w:r>
      <w:r w:rsidR="00E019AF">
        <w:rPr>
          <w:rFonts w:ascii="Arial" w:hAnsi="Arial" w:cs="Arial"/>
          <w:sz w:val="20"/>
          <w:szCs w:val="20"/>
        </w:rPr>
        <w:t>I</w:t>
      </w:r>
      <w:r w:rsidR="000471EB" w:rsidRPr="007A682B">
        <w:rPr>
          <w:rFonts w:ascii="Arial" w:hAnsi="Arial" w:cs="Arial"/>
          <w:sz w:val="20"/>
          <w:szCs w:val="20"/>
        </w:rPr>
        <w:t xml:space="preserve">ntermediates, and 234 differed between </w:t>
      </w:r>
      <w:r w:rsidR="00E019AF">
        <w:rPr>
          <w:rFonts w:ascii="Arial" w:hAnsi="Arial" w:cs="Arial"/>
          <w:sz w:val="20"/>
          <w:szCs w:val="20"/>
        </w:rPr>
        <w:t>F</w:t>
      </w:r>
      <w:r w:rsidR="000471EB" w:rsidRPr="007A682B">
        <w:rPr>
          <w:rFonts w:ascii="Arial" w:hAnsi="Arial" w:cs="Arial"/>
          <w:sz w:val="20"/>
          <w:szCs w:val="20"/>
        </w:rPr>
        <w:t xml:space="preserve">emales and </w:t>
      </w:r>
      <w:r w:rsidR="00E019AF">
        <w:rPr>
          <w:rFonts w:ascii="Arial" w:hAnsi="Arial" w:cs="Arial"/>
          <w:sz w:val="20"/>
          <w:szCs w:val="20"/>
        </w:rPr>
        <w:t>M</w:t>
      </w:r>
      <w:r w:rsidR="000471EB" w:rsidRPr="007A682B">
        <w:rPr>
          <w:rFonts w:ascii="Arial" w:hAnsi="Arial" w:cs="Arial"/>
          <w:sz w:val="20"/>
          <w:szCs w:val="20"/>
        </w:rPr>
        <w:t xml:space="preserve">ales. This predominance of DEGs that differed between </w:t>
      </w:r>
      <w:r w:rsidR="00E019AF">
        <w:rPr>
          <w:rFonts w:ascii="Arial" w:hAnsi="Arial" w:cs="Arial"/>
          <w:sz w:val="20"/>
          <w:szCs w:val="20"/>
        </w:rPr>
        <w:t>I</w:t>
      </w:r>
      <w:r w:rsidR="000471EB" w:rsidRPr="007A682B">
        <w:rPr>
          <w:rFonts w:ascii="Arial" w:hAnsi="Arial" w:cs="Arial"/>
          <w:sz w:val="20"/>
          <w:szCs w:val="20"/>
        </w:rPr>
        <w:t xml:space="preserve">ntermediates and </w:t>
      </w:r>
      <w:r w:rsidR="00E019AF">
        <w:rPr>
          <w:rFonts w:ascii="Arial" w:hAnsi="Arial" w:cs="Arial"/>
          <w:sz w:val="20"/>
          <w:szCs w:val="20"/>
        </w:rPr>
        <w:t>F</w:t>
      </w:r>
      <w:r w:rsidR="000471EB" w:rsidRPr="007A682B">
        <w:rPr>
          <w:rFonts w:ascii="Arial" w:hAnsi="Arial" w:cs="Arial"/>
          <w:sz w:val="20"/>
          <w:szCs w:val="20"/>
        </w:rPr>
        <w:t xml:space="preserve">emales indicates that the greatest amount of transcriptomic remodeling occurs during the later stages of sex change </w:t>
      </w:r>
      <w:r w:rsidR="00E019AF">
        <w:rPr>
          <w:rFonts w:ascii="Arial" w:hAnsi="Arial" w:cs="Arial"/>
          <w:sz w:val="20"/>
          <w:szCs w:val="20"/>
        </w:rPr>
        <w:t>after</w:t>
      </w:r>
      <w:r w:rsidR="000471EB" w:rsidRPr="007A682B">
        <w:rPr>
          <w:rFonts w:ascii="Arial" w:hAnsi="Arial" w:cs="Arial"/>
          <w:sz w:val="20"/>
          <w:szCs w:val="20"/>
        </w:rPr>
        <w:t xml:space="preserve"> the gonads transform, while relatively </w:t>
      </w:r>
      <w:r w:rsidR="00D770B1" w:rsidRPr="007A682B">
        <w:rPr>
          <w:rFonts w:ascii="Arial" w:hAnsi="Arial" w:cs="Arial"/>
          <w:sz w:val="20"/>
          <w:szCs w:val="20"/>
        </w:rPr>
        <w:t>fewer changes occur</w:t>
      </w:r>
      <w:r w:rsidR="000471EB" w:rsidRPr="007A682B">
        <w:rPr>
          <w:rFonts w:ascii="Arial" w:hAnsi="Arial" w:cs="Arial"/>
          <w:sz w:val="20"/>
          <w:szCs w:val="20"/>
        </w:rPr>
        <w:t xml:space="preserve"> during earlier stages where the groundwork for gonadal sex change is laid. </w:t>
      </w:r>
      <w:commentRangeStart w:id="8"/>
      <w:r w:rsidR="00882F08" w:rsidRPr="007A682B">
        <w:rPr>
          <w:rFonts w:ascii="Arial" w:hAnsi="Arial" w:cs="Arial"/>
          <w:sz w:val="20"/>
          <w:szCs w:val="20"/>
        </w:rPr>
        <w:t>A chi-squared test revealed</w:t>
      </w:r>
      <w:commentRangeEnd w:id="8"/>
      <w:r w:rsidR="00E019AF" w:rsidRPr="007A682B">
        <w:rPr>
          <w:rStyle w:val="CommentReference"/>
          <w:rFonts w:ascii="Arial" w:hAnsi="Arial" w:cs="Arial"/>
          <w:sz w:val="20"/>
          <w:szCs w:val="20"/>
        </w:rPr>
        <w:commentReference w:id="8"/>
      </w:r>
      <w:r w:rsidR="00CF7C9C" w:rsidRPr="007A682B">
        <w:rPr>
          <w:rFonts w:ascii="Arial" w:hAnsi="Arial" w:cs="Arial"/>
          <w:sz w:val="20"/>
          <w:szCs w:val="20"/>
        </w:rPr>
        <w:t xml:space="preserve"> DEGs were </w:t>
      </w:r>
      <w:r w:rsidR="00882F08" w:rsidRPr="007A682B">
        <w:rPr>
          <w:rFonts w:ascii="Arial" w:hAnsi="Arial" w:cs="Arial"/>
          <w:sz w:val="20"/>
          <w:szCs w:val="20"/>
        </w:rPr>
        <w:t>significantly enriched</w:t>
      </w:r>
      <w:r w:rsidR="00CF7C9C" w:rsidRPr="007A682B">
        <w:rPr>
          <w:rFonts w:ascii="Arial" w:hAnsi="Arial" w:cs="Arial"/>
          <w:sz w:val="20"/>
          <w:szCs w:val="20"/>
        </w:rPr>
        <w:t xml:space="preserve"> in clusters 6_POA_Mixed (</w:t>
      </w:r>
      <w:r w:rsidR="00CF7C9C" w:rsidRPr="007A682B">
        <w:rPr>
          <w:rFonts w:ascii="Arial" w:hAnsi="Arial" w:cs="Arial"/>
          <w:sz w:val="20"/>
          <w:szCs w:val="20"/>
          <w:highlight w:val="yellow"/>
        </w:rPr>
        <w:t xml:space="preserve">Fig. </w:t>
      </w:r>
      <w:r w:rsidR="00A802D8" w:rsidRPr="007A682B">
        <w:rPr>
          <w:rFonts w:ascii="Arial" w:hAnsi="Arial" w:cs="Arial"/>
          <w:sz w:val="20"/>
          <w:szCs w:val="20"/>
          <w:highlight w:val="yellow"/>
        </w:rPr>
        <w:t>3</w:t>
      </w:r>
      <w:r w:rsidR="00CF7C9C" w:rsidRPr="007A682B">
        <w:rPr>
          <w:rFonts w:ascii="Arial" w:hAnsi="Arial" w:cs="Arial"/>
          <w:sz w:val="20"/>
          <w:szCs w:val="20"/>
          <w:highlight w:val="yellow"/>
        </w:rPr>
        <w:t>C</w:t>
      </w:r>
      <w:r w:rsidR="00250B02" w:rsidRPr="007A682B">
        <w:rPr>
          <w:rFonts w:ascii="Arial" w:hAnsi="Arial" w:cs="Arial"/>
          <w:sz w:val="20"/>
          <w:szCs w:val="20"/>
        </w:rPr>
        <w:t xml:space="preserve">, </w:t>
      </w:r>
      <w:r w:rsidR="002C63FE" w:rsidRPr="007A682B">
        <w:rPr>
          <w:rFonts w:ascii="Arial" w:hAnsi="Arial" w:cs="Arial"/>
          <w:sz w:val="20"/>
          <w:szCs w:val="20"/>
        </w:rPr>
        <w:t>4.7-fold</w:t>
      </w:r>
      <w:r w:rsidR="00250B02" w:rsidRPr="007A682B">
        <w:rPr>
          <w:rFonts w:ascii="Arial" w:hAnsi="Arial" w:cs="Arial"/>
          <w:sz w:val="20"/>
          <w:szCs w:val="20"/>
        </w:rPr>
        <w:t xml:space="preserve"> enrichment, </w:t>
      </w:r>
      <w:r w:rsidR="00250B02" w:rsidRPr="007A682B">
        <w:rPr>
          <w:rFonts w:ascii="Arial" w:hAnsi="Arial" w:cs="Arial"/>
          <w:i/>
          <w:iCs/>
          <w:sz w:val="20"/>
          <w:szCs w:val="20"/>
        </w:rPr>
        <w:t>q</w:t>
      </w:r>
      <w:r w:rsidR="00250B02" w:rsidRPr="007A682B">
        <w:rPr>
          <w:rFonts w:ascii="Arial" w:hAnsi="Arial" w:cs="Arial"/>
          <w:sz w:val="20"/>
          <w:szCs w:val="20"/>
        </w:rPr>
        <w:t xml:space="preserve"> &lt; 0.01</w:t>
      </w:r>
      <w:r w:rsidR="00CF7C9C" w:rsidRPr="007A682B">
        <w:rPr>
          <w:rFonts w:ascii="Arial" w:hAnsi="Arial" w:cs="Arial"/>
          <w:sz w:val="20"/>
          <w:szCs w:val="20"/>
        </w:rPr>
        <w:t>), 1_RGC</w:t>
      </w:r>
      <w:r w:rsidR="00250B02" w:rsidRPr="007A682B">
        <w:rPr>
          <w:rFonts w:ascii="Arial" w:hAnsi="Arial" w:cs="Arial"/>
          <w:sz w:val="20"/>
          <w:szCs w:val="20"/>
        </w:rPr>
        <w:t xml:space="preserve"> (</w:t>
      </w:r>
      <w:r w:rsidR="002C63FE" w:rsidRPr="007A682B">
        <w:rPr>
          <w:rFonts w:ascii="Arial" w:hAnsi="Arial" w:cs="Arial"/>
          <w:sz w:val="20"/>
          <w:szCs w:val="20"/>
        </w:rPr>
        <w:t>3.9-fold</w:t>
      </w:r>
      <w:r w:rsidR="00250B02" w:rsidRPr="007A682B">
        <w:rPr>
          <w:rFonts w:ascii="Arial" w:hAnsi="Arial" w:cs="Arial"/>
          <w:sz w:val="20"/>
          <w:szCs w:val="20"/>
        </w:rPr>
        <w:t xml:space="preserve"> enrichment, </w:t>
      </w:r>
      <w:r w:rsidR="00250B02" w:rsidRPr="007A682B">
        <w:rPr>
          <w:rFonts w:ascii="Arial" w:hAnsi="Arial" w:cs="Arial"/>
          <w:i/>
          <w:iCs/>
          <w:sz w:val="20"/>
          <w:szCs w:val="20"/>
        </w:rPr>
        <w:t>q</w:t>
      </w:r>
      <w:r w:rsidR="00250B02" w:rsidRPr="007A682B">
        <w:rPr>
          <w:rFonts w:ascii="Arial" w:hAnsi="Arial" w:cs="Arial"/>
          <w:sz w:val="20"/>
          <w:szCs w:val="20"/>
        </w:rPr>
        <w:t xml:space="preserve"> &lt; 0.01)</w:t>
      </w:r>
      <w:r w:rsidR="00CF7C9C" w:rsidRPr="007A682B">
        <w:rPr>
          <w:rFonts w:ascii="Arial" w:hAnsi="Arial" w:cs="Arial"/>
          <w:sz w:val="20"/>
          <w:szCs w:val="20"/>
        </w:rPr>
        <w:t>, 0_Spall_Mixed</w:t>
      </w:r>
      <w:r w:rsidR="00250B02" w:rsidRPr="007A682B">
        <w:rPr>
          <w:rFonts w:ascii="Arial" w:hAnsi="Arial" w:cs="Arial"/>
          <w:sz w:val="20"/>
          <w:szCs w:val="20"/>
        </w:rPr>
        <w:t xml:space="preserve"> (</w:t>
      </w:r>
      <w:r w:rsidR="002C63FE" w:rsidRPr="007A682B">
        <w:rPr>
          <w:rFonts w:ascii="Arial" w:hAnsi="Arial" w:cs="Arial"/>
          <w:sz w:val="20"/>
          <w:szCs w:val="20"/>
        </w:rPr>
        <w:t xml:space="preserve">3.4-fold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 0.01)</w:t>
      </w:r>
      <w:r w:rsidR="00CF7C9C" w:rsidRPr="007A682B">
        <w:rPr>
          <w:rFonts w:ascii="Arial" w:hAnsi="Arial" w:cs="Arial"/>
          <w:sz w:val="20"/>
          <w:szCs w:val="20"/>
        </w:rPr>
        <w:t>,</w:t>
      </w:r>
      <w:r w:rsidR="00882F08" w:rsidRPr="007A682B">
        <w:rPr>
          <w:rFonts w:ascii="Arial" w:hAnsi="Arial" w:cs="Arial"/>
          <w:sz w:val="20"/>
          <w:szCs w:val="20"/>
        </w:rPr>
        <w:t xml:space="preserve"> </w:t>
      </w:r>
      <w:r w:rsidR="00CF7C9C" w:rsidRPr="007A682B">
        <w:rPr>
          <w:rFonts w:ascii="Arial" w:hAnsi="Arial" w:cs="Arial"/>
          <w:sz w:val="20"/>
          <w:szCs w:val="20"/>
        </w:rPr>
        <w:t>11_MG</w:t>
      </w:r>
      <w:r w:rsidR="002C63FE" w:rsidRPr="007A682B">
        <w:rPr>
          <w:rFonts w:ascii="Arial" w:hAnsi="Arial" w:cs="Arial"/>
          <w:sz w:val="20"/>
          <w:szCs w:val="20"/>
        </w:rPr>
        <w:t xml:space="preserve"> (2.1-fold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 0.01)</w:t>
      </w:r>
      <w:r w:rsidR="00882F08" w:rsidRPr="007A682B">
        <w:rPr>
          <w:rFonts w:ascii="Arial" w:hAnsi="Arial" w:cs="Arial"/>
          <w:sz w:val="20"/>
          <w:szCs w:val="20"/>
        </w:rPr>
        <w:t>, and 4_TGN_Glut</w:t>
      </w:r>
      <w:r w:rsidR="002C63FE" w:rsidRPr="007A682B">
        <w:rPr>
          <w:rFonts w:ascii="Arial" w:hAnsi="Arial" w:cs="Arial"/>
          <w:sz w:val="20"/>
          <w:szCs w:val="20"/>
        </w:rPr>
        <w:t xml:space="preserve"> (1.7-fold enrichment, </w:t>
      </w:r>
      <w:r w:rsidR="002C63FE" w:rsidRPr="007A682B">
        <w:rPr>
          <w:rFonts w:ascii="Arial" w:hAnsi="Arial" w:cs="Arial"/>
          <w:i/>
          <w:iCs/>
          <w:sz w:val="20"/>
          <w:szCs w:val="20"/>
        </w:rPr>
        <w:t>q</w:t>
      </w:r>
      <w:r w:rsidR="002C63FE" w:rsidRPr="007A682B">
        <w:rPr>
          <w:rFonts w:ascii="Arial" w:hAnsi="Arial" w:cs="Arial"/>
          <w:sz w:val="20"/>
          <w:szCs w:val="20"/>
        </w:rPr>
        <w:t xml:space="preserve"> = 0.04</w:t>
      </w:r>
      <w:r w:rsidR="007407FC">
        <w:rPr>
          <w:rFonts w:ascii="Arial" w:hAnsi="Arial" w:cs="Arial"/>
          <w:sz w:val="20"/>
          <w:szCs w:val="20"/>
        </w:rPr>
        <w:t xml:space="preserve">, </w:t>
      </w:r>
      <w:r w:rsidR="002C63FE" w:rsidRPr="007A682B">
        <w:rPr>
          <w:rFonts w:ascii="Arial" w:hAnsi="Arial" w:cs="Arial"/>
          <w:sz w:val="20"/>
          <w:szCs w:val="20"/>
        </w:rPr>
        <w:t>Appendix S1)</w:t>
      </w:r>
      <w:r w:rsidR="00CF7C9C" w:rsidRPr="007A682B">
        <w:rPr>
          <w:rFonts w:ascii="Arial" w:hAnsi="Arial" w:cs="Arial"/>
          <w:sz w:val="20"/>
          <w:szCs w:val="20"/>
        </w:rPr>
        <w:t>.</w:t>
      </w:r>
    </w:p>
    <w:p w14:paraId="61F5FD23" w14:textId="77777777" w:rsidR="00555C7B" w:rsidRPr="007A682B" w:rsidRDefault="00555C7B" w:rsidP="00E074EF">
      <w:pPr>
        <w:rPr>
          <w:rFonts w:ascii="Arial" w:hAnsi="Arial" w:cs="Arial"/>
          <w:sz w:val="20"/>
          <w:szCs w:val="20"/>
          <w:u w:val="single"/>
        </w:rPr>
      </w:pPr>
    </w:p>
    <w:p w14:paraId="628CF3BB" w14:textId="32A536E9" w:rsidR="00E074EF" w:rsidRPr="007A682B" w:rsidRDefault="006A58A0" w:rsidP="00E074EF">
      <w:pPr>
        <w:rPr>
          <w:rFonts w:ascii="Arial" w:hAnsi="Arial" w:cs="Arial"/>
          <w:sz w:val="20"/>
          <w:szCs w:val="20"/>
          <w:u w:val="single"/>
        </w:rPr>
      </w:pPr>
      <w:r w:rsidRPr="007A682B">
        <w:rPr>
          <w:rFonts w:ascii="Arial" w:hAnsi="Arial" w:cs="Arial"/>
          <w:sz w:val="20"/>
          <w:szCs w:val="20"/>
          <w:u w:val="single"/>
        </w:rPr>
        <w:t xml:space="preserve">Epigenomic </w:t>
      </w:r>
      <w:r w:rsidR="00E074EF" w:rsidRPr="007A682B">
        <w:rPr>
          <w:rFonts w:ascii="Arial" w:hAnsi="Arial" w:cs="Arial"/>
          <w:sz w:val="20"/>
          <w:szCs w:val="20"/>
          <w:u w:val="single"/>
        </w:rPr>
        <w:t>sex change</w:t>
      </w:r>
    </w:p>
    <w:p w14:paraId="246D4878" w14:textId="1A425FAB" w:rsidR="0054434D" w:rsidRPr="007A682B" w:rsidRDefault="00555C7B">
      <w:pPr>
        <w:rPr>
          <w:rFonts w:ascii="Arial" w:hAnsi="Arial" w:cs="Arial"/>
          <w:sz w:val="20"/>
          <w:szCs w:val="20"/>
        </w:rPr>
      </w:pPr>
      <w:r w:rsidRPr="007A682B">
        <w:rPr>
          <w:rFonts w:ascii="Arial" w:hAnsi="Arial" w:cs="Arial"/>
          <w:sz w:val="20"/>
          <w:szCs w:val="20"/>
        </w:rPr>
        <w:tab/>
      </w:r>
      <w:r w:rsidR="0054434D" w:rsidRPr="007A682B">
        <w:rPr>
          <w:rFonts w:ascii="Arial" w:hAnsi="Arial" w:cs="Arial"/>
          <w:sz w:val="20"/>
          <w:szCs w:val="20"/>
        </w:rPr>
        <w:t>To characterize the epigenomic changes associated with sex change, we next identified differentially accessible regions (DARs) and classified each according to the same temporal patterns described above</w:t>
      </w:r>
      <w:r w:rsidR="005779D6" w:rsidRPr="007A682B">
        <w:rPr>
          <w:rFonts w:ascii="Arial" w:hAnsi="Arial" w:cs="Arial"/>
          <w:sz w:val="20"/>
          <w:szCs w:val="20"/>
        </w:rPr>
        <w:t xml:space="preserve">. </w:t>
      </w:r>
      <w:r w:rsidR="0054434D" w:rsidRPr="007A682B">
        <w:rPr>
          <w:rFonts w:ascii="Arial" w:hAnsi="Arial" w:cs="Arial"/>
          <w:sz w:val="20"/>
          <w:szCs w:val="20"/>
        </w:rPr>
        <w:t xml:space="preserve">We identified a total of </w:t>
      </w:r>
      <w:r w:rsidR="005779D6" w:rsidRPr="007A682B">
        <w:rPr>
          <w:rFonts w:ascii="Arial" w:hAnsi="Arial" w:cs="Arial"/>
          <w:sz w:val="20"/>
          <w:szCs w:val="20"/>
        </w:rPr>
        <w:t xml:space="preserve">53 </w:t>
      </w:r>
      <w:r w:rsidR="0054434D" w:rsidRPr="007A682B">
        <w:rPr>
          <w:rFonts w:ascii="Arial" w:hAnsi="Arial" w:cs="Arial"/>
          <w:sz w:val="20"/>
          <w:szCs w:val="20"/>
        </w:rPr>
        <w:t>DARs (</w:t>
      </w:r>
      <w:r w:rsidR="0054434D" w:rsidRPr="007A682B">
        <w:rPr>
          <w:rFonts w:ascii="Arial" w:hAnsi="Arial" w:cs="Arial"/>
          <w:sz w:val="20"/>
          <w:szCs w:val="20"/>
          <w:highlight w:val="yellow"/>
        </w:rPr>
        <w:t>Appendix S</w:t>
      </w:r>
      <w:r w:rsidR="00C538DF" w:rsidRPr="007A682B">
        <w:rPr>
          <w:rFonts w:ascii="Arial" w:hAnsi="Arial" w:cs="Arial"/>
          <w:sz w:val="20"/>
          <w:szCs w:val="20"/>
        </w:rPr>
        <w:t>7</w:t>
      </w:r>
      <w:r w:rsidR="0054434D" w:rsidRPr="007A682B">
        <w:rPr>
          <w:rFonts w:ascii="Arial" w:hAnsi="Arial" w:cs="Arial"/>
          <w:sz w:val="20"/>
          <w:szCs w:val="20"/>
        </w:rPr>
        <w:t xml:space="preserve">), of which </w:t>
      </w:r>
      <w:r w:rsidR="003E76A2">
        <w:rPr>
          <w:rFonts w:ascii="Arial" w:hAnsi="Arial" w:cs="Arial"/>
          <w:sz w:val="20"/>
          <w:szCs w:val="20"/>
        </w:rPr>
        <w:t>6</w:t>
      </w:r>
      <w:r w:rsidR="00653835" w:rsidRPr="007A682B">
        <w:rPr>
          <w:rFonts w:ascii="Arial" w:hAnsi="Arial" w:cs="Arial"/>
          <w:sz w:val="20"/>
          <w:szCs w:val="20"/>
        </w:rPr>
        <w:t xml:space="preserve"> </w:t>
      </w:r>
      <w:r w:rsidR="0046592A">
        <w:rPr>
          <w:rFonts w:ascii="Arial" w:hAnsi="Arial" w:cs="Arial"/>
          <w:sz w:val="20"/>
          <w:szCs w:val="20"/>
        </w:rPr>
        <w:t>showed</w:t>
      </w:r>
      <w:r w:rsidR="0054434D" w:rsidRPr="007A682B">
        <w:rPr>
          <w:rFonts w:ascii="Arial" w:hAnsi="Arial" w:cs="Arial"/>
          <w:sz w:val="20"/>
          <w:szCs w:val="20"/>
        </w:rPr>
        <w:t xml:space="preserve"> early changes, </w:t>
      </w:r>
      <w:r w:rsidR="00653835" w:rsidRPr="007A682B">
        <w:rPr>
          <w:rFonts w:ascii="Arial" w:hAnsi="Arial" w:cs="Arial"/>
          <w:sz w:val="20"/>
          <w:szCs w:val="20"/>
        </w:rPr>
        <w:t xml:space="preserve">22 </w:t>
      </w:r>
      <w:r w:rsidR="0054434D" w:rsidRPr="007A682B">
        <w:rPr>
          <w:rFonts w:ascii="Arial" w:hAnsi="Arial" w:cs="Arial"/>
          <w:sz w:val="20"/>
          <w:szCs w:val="20"/>
        </w:rPr>
        <w:t xml:space="preserve">late changes, </w:t>
      </w:r>
      <w:r w:rsidR="00653835" w:rsidRPr="007A682B">
        <w:rPr>
          <w:rFonts w:ascii="Arial" w:hAnsi="Arial" w:cs="Arial"/>
          <w:sz w:val="20"/>
          <w:szCs w:val="20"/>
        </w:rPr>
        <w:t xml:space="preserve">25 </w:t>
      </w:r>
      <w:r w:rsidR="0054434D" w:rsidRPr="007A682B">
        <w:rPr>
          <w:rFonts w:ascii="Arial" w:hAnsi="Arial" w:cs="Arial"/>
          <w:sz w:val="20"/>
          <w:szCs w:val="20"/>
        </w:rPr>
        <w:t xml:space="preserve">progressive changes, and </w:t>
      </w:r>
      <w:r w:rsidR="00653835" w:rsidRPr="007A682B">
        <w:rPr>
          <w:rFonts w:ascii="Arial" w:hAnsi="Arial" w:cs="Arial"/>
          <w:sz w:val="20"/>
          <w:szCs w:val="20"/>
        </w:rPr>
        <w:t xml:space="preserve">none exhibited </w:t>
      </w:r>
      <w:r w:rsidR="0054434D" w:rsidRPr="007A682B">
        <w:rPr>
          <w:rFonts w:ascii="Arial" w:hAnsi="Arial" w:cs="Arial"/>
          <w:sz w:val="20"/>
          <w:szCs w:val="20"/>
        </w:rPr>
        <w:t xml:space="preserve">transient changes. </w:t>
      </w:r>
      <w:r w:rsidR="00653835" w:rsidRPr="007A682B">
        <w:rPr>
          <w:rFonts w:ascii="Arial" w:hAnsi="Arial" w:cs="Arial"/>
          <w:sz w:val="20"/>
          <w:szCs w:val="20"/>
        </w:rPr>
        <w:t xml:space="preserve">Overall, 28 DARs </w:t>
      </w:r>
      <w:r w:rsidR="00653835" w:rsidRPr="007A682B">
        <w:rPr>
          <w:rFonts w:ascii="Arial" w:hAnsi="Arial" w:cs="Arial"/>
          <w:sz w:val="20"/>
          <w:szCs w:val="20"/>
        </w:rPr>
        <w:lastRenderedPageBreak/>
        <w:t>decreased in accessibility and 25 increased in accessibility</w:t>
      </w:r>
      <w:r w:rsidR="00E04B65" w:rsidRPr="007A682B">
        <w:rPr>
          <w:rFonts w:ascii="Arial" w:hAnsi="Arial" w:cs="Arial"/>
          <w:sz w:val="20"/>
          <w:szCs w:val="20"/>
        </w:rPr>
        <w:t xml:space="preserve"> from </w:t>
      </w:r>
      <w:r w:rsidR="0046592A">
        <w:rPr>
          <w:rFonts w:ascii="Arial" w:hAnsi="Arial" w:cs="Arial"/>
          <w:sz w:val="20"/>
          <w:szCs w:val="20"/>
        </w:rPr>
        <w:t>M</w:t>
      </w:r>
      <w:r w:rsidR="00E04B65" w:rsidRPr="007A682B">
        <w:rPr>
          <w:rFonts w:ascii="Arial" w:hAnsi="Arial" w:cs="Arial"/>
          <w:sz w:val="20"/>
          <w:szCs w:val="20"/>
        </w:rPr>
        <w:t xml:space="preserve">ale to </w:t>
      </w:r>
      <w:r w:rsidR="0046592A">
        <w:rPr>
          <w:rFonts w:ascii="Arial" w:hAnsi="Arial" w:cs="Arial"/>
          <w:sz w:val="20"/>
          <w:szCs w:val="20"/>
        </w:rPr>
        <w:t>F</w:t>
      </w:r>
      <w:r w:rsidR="00E04B65" w:rsidRPr="007A682B">
        <w:rPr>
          <w:rFonts w:ascii="Arial" w:hAnsi="Arial" w:cs="Arial"/>
          <w:sz w:val="20"/>
          <w:szCs w:val="20"/>
        </w:rPr>
        <w:t>emale</w:t>
      </w:r>
      <w:r w:rsidR="00653835" w:rsidRPr="007A682B">
        <w:rPr>
          <w:rFonts w:ascii="Arial" w:hAnsi="Arial" w:cs="Arial"/>
          <w:sz w:val="20"/>
          <w:szCs w:val="20"/>
        </w:rPr>
        <w:t xml:space="preserve">. </w:t>
      </w:r>
      <w:r w:rsidR="0046592A" w:rsidRPr="0046592A">
        <w:rPr>
          <w:rFonts w:ascii="Arial" w:hAnsi="Arial" w:cs="Arial"/>
          <w:sz w:val="20"/>
          <w:szCs w:val="20"/>
        </w:rPr>
        <w:t>In contrast to the transcriptomic changes, which were predominantly late, chromatin accessibility changes were primarily progressive, with many also exhibiting late changes and none showing transient changes. These findings suggest that epigenomic remodeling begins earlier in sex change and may precede the corresponding changes in gene expression.</w:t>
      </w:r>
      <w:r w:rsidR="0054434D" w:rsidRPr="007A682B">
        <w:rPr>
          <w:rFonts w:ascii="Arial" w:hAnsi="Arial" w:cs="Arial"/>
          <w:sz w:val="20"/>
          <w:szCs w:val="20"/>
        </w:rPr>
        <w:t xml:space="preserve"> </w:t>
      </w:r>
      <w:r w:rsidR="00882F08" w:rsidRPr="007A682B">
        <w:rPr>
          <w:rFonts w:ascii="Arial" w:hAnsi="Arial" w:cs="Arial"/>
          <w:sz w:val="20"/>
          <w:szCs w:val="20"/>
        </w:rPr>
        <w:t>As above, a chi-squared test f</w:t>
      </w:r>
      <w:r w:rsidR="00264301" w:rsidRPr="007A682B">
        <w:rPr>
          <w:rFonts w:ascii="Arial" w:hAnsi="Arial" w:cs="Arial"/>
          <w:sz w:val="20"/>
          <w:szCs w:val="20"/>
        </w:rPr>
        <w:t xml:space="preserve">ound DARs were </w:t>
      </w:r>
      <w:r w:rsidR="00882F08" w:rsidRPr="007A682B">
        <w:rPr>
          <w:rFonts w:ascii="Arial" w:hAnsi="Arial" w:cs="Arial"/>
          <w:sz w:val="20"/>
          <w:szCs w:val="20"/>
        </w:rPr>
        <w:t>enriched</w:t>
      </w:r>
      <w:r w:rsidR="00264301" w:rsidRPr="007A682B">
        <w:rPr>
          <w:rFonts w:ascii="Arial" w:hAnsi="Arial" w:cs="Arial"/>
          <w:sz w:val="20"/>
          <w:szCs w:val="20"/>
        </w:rPr>
        <w:t xml:space="preserve"> in clusters</w:t>
      </w:r>
      <w:r w:rsidR="0054434D" w:rsidRPr="007A682B">
        <w:rPr>
          <w:rFonts w:ascii="Arial" w:hAnsi="Arial" w:cs="Arial"/>
          <w:sz w:val="20"/>
          <w:szCs w:val="20"/>
        </w:rPr>
        <w:t xml:space="preserve"> 1_RGC</w:t>
      </w:r>
      <w:r w:rsidR="002C63FE" w:rsidRPr="007A682B">
        <w:rPr>
          <w:rFonts w:ascii="Arial" w:hAnsi="Arial" w:cs="Arial"/>
          <w:sz w:val="20"/>
          <w:szCs w:val="20"/>
        </w:rPr>
        <w:t xml:space="preserve"> (3.1-fold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&lt;0.01)</w:t>
      </w:r>
      <w:r w:rsidR="0054434D" w:rsidRPr="007A682B">
        <w:rPr>
          <w:rFonts w:ascii="Arial" w:hAnsi="Arial" w:cs="Arial"/>
          <w:sz w:val="20"/>
          <w:szCs w:val="20"/>
        </w:rPr>
        <w:t xml:space="preserve"> and 2_OL</w:t>
      </w:r>
      <w:r w:rsidR="002C63FE" w:rsidRPr="007A682B">
        <w:rPr>
          <w:rFonts w:ascii="Arial" w:hAnsi="Arial" w:cs="Arial"/>
          <w:sz w:val="20"/>
          <w:szCs w:val="20"/>
        </w:rPr>
        <w:t xml:space="preserve"> (2.5-fold enrichment, </w:t>
      </w:r>
      <w:r w:rsidR="002C63FE" w:rsidRPr="007A682B">
        <w:rPr>
          <w:rFonts w:ascii="Arial" w:hAnsi="Arial" w:cs="Arial"/>
          <w:i/>
          <w:iCs/>
          <w:sz w:val="20"/>
          <w:szCs w:val="20"/>
        </w:rPr>
        <w:t>q</w:t>
      </w:r>
      <w:r w:rsidR="002C63FE" w:rsidRPr="007A682B">
        <w:rPr>
          <w:rFonts w:ascii="Arial" w:hAnsi="Arial" w:cs="Arial"/>
          <w:sz w:val="20"/>
          <w:szCs w:val="20"/>
        </w:rPr>
        <w:t xml:space="preserve"> = 0.0</w:t>
      </w:r>
      <w:r w:rsidR="00861E9A">
        <w:rPr>
          <w:rFonts w:ascii="Arial" w:hAnsi="Arial" w:cs="Arial"/>
          <w:sz w:val="20"/>
          <w:szCs w:val="20"/>
        </w:rPr>
        <w:t>3</w:t>
      </w:r>
      <w:r w:rsidR="00910DBE">
        <w:rPr>
          <w:rFonts w:ascii="Arial" w:hAnsi="Arial" w:cs="Arial"/>
          <w:sz w:val="20"/>
          <w:szCs w:val="20"/>
        </w:rPr>
        <w:t xml:space="preserve">, </w:t>
      </w:r>
      <w:r w:rsidR="0054434D" w:rsidRPr="007A682B">
        <w:rPr>
          <w:rFonts w:ascii="Arial" w:hAnsi="Arial" w:cs="Arial"/>
          <w:sz w:val="20"/>
          <w:szCs w:val="20"/>
          <w:highlight w:val="yellow"/>
        </w:rPr>
        <w:t xml:space="preserve">Fig. </w:t>
      </w:r>
      <w:r w:rsidR="00A802D8" w:rsidRPr="007A682B">
        <w:rPr>
          <w:rFonts w:ascii="Arial" w:hAnsi="Arial" w:cs="Arial"/>
          <w:sz w:val="20"/>
          <w:szCs w:val="20"/>
          <w:highlight w:val="yellow"/>
        </w:rPr>
        <w:t>3</w:t>
      </w:r>
      <w:r w:rsidR="0054434D" w:rsidRPr="007A682B">
        <w:rPr>
          <w:rFonts w:ascii="Arial" w:hAnsi="Arial" w:cs="Arial"/>
          <w:sz w:val="20"/>
          <w:szCs w:val="20"/>
          <w:highlight w:val="yellow"/>
        </w:rPr>
        <w:t>D</w:t>
      </w:r>
      <w:r w:rsidR="002C63FE" w:rsidRPr="007A682B">
        <w:rPr>
          <w:rFonts w:ascii="Arial" w:hAnsi="Arial" w:cs="Arial"/>
          <w:sz w:val="20"/>
          <w:szCs w:val="20"/>
        </w:rPr>
        <w:t>, Appendix S1</w:t>
      </w:r>
      <w:r w:rsidR="00264301" w:rsidRPr="007A682B">
        <w:rPr>
          <w:rFonts w:ascii="Arial" w:hAnsi="Arial" w:cs="Arial"/>
          <w:sz w:val="20"/>
          <w:szCs w:val="20"/>
        </w:rPr>
        <w:t>)</w:t>
      </w:r>
      <w:r w:rsidR="0054434D" w:rsidRPr="007A682B">
        <w:rPr>
          <w:rFonts w:ascii="Arial" w:hAnsi="Arial" w:cs="Arial"/>
          <w:sz w:val="20"/>
          <w:szCs w:val="20"/>
        </w:rPr>
        <w:t>.</w:t>
      </w:r>
    </w:p>
    <w:p w14:paraId="0C9B791B" w14:textId="77777777" w:rsidR="00264301" w:rsidRPr="007A682B" w:rsidRDefault="00264301" w:rsidP="00D770B1">
      <w:pPr>
        <w:rPr>
          <w:rFonts w:ascii="Arial" w:hAnsi="Arial" w:cs="Arial"/>
          <w:sz w:val="20"/>
          <w:szCs w:val="20"/>
        </w:rPr>
      </w:pPr>
    </w:p>
    <w:p w14:paraId="4CF2830D" w14:textId="67B4F178" w:rsidR="006C603E" w:rsidRPr="007A682B" w:rsidRDefault="00175C20" w:rsidP="006C603E">
      <w:pPr>
        <w:rPr>
          <w:rFonts w:ascii="Arial" w:hAnsi="Arial" w:cs="Arial"/>
          <w:sz w:val="20"/>
          <w:szCs w:val="20"/>
        </w:rPr>
      </w:pPr>
      <w:r w:rsidRPr="007A682B">
        <w:rPr>
          <w:rFonts w:ascii="Arial" w:hAnsi="Arial" w:cs="Arial"/>
          <w:sz w:val="20"/>
          <w:szCs w:val="20"/>
          <w:u w:val="single"/>
        </w:rPr>
        <w:t>Relationship Between DEGs and DARs</w:t>
      </w:r>
    </w:p>
    <w:p w14:paraId="50E678AF" w14:textId="52676247" w:rsidR="006C603E" w:rsidRPr="007A682B" w:rsidRDefault="006C603E" w:rsidP="004C751B">
      <w:pPr>
        <w:ind w:firstLine="720"/>
        <w:rPr>
          <w:rFonts w:ascii="Arial" w:hAnsi="Arial" w:cs="Arial"/>
          <w:sz w:val="20"/>
          <w:szCs w:val="20"/>
        </w:rPr>
      </w:pPr>
      <w:r w:rsidRPr="007A682B">
        <w:rPr>
          <w:rFonts w:ascii="Arial" w:hAnsi="Arial" w:cs="Arial"/>
          <w:sz w:val="20"/>
          <w:szCs w:val="20"/>
        </w:rPr>
        <w:t xml:space="preserve">We next asked </w:t>
      </w:r>
      <w:r w:rsidR="00555C7B" w:rsidRPr="007A682B">
        <w:rPr>
          <w:rFonts w:ascii="Arial" w:hAnsi="Arial" w:cs="Arial"/>
          <w:sz w:val="20"/>
          <w:szCs w:val="20"/>
        </w:rPr>
        <w:t>which changes in gene expression could be explained by changes in the epigenome</w:t>
      </w:r>
      <w:r w:rsidRPr="007A682B">
        <w:rPr>
          <w:rFonts w:ascii="Arial" w:hAnsi="Arial" w:cs="Arial"/>
          <w:sz w:val="20"/>
          <w:szCs w:val="20"/>
        </w:rPr>
        <w:t>.</w:t>
      </w:r>
      <w:r w:rsidR="00646584" w:rsidRPr="007A682B">
        <w:rPr>
          <w:rFonts w:ascii="Arial" w:hAnsi="Arial" w:cs="Arial"/>
          <w:sz w:val="20"/>
          <w:szCs w:val="20"/>
        </w:rPr>
        <w:t xml:space="preserve"> A direct comparison of </w:t>
      </w:r>
      <w:r w:rsidR="00D770B1" w:rsidRPr="007A682B">
        <w:rPr>
          <w:rFonts w:ascii="Arial" w:hAnsi="Arial" w:cs="Arial"/>
          <w:sz w:val="20"/>
          <w:szCs w:val="20"/>
        </w:rPr>
        <w:t>DEGs and DARs</w:t>
      </w:r>
      <w:r w:rsidR="00646584" w:rsidRPr="007A682B">
        <w:rPr>
          <w:rFonts w:ascii="Arial" w:hAnsi="Arial" w:cs="Arial"/>
          <w:sz w:val="20"/>
          <w:szCs w:val="20"/>
        </w:rPr>
        <w:t xml:space="preserve"> identified only a single overlapping gene </w:t>
      </w:r>
      <w:r w:rsidRPr="007A682B">
        <w:rPr>
          <w:rFonts w:ascii="Arial" w:hAnsi="Arial" w:cs="Arial"/>
          <w:sz w:val="20"/>
          <w:szCs w:val="20"/>
        </w:rPr>
        <w:t>(</w:t>
      </w:r>
      <w:r w:rsidRPr="007A682B">
        <w:rPr>
          <w:rFonts w:ascii="Arial" w:hAnsi="Arial" w:cs="Arial"/>
          <w:i/>
          <w:iCs/>
          <w:sz w:val="20"/>
          <w:szCs w:val="20"/>
        </w:rPr>
        <w:t>igf2bp1</w:t>
      </w:r>
      <w:r w:rsidRPr="007A682B">
        <w:rPr>
          <w:rFonts w:ascii="Arial" w:hAnsi="Arial" w:cs="Arial"/>
          <w:sz w:val="20"/>
          <w:szCs w:val="20"/>
        </w:rPr>
        <w:t xml:space="preserve"> in 0</w:t>
      </w:r>
      <w:r w:rsidR="005779D6" w:rsidRPr="007A682B">
        <w:rPr>
          <w:rFonts w:ascii="Arial" w:hAnsi="Arial" w:cs="Arial"/>
          <w:sz w:val="20"/>
          <w:szCs w:val="20"/>
        </w:rPr>
        <w:t>_Spall_Mixed</w:t>
      </w:r>
      <w:r w:rsidRPr="007A682B">
        <w:rPr>
          <w:rFonts w:ascii="Arial" w:hAnsi="Arial" w:cs="Arial"/>
          <w:sz w:val="20"/>
          <w:szCs w:val="20"/>
        </w:rPr>
        <w:t xml:space="preserve">). </w:t>
      </w:r>
      <w:r w:rsidR="0046592A" w:rsidRPr="0046592A">
        <w:rPr>
          <w:rFonts w:ascii="Arial" w:hAnsi="Arial" w:cs="Arial"/>
          <w:sz w:val="20"/>
          <w:szCs w:val="20"/>
        </w:rPr>
        <w:t>Because this comparison requires both transcriptomic and epigenomic changes to independently satisfy strict significance thresholds, we next examined whether changes in gene expression were correlated with local chromatin accessibility, even when only one modality met the threshold for differential change.</w:t>
      </w:r>
      <w:r w:rsidR="00646584" w:rsidRPr="007A682B">
        <w:rPr>
          <w:rFonts w:ascii="Arial" w:hAnsi="Arial" w:cs="Arial"/>
          <w:sz w:val="20"/>
          <w:szCs w:val="20"/>
        </w:rPr>
        <w:t xml:space="preserve"> </w:t>
      </w:r>
      <w:r w:rsidR="00175C20" w:rsidRPr="007A682B">
        <w:rPr>
          <w:rFonts w:ascii="Arial" w:hAnsi="Arial" w:cs="Arial"/>
          <w:sz w:val="20"/>
          <w:szCs w:val="20"/>
        </w:rPr>
        <w:t>To do this</w:t>
      </w:r>
      <w:r w:rsidRPr="007A682B">
        <w:rPr>
          <w:rFonts w:ascii="Arial" w:hAnsi="Arial" w:cs="Arial"/>
          <w:sz w:val="20"/>
          <w:szCs w:val="20"/>
        </w:rPr>
        <w:t>, we correlated pseudobulk</w:t>
      </w:r>
      <w:r w:rsidR="00555C7B" w:rsidRPr="007A682B">
        <w:rPr>
          <w:rFonts w:ascii="Arial" w:hAnsi="Arial" w:cs="Arial"/>
          <w:sz w:val="20"/>
          <w:szCs w:val="20"/>
        </w:rPr>
        <w:t>ed</w:t>
      </w:r>
      <w:r w:rsidRPr="007A682B">
        <w:rPr>
          <w:rFonts w:ascii="Arial" w:hAnsi="Arial" w:cs="Arial"/>
          <w:sz w:val="20"/>
          <w:szCs w:val="20"/>
        </w:rPr>
        <w:t xml:space="preserve"> gene expression with </w:t>
      </w:r>
      <w:r w:rsidR="00555C7B" w:rsidRPr="007A682B">
        <w:rPr>
          <w:rFonts w:ascii="Arial" w:hAnsi="Arial" w:cs="Arial"/>
          <w:sz w:val="20"/>
          <w:szCs w:val="20"/>
        </w:rPr>
        <w:t xml:space="preserve">pseudobulked </w:t>
      </w:r>
      <w:r w:rsidRPr="007A682B">
        <w:rPr>
          <w:rFonts w:ascii="Arial" w:hAnsi="Arial" w:cs="Arial"/>
          <w:sz w:val="20"/>
          <w:szCs w:val="20"/>
        </w:rPr>
        <w:t>chromatin accessibility scores for ATAC peaks</w:t>
      </w:r>
      <w:r w:rsidR="00555C7B" w:rsidRPr="007A682B">
        <w:rPr>
          <w:rFonts w:ascii="Arial" w:hAnsi="Arial" w:cs="Arial"/>
          <w:sz w:val="20"/>
          <w:szCs w:val="20"/>
        </w:rPr>
        <w:t xml:space="preserve"> </w:t>
      </w:r>
      <w:r w:rsidRPr="007A682B">
        <w:rPr>
          <w:rFonts w:ascii="Arial" w:hAnsi="Arial" w:cs="Arial"/>
          <w:sz w:val="20"/>
          <w:szCs w:val="20"/>
        </w:rPr>
        <w:t xml:space="preserve">located within promoter and gene-body regions of each gene across individuals. </w:t>
      </w:r>
      <w:r w:rsidR="00AC4828" w:rsidRPr="007A682B">
        <w:rPr>
          <w:rFonts w:ascii="Arial" w:hAnsi="Arial" w:cs="Arial"/>
          <w:sz w:val="20"/>
          <w:szCs w:val="20"/>
        </w:rPr>
        <w:t xml:space="preserve">Of the 226 genes </w:t>
      </w:r>
      <w:r w:rsidR="001C4E6C" w:rsidRPr="007A682B">
        <w:rPr>
          <w:rFonts w:ascii="Arial" w:hAnsi="Arial" w:cs="Arial"/>
          <w:sz w:val="20"/>
          <w:szCs w:val="20"/>
        </w:rPr>
        <w:t>which passed quality control (</w:t>
      </w:r>
      <w:r w:rsidR="001C4E6C" w:rsidRPr="007A682B">
        <w:rPr>
          <w:rFonts w:ascii="Arial" w:hAnsi="Arial" w:cs="Arial"/>
          <w:sz w:val="20"/>
          <w:szCs w:val="20"/>
          <w:highlight w:val="yellow"/>
        </w:rPr>
        <w:t xml:space="preserve">Appendix </w:t>
      </w:r>
      <w:r w:rsidR="00C538DF" w:rsidRPr="007A682B">
        <w:rPr>
          <w:rFonts w:ascii="Arial" w:hAnsi="Arial" w:cs="Arial"/>
          <w:sz w:val="20"/>
          <w:szCs w:val="20"/>
          <w:highlight w:val="yellow"/>
        </w:rPr>
        <w:t>S8</w:t>
      </w:r>
      <w:r w:rsidR="001C4E6C" w:rsidRPr="007A682B">
        <w:rPr>
          <w:rFonts w:ascii="Arial" w:hAnsi="Arial" w:cs="Arial"/>
          <w:sz w:val="20"/>
          <w:szCs w:val="20"/>
          <w:highlight w:val="yellow"/>
        </w:rPr>
        <w:t>, S</w:t>
      </w:r>
      <w:r w:rsidR="00C538DF" w:rsidRPr="007A682B">
        <w:rPr>
          <w:rFonts w:ascii="Arial" w:hAnsi="Arial" w:cs="Arial"/>
          <w:sz w:val="20"/>
          <w:szCs w:val="20"/>
        </w:rPr>
        <w:t>9</w:t>
      </w:r>
      <w:r w:rsidR="001C4E6C" w:rsidRPr="007A682B">
        <w:rPr>
          <w:rFonts w:ascii="Arial" w:hAnsi="Arial" w:cs="Arial"/>
          <w:sz w:val="20"/>
          <w:szCs w:val="20"/>
        </w:rPr>
        <w:t>)</w:t>
      </w:r>
      <w:r w:rsidR="00AC4828" w:rsidRPr="007A682B">
        <w:rPr>
          <w:rFonts w:ascii="Arial" w:hAnsi="Arial" w:cs="Arial"/>
          <w:sz w:val="20"/>
          <w:szCs w:val="20"/>
        </w:rPr>
        <w:t>, 67</w:t>
      </w:r>
      <w:r w:rsidRPr="007A682B">
        <w:rPr>
          <w:rFonts w:ascii="Arial" w:hAnsi="Arial" w:cs="Arial"/>
          <w:sz w:val="20"/>
          <w:szCs w:val="20"/>
        </w:rPr>
        <w:t xml:space="preserve"> exhibited a significant correlation between gene expression and the accessibility of their best local ATAC peak (Pearson's </w:t>
      </w:r>
      <w:r w:rsidR="00120D6D" w:rsidRPr="007A682B">
        <w:rPr>
          <w:rFonts w:ascii="Arial" w:hAnsi="Arial" w:cs="Arial"/>
          <w:i/>
          <w:iCs/>
          <w:sz w:val="20"/>
          <w:szCs w:val="20"/>
        </w:rPr>
        <w:t>p</w:t>
      </w:r>
      <w:r w:rsidRPr="007A682B">
        <w:rPr>
          <w:rFonts w:ascii="Arial" w:hAnsi="Arial" w:cs="Arial"/>
          <w:sz w:val="20"/>
          <w:szCs w:val="20"/>
        </w:rPr>
        <w:t xml:space="preserve"> &lt; 0.05). </w:t>
      </w:r>
      <w:r w:rsidR="0046592A">
        <w:rPr>
          <w:rFonts w:ascii="Arial" w:hAnsi="Arial" w:cs="Arial"/>
          <w:sz w:val="20"/>
          <w:szCs w:val="20"/>
        </w:rPr>
        <w:t>T</w:t>
      </w:r>
      <w:r w:rsidR="0046592A" w:rsidRPr="0046592A">
        <w:rPr>
          <w:rFonts w:ascii="Arial" w:hAnsi="Arial" w:cs="Arial"/>
          <w:sz w:val="20"/>
          <w:szCs w:val="20"/>
        </w:rPr>
        <w:t>he prevalence of accessibility-associated DEGs did not differ significantly among cell clusters (χ² test), suggesting a similar relationship between local chromatin accessibility and gene expression across cell populations.</w:t>
      </w:r>
    </w:p>
    <w:p w14:paraId="7B2536BA" w14:textId="191F6C8D" w:rsidR="006C603E" w:rsidRPr="007A682B" w:rsidRDefault="006C603E" w:rsidP="004C751B">
      <w:pPr>
        <w:ind w:firstLine="720"/>
        <w:rPr>
          <w:rFonts w:ascii="Arial" w:hAnsi="Arial" w:cs="Arial"/>
          <w:sz w:val="20"/>
          <w:szCs w:val="20"/>
        </w:rPr>
      </w:pPr>
      <w:r w:rsidRPr="007A682B">
        <w:rPr>
          <w:rFonts w:ascii="Arial" w:hAnsi="Arial" w:cs="Arial"/>
          <w:sz w:val="20"/>
          <w:szCs w:val="20"/>
        </w:rPr>
        <w:t xml:space="preserve">As a complementary analysis, we next examined whether </w:t>
      </w:r>
      <w:r w:rsidR="00C551F6" w:rsidRPr="007A682B">
        <w:rPr>
          <w:rFonts w:ascii="Arial" w:hAnsi="Arial" w:cs="Arial"/>
          <w:sz w:val="20"/>
          <w:szCs w:val="20"/>
        </w:rPr>
        <w:t>DARs</w:t>
      </w:r>
      <w:r w:rsidRPr="007A682B">
        <w:rPr>
          <w:rFonts w:ascii="Arial" w:hAnsi="Arial" w:cs="Arial"/>
          <w:sz w:val="20"/>
          <w:szCs w:val="20"/>
        </w:rPr>
        <w:t xml:space="preserve"> were associated with expression of their nearest expressed gene. Following quality-control</w:t>
      </w:r>
      <w:r w:rsidR="006C2F07" w:rsidRPr="007A682B">
        <w:rPr>
          <w:rFonts w:ascii="Arial" w:hAnsi="Arial" w:cs="Arial"/>
          <w:sz w:val="20"/>
          <w:szCs w:val="20"/>
        </w:rPr>
        <w:t>,</w:t>
      </w:r>
      <w:r w:rsidRPr="007A682B">
        <w:rPr>
          <w:rFonts w:ascii="Arial" w:hAnsi="Arial" w:cs="Arial"/>
          <w:sz w:val="20"/>
          <w:szCs w:val="20"/>
        </w:rPr>
        <w:t xml:space="preserve"> 23 of </w:t>
      </w:r>
      <w:r w:rsidR="00C551F6" w:rsidRPr="007A682B">
        <w:rPr>
          <w:rFonts w:ascii="Arial" w:hAnsi="Arial" w:cs="Arial"/>
          <w:sz w:val="20"/>
          <w:szCs w:val="20"/>
        </w:rPr>
        <w:t xml:space="preserve">the </w:t>
      </w:r>
      <w:r w:rsidRPr="007A682B">
        <w:rPr>
          <w:rFonts w:ascii="Arial" w:hAnsi="Arial" w:cs="Arial"/>
          <w:sz w:val="20"/>
          <w:szCs w:val="20"/>
        </w:rPr>
        <w:t xml:space="preserve">53 DARs were suitable for analysis. Of these, </w:t>
      </w:r>
      <w:r w:rsidR="00C551F6" w:rsidRPr="007A682B">
        <w:rPr>
          <w:rFonts w:ascii="Arial" w:hAnsi="Arial" w:cs="Arial"/>
          <w:sz w:val="20"/>
          <w:szCs w:val="20"/>
        </w:rPr>
        <w:t xml:space="preserve">four </w:t>
      </w:r>
      <w:r w:rsidRPr="007A682B">
        <w:rPr>
          <w:rFonts w:ascii="Arial" w:hAnsi="Arial" w:cs="Arial"/>
          <w:sz w:val="20"/>
          <w:szCs w:val="20"/>
        </w:rPr>
        <w:t xml:space="preserve">exhibited significant correlations between chromatin accessibility and gene expression (Pearson's </w:t>
      </w:r>
      <w:r w:rsidR="00120D6D" w:rsidRPr="007A682B">
        <w:rPr>
          <w:rFonts w:ascii="Arial" w:hAnsi="Arial" w:cs="Arial"/>
          <w:i/>
          <w:iCs/>
          <w:sz w:val="20"/>
          <w:szCs w:val="20"/>
        </w:rPr>
        <w:t>p</w:t>
      </w:r>
      <w:r w:rsidRPr="007A682B">
        <w:rPr>
          <w:rFonts w:ascii="Arial" w:hAnsi="Arial" w:cs="Arial"/>
          <w:sz w:val="20"/>
          <w:szCs w:val="20"/>
        </w:rPr>
        <w:t xml:space="preserve"> &lt; 0.05</w:t>
      </w:r>
      <w:r w:rsidR="007407FC">
        <w:rPr>
          <w:rFonts w:ascii="Arial" w:hAnsi="Arial" w:cs="Arial"/>
          <w:sz w:val="20"/>
          <w:szCs w:val="20"/>
        </w:rPr>
        <w:t xml:space="preserve">, </w:t>
      </w:r>
      <w:r w:rsidR="00C551F6" w:rsidRPr="007A682B">
        <w:rPr>
          <w:rFonts w:ascii="Arial" w:hAnsi="Arial" w:cs="Arial"/>
          <w:sz w:val="20"/>
          <w:szCs w:val="20"/>
          <w:highlight w:val="yellow"/>
        </w:rPr>
        <w:t xml:space="preserve">Appendix </w:t>
      </w:r>
      <w:r w:rsidRPr="007A682B">
        <w:rPr>
          <w:rFonts w:ascii="Arial" w:hAnsi="Arial" w:cs="Arial"/>
          <w:sz w:val="20"/>
          <w:szCs w:val="20"/>
          <w:highlight w:val="yellow"/>
        </w:rPr>
        <w:t>S</w:t>
      </w:r>
      <w:r w:rsidR="00C538DF" w:rsidRPr="007A682B">
        <w:rPr>
          <w:rFonts w:ascii="Arial" w:hAnsi="Arial" w:cs="Arial"/>
          <w:sz w:val="20"/>
          <w:szCs w:val="20"/>
          <w:highlight w:val="yellow"/>
        </w:rPr>
        <w:t>10</w:t>
      </w:r>
      <w:r w:rsidR="00C551F6" w:rsidRPr="007A682B">
        <w:rPr>
          <w:rFonts w:ascii="Arial" w:hAnsi="Arial" w:cs="Arial"/>
          <w:sz w:val="20"/>
          <w:szCs w:val="20"/>
          <w:highlight w:val="yellow"/>
        </w:rPr>
        <w:t xml:space="preserve">, </w:t>
      </w:r>
      <w:r w:rsidR="007276EA" w:rsidRPr="007A682B">
        <w:rPr>
          <w:rFonts w:ascii="Arial" w:hAnsi="Arial" w:cs="Arial"/>
          <w:sz w:val="20"/>
          <w:szCs w:val="20"/>
          <w:highlight w:val="yellow"/>
        </w:rPr>
        <w:t>S</w:t>
      </w:r>
      <w:r w:rsidR="00C538DF" w:rsidRPr="007A682B">
        <w:rPr>
          <w:rFonts w:ascii="Arial" w:hAnsi="Arial" w:cs="Arial"/>
          <w:sz w:val="20"/>
          <w:szCs w:val="20"/>
          <w:highlight w:val="yellow"/>
        </w:rPr>
        <w:t>11</w:t>
      </w:r>
      <w:r w:rsidR="00C551F6" w:rsidRPr="007A682B">
        <w:rPr>
          <w:rFonts w:ascii="Arial" w:hAnsi="Arial" w:cs="Arial"/>
          <w:sz w:val="20"/>
          <w:szCs w:val="20"/>
        </w:rPr>
        <w:t>)</w:t>
      </w:r>
      <w:r w:rsidRPr="007A682B">
        <w:rPr>
          <w:rFonts w:ascii="Arial" w:hAnsi="Arial" w:cs="Arial"/>
          <w:sz w:val="20"/>
          <w:szCs w:val="20"/>
        </w:rPr>
        <w:t xml:space="preserve">. </w:t>
      </w:r>
    </w:p>
    <w:p w14:paraId="71363FA6" w14:textId="1E370279" w:rsidR="00747DD7" w:rsidRPr="007A682B" w:rsidRDefault="00747DD7" w:rsidP="004C751B">
      <w:pPr>
        <w:ind w:firstLine="720"/>
        <w:rPr>
          <w:rFonts w:ascii="Arial" w:hAnsi="Arial" w:cs="Arial"/>
          <w:sz w:val="20"/>
          <w:szCs w:val="20"/>
        </w:rPr>
      </w:pPr>
      <w:r w:rsidRPr="007A682B">
        <w:rPr>
          <w:rFonts w:ascii="Arial" w:hAnsi="Arial" w:cs="Arial"/>
          <w:sz w:val="20"/>
          <w:szCs w:val="20"/>
        </w:rPr>
        <w:t xml:space="preserve">Together, these analyses indicate that while direct overlap between DEGs and DARs was limited, changes in local chromatin accessibility were nevertheless associated with the expression of a substantial subset of DEGs. Thus, chromatin accessibility appears to contribute to transcriptional remodeling during sex change, while the expression of many </w:t>
      </w:r>
      <w:r w:rsidR="006365CB" w:rsidRPr="007A682B">
        <w:rPr>
          <w:rFonts w:ascii="Arial" w:hAnsi="Arial" w:cs="Arial"/>
          <w:sz w:val="20"/>
          <w:szCs w:val="20"/>
        </w:rPr>
        <w:t xml:space="preserve">other </w:t>
      </w:r>
      <w:r w:rsidRPr="007A682B">
        <w:rPr>
          <w:rFonts w:ascii="Arial" w:hAnsi="Arial" w:cs="Arial"/>
          <w:sz w:val="20"/>
          <w:szCs w:val="20"/>
        </w:rPr>
        <w:t>genes is likely influenced by additional regulatory mechanisms.</w:t>
      </w:r>
    </w:p>
    <w:p w14:paraId="30DC6B12" w14:textId="77777777" w:rsidR="00395F94" w:rsidRPr="007A682B" w:rsidRDefault="00395F94" w:rsidP="004816FA">
      <w:pPr>
        <w:rPr>
          <w:rFonts w:ascii="Arial" w:hAnsi="Arial" w:cs="Arial"/>
          <w:sz w:val="20"/>
          <w:szCs w:val="20"/>
        </w:rPr>
      </w:pPr>
    </w:p>
    <w:p w14:paraId="6007913C" w14:textId="04D972DA" w:rsidR="00F00CD3" w:rsidRPr="007A682B" w:rsidRDefault="00681942" w:rsidP="004C751B">
      <w:pPr>
        <w:rPr>
          <w:rFonts w:ascii="Arial" w:hAnsi="Arial" w:cs="Arial"/>
          <w:sz w:val="20"/>
          <w:szCs w:val="20"/>
          <w:u w:val="single"/>
        </w:rPr>
      </w:pPr>
      <w:r w:rsidRPr="007A682B">
        <w:rPr>
          <w:rFonts w:ascii="Arial" w:hAnsi="Arial" w:cs="Arial"/>
          <w:sz w:val="20"/>
          <w:szCs w:val="20"/>
          <w:u w:val="single"/>
        </w:rPr>
        <w:t>Sex Change Occurs Asynchronously Across Cell Types</w:t>
      </w:r>
      <w:r w:rsidR="0031506B" w:rsidRPr="007A682B">
        <w:rPr>
          <w:rFonts w:ascii="Arial" w:hAnsi="Arial" w:cs="Arial"/>
          <w:sz w:val="20"/>
          <w:szCs w:val="20"/>
        </w:rPr>
        <w:tab/>
      </w:r>
    </w:p>
    <w:p w14:paraId="50C24CC3" w14:textId="63D9F069" w:rsidR="004F008D" w:rsidRPr="007A682B" w:rsidRDefault="004F008D" w:rsidP="00817393">
      <w:pPr>
        <w:ind w:firstLine="720"/>
        <w:rPr>
          <w:rFonts w:ascii="Arial" w:hAnsi="Arial" w:cs="Arial"/>
          <w:sz w:val="20"/>
          <w:szCs w:val="20"/>
        </w:rPr>
      </w:pPr>
      <w:r w:rsidRPr="007A682B">
        <w:rPr>
          <w:rFonts w:ascii="Arial" w:hAnsi="Arial" w:cs="Arial"/>
          <w:sz w:val="20"/>
          <w:szCs w:val="20"/>
        </w:rPr>
        <w:t xml:space="preserve">We next trained machine learning models to determine how far each cell cluster in each </w:t>
      </w:r>
      <w:r w:rsidR="0046592A">
        <w:rPr>
          <w:rFonts w:ascii="Arial" w:hAnsi="Arial" w:cs="Arial"/>
          <w:sz w:val="20"/>
          <w:szCs w:val="20"/>
        </w:rPr>
        <w:t>I</w:t>
      </w:r>
      <w:r w:rsidRPr="007A682B">
        <w:rPr>
          <w:rFonts w:ascii="Arial" w:hAnsi="Arial" w:cs="Arial"/>
          <w:sz w:val="20"/>
          <w:szCs w:val="20"/>
        </w:rPr>
        <w:t xml:space="preserve">ntermediate had progressed from the </w:t>
      </w:r>
      <w:r w:rsidR="0046592A">
        <w:rPr>
          <w:rFonts w:ascii="Arial" w:hAnsi="Arial" w:cs="Arial"/>
          <w:sz w:val="20"/>
          <w:szCs w:val="20"/>
        </w:rPr>
        <w:t>m</w:t>
      </w:r>
      <w:r w:rsidRPr="007A682B">
        <w:rPr>
          <w:rFonts w:ascii="Arial" w:hAnsi="Arial" w:cs="Arial"/>
          <w:sz w:val="20"/>
          <w:szCs w:val="20"/>
        </w:rPr>
        <w:t xml:space="preserve">ale toward the </w:t>
      </w:r>
      <w:r w:rsidR="0046592A">
        <w:rPr>
          <w:rFonts w:ascii="Arial" w:hAnsi="Arial" w:cs="Arial"/>
          <w:sz w:val="20"/>
          <w:szCs w:val="20"/>
        </w:rPr>
        <w:t>f</w:t>
      </w:r>
      <w:r w:rsidRPr="007A682B">
        <w:rPr>
          <w:rFonts w:ascii="Arial" w:hAnsi="Arial" w:cs="Arial"/>
          <w:sz w:val="20"/>
          <w:szCs w:val="20"/>
        </w:rPr>
        <w:t>emale state (</w:t>
      </w:r>
      <w:r w:rsidRPr="007A682B">
        <w:rPr>
          <w:rFonts w:ascii="Arial" w:hAnsi="Arial" w:cs="Arial"/>
          <w:sz w:val="20"/>
          <w:szCs w:val="20"/>
          <w:highlight w:val="yellow"/>
        </w:rPr>
        <w:t>Methods</w:t>
      </w:r>
      <w:r w:rsidRPr="007A682B">
        <w:rPr>
          <w:rFonts w:ascii="Arial" w:hAnsi="Arial" w:cs="Arial"/>
          <w:sz w:val="20"/>
          <w:szCs w:val="20"/>
        </w:rPr>
        <w:t xml:space="preserve">). Models were trained using expression of DEGs and accessibility of DARs that differed between </w:t>
      </w:r>
      <w:r w:rsidR="0046592A">
        <w:rPr>
          <w:rFonts w:ascii="Arial" w:hAnsi="Arial" w:cs="Arial"/>
          <w:sz w:val="20"/>
          <w:szCs w:val="20"/>
        </w:rPr>
        <w:t>M</w:t>
      </w:r>
      <w:r w:rsidRPr="007A682B">
        <w:rPr>
          <w:rFonts w:ascii="Arial" w:hAnsi="Arial" w:cs="Arial"/>
          <w:sz w:val="20"/>
          <w:szCs w:val="20"/>
        </w:rPr>
        <w:t xml:space="preserve">ales and </w:t>
      </w:r>
      <w:r w:rsidR="0046592A">
        <w:rPr>
          <w:rFonts w:ascii="Arial" w:hAnsi="Arial" w:cs="Arial"/>
          <w:sz w:val="20"/>
          <w:szCs w:val="20"/>
        </w:rPr>
        <w:t>F</w:t>
      </w:r>
      <w:r w:rsidRPr="007A682B">
        <w:rPr>
          <w:rFonts w:ascii="Arial" w:hAnsi="Arial" w:cs="Arial"/>
          <w:sz w:val="20"/>
          <w:szCs w:val="20"/>
        </w:rPr>
        <w:t xml:space="preserve">emales and were then applied to </w:t>
      </w:r>
      <w:r w:rsidR="0046592A">
        <w:rPr>
          <w:rFonts w:ascii="Arial" w:hAnsi="Arial" w:cs="Arial"/>
          <w:sz w:val="20"/>
          <w:szCs w:val="20"/>
        </w:rPr>
        <w:t>I</w:t>
      </w:r>
      <w:r w:rsidRPr="007A682B">
        <w:rPr>
          <w:rFonts w:ascii="Arial" w:hAnsi="Arial" w:cs="Arial"/>
          <w:sz w:val="20"/>
          <w:szCs w:val="20"/>
        </w:rPr>
        <w:t xml:space="preserve">ntermediates to estimate the position of each cluster along the </w:t>
      </w:r>
      <w:r w:rsidR="0046592A">
        <w:rPr>
          <w:rFonts w:ascii="Arial" w:hAnsi="Arial" w:cs="Arial"/>
          <w:sz w:val="20"/>
          <w:szCs w:val="20"/>
        </w:rPr>
        <w:t>M</w:t>
      </w:r>
      <w:r w:rsidRPr="007A682B">
        <w:rPr>
          <w:rFonts w:ascii="Arial" w:hAnsi="Arial" w:cs="Arial"/>
          <w:sz w:val="20"/>
          <w:szCs w:val="20"/>
        </w:rPr>
        <w:t>ale-to-</w:t>
      </w:r>
      <w:r w:rsidR="0046592A">
        <w:rPr>
          <w:rFonts w:ascii="Arial" w:hAnsi="Arial" w:cs="Arial"/>
          <w:sz w:val="20"/>
          <w:szCs w:val="20"/>
        </w:rPr>
        <w:t>F</w:t>
      </w:r>
      <w:r w:rsidRPr="007A682B">
        <w:rPr>
          <w:rFonts w:ascii="Arial" w:hAnsi="Arial" w:cs="Arial"/>
          <w:sz w:val="20"/>
          <w:szCs w:val="20"/>
        </w:rPr>
        <w:t xml:space="preserve">emale axis. A more </w:t>
      </w:r>
      <w:r w:rsidR="0046592A">
        <w:rPr>
          <w:rFonts w:ascii="Arial" w:hAnsi="Arial" w:cs="Arial"/>
          <w:sz w:val="20"/>
          <w:szCs w:val="20"/>
        </w:rPr>
        <w:t>F</w:t>
      </w:r>
      <w:r w:rsidRPr="007A682B">
        <w:rPr>
          <w:rFonts w:ascii="Arial" w:hAnsi="Arial" w:cs="Arial"/>
          <w:sz w:val="20"/>
          <w:szCs w:val="20"/>
        </w:rPr>
        <w:t xml:space="preserve">emale-like prediction (closer to 1) indicates that a cluster had progressed further toward the </w:t>
      </w:r>
      <w:r w:rsidR="0046592A">
        <w:rPr>
          <w:rFonts w:ascii="Arial" w:hAnsi="Arial" w:cs="Arial"/>
          <w:sz w:val="20"/>
          <w:szCs w:val="20"/>
        </w:rPr>
        <w:t>f</w:t>
      </w:r>
      <w:r w:rsidRPr="007A682B">
        <w:rPr>
          <w:rFonts w:ascii="Arial" w:hAnsi="Arial" w:cs="Arial"/>
          <w:sz w:val="20"/>
          <w:szCs w:val="20"/>
        </w:rPr>
        <w:t xml:space="preserve">emale state by six months, whereas a more </w:t>
      </w:r>
      <w:r w:rsidR="0046592A">
        <w:rPr>
          <w:rFonts w:ascii="Arial" w:hAnsi="Arial" w:cs="Arial"/>
          <w:sz w:val="20"/>
          <w:szCs w:val="20"/>
        </w:rPr>
        <w:t>M</w:t>
      </w:r>
      <w:r w:rsidRPr="007A682B">
        <w:rPr>
          <w:rFonts w:ascii="Arial" w:hAnsi="Arial" w:cs="Arial"/>
          <w:sz w:val="20"/>
          <w:szCs w:val="20"/>
        </w:rPr>
        <w:t>ale-like prediction (closer to 0) indicates less progression.</w:t>
      </w:r>
    </w:p>
    <w:p w14:paraId="617C425C" w14:textId="04DC4C52" w:rsidR="004F008D" w:rsidRPr="007A682B" w:rsidRDefault="004F008D" w:rsidP="004F008D">
      <w:pPr>
        <w:ind w:firstLine="720"/>
        <w:rPr>
          <w:rFonts w:ascii="Arial" w:hAnsi="Arial" w:cs="Arial"/>
          <w:sz w:val="20"/>
          <w:szCs w:val="20"/>
        </w:rPr>
      </w:pPr>
      <w:r w:rsidRPr="007A682B">
        <w:rPr>
          <w:rFonts w:ascii="Arial" w:hAnsi="Arial" w:cs="Arial"/>
          <w:sz w:val="20"/>
          <w:szCs w:val="20"/>
        </w:rPr>
        <w:t>Of the 2</w:t>
      </w:r>
      <w:r w:rsidR="008C795A">
        <w:rPr>
          <w:rFonts w:ascii="Arial" w:hAnsi="Arial" w:cs="Arial"/>
          <w:sz w:val="20"/>
          <w:szCs w:val="20"/>
        </w:rPr>
        <w:t>7</w:t>
      </w:r>
      <w:r w:rsidRPr="007A682B">
        <w:rPr>
          <w:rFonts w:ascii="Arial" w:hAnsi="Arial" w:cs="Arial"/>
          <w:sz w:val="20"/>
          <w:szCs w:val="20"/>
        </w:rPr>
        <w:t xml:space="preserve"> clusters, 16 passed quality control metrics and were analyzed. The mean score </w:t>
      </w:r>
      <w:r w:rsidR="00D66DFA" w:rsidRPr="007A682B">
        <w:rPr>
          <w:rFonts w:ascii="Arial" w:hAnsi="Arial" w:cs="Arial"/>
          <w:sz w:val="20"/>
          <w:szCs w:val="20"/>
        </w:rPr>
        <w:t xml:space="preserve">for </w:t>
      </w:r>
      <w:r w:rsidR="0046592A">
        <w:rPr>
          <w:rFonts w:ascii="Arial" w:hAnsi="Arial" w:cs="Arial"/>
          <w:sz w:val="20"/>
          <w:szCs w:val="20"/>
        </w:rPr>
        <w:t>I</w:t>
      </w:r>
      <w:r w:rsidR="00D66DFA" w:rsidRPr="007A682B">
        <w:rPr>
          <w:rFonts w:ascii="Arial" w:hAnsi="Arial" w:cs="Arial"/>
          <w:sz w:val="20"/>
          <w:szCs w:val="20"/>
        </w:rPr>
        <w:t xml:space="preserve">ntermediates </w:t>
      </w:r>
      <w:r w:rsidRPr="007A682B">
        <w:rPr>
          <w:rFonts w:ascii="Arial" w:hAnsi="Arial" w:cs="Arial"/>
          <w:sz w:val="20"/>
          <w:szCs w:val="20"/>
        </w:rPr>
        <w:t>across analyzed clusters was 0.3</w:t>
      </w:r>
      <w:r w:rsidR="00290B1A">
        <w:rPr>
          <w:rFonts w:ascii="Arial" w:hAnsi="Arial" w:cs="Arial"/>
          <w:sz w:val="20"/>
          <w:szCs w:val="20"/>
        </w:rPr>
        <w:t>4</w:t>
      </w:r>
      <w:r w:rsidR="00D66DFA" w:rsidRPr="007A682B">
        <w:rPr>
          <w:rFonts w:ascii="Arial" w:hAnsi="Arial" w:cs="Arial"/>
          <w:sz w:val="20"/>
          <w:szCs w:val="20"/>
        </w:rPr>
        <w:t>2</w:t>
      </w:r>
      <w:r w:rsidR="00C82188" w:rsidRPr="00C82188">
        <w:rPr>
          <w:rFonts w:ascii="Arial" w:hAnsi="Arial" w:cs="Arial"/>
          <w:sz w:val="20"/>
          <w:szCs w:val="20"/>
          <w:highlight w:val="yellow"/>
        </w:rPr>
        <w:t xml:space="preserve"> ± </w:t>
      </w:r>
      <w:r w:rsidRPr="007A682B">
        <w:rPr>
          <w:rFonts w:ascii="Arial" w:hAnsi="Arial" w:cs="Arial"/>
          <w:sz w:val="20"/>
          <w:szCs w:val="20"/>
        </w:rPr>
        <w:t>0.0</w:t>
      </w:r>
      <w:r w:rsidR="00290B1A">
        <w:rPr>
          <w:rFonts w:ascii="Arial" w:hAnsi="Arial" w:cs="Arial"/>
          <w:sz w:val="20"/>
          <w:szCs w:val="20"/>
        </w:rPr>
        <w:t>3</w:t>
      </w:r>
      <w:r w:rsidR="00BE65FB">
        <w:rPr>
          <w:rFonts w:ascii="Arial" w:hAnsi="Arial" w:cs="Arial"/>
          <w:sz w:val="20"/>
          <w:szCs w:val="20"/>
        </w:rPr>
        <w:t>3</w:t>
      </w:r>
      <w:r w:rsidR="00910DBE">
        <w:rPr>
          <w:rFonts w:ascii="Arial" w:hAnsi="Arial" w:cs="Arial"/>
          <w:sz w:val="20"/>
          <w:szCs w:val="20"/>
        </w:rPr>
        <w:t xml:space="preserve"> SE</w:t>
      </w:r>
      <w:r w:rsidRPr="007A682B">
        <w:rPr>
          <w:rFonts w:ascii="Arial" w:hAnsi="Arial" w:cs="Arial"/>
          <w:sz w:val="20"/>
          <w:szCs w:val="20"/>
        </w:rPr>
        <w:t xml:space="preserve"> (</w:t>
      </w:r>
      <w:r w:rsidRPr="007A682B">
        <w:rPr>
          <w:rFonts w:ascii="Arial" w:hAnsi="Arial" w:cs="Arial"/>
          <w:sz w:val="20"/>
          <w:szCs w:val="20"/>
          <w:highlight w:val="yellow"/>
        </w:rPr>
        <w:t>Appendix S</w:t>
      </w:r>
      <w:r w:rsidR="00C538DF" w:rsidRPr="007A682B">
        <w:rPr>
          <w:rFonts w:ascii="Arial" w:hAnsi="Arial" w:cs="Arial"/>
          <w:sz w:val="20"/>
          <w:szCs w:val="20"/>
          <w:highlight w:val="yellow"/>
        </w:rPr>
        <w:t>12</w:t>
      </w:r>
      <w:r w:rsidRPr="007A682B">
        <w:rPr>
          <w:rFonts w:ascii="Arial" w:hAnsi="Arial" w:cs="Arial"/>
          <w:sz w:val="20"/>
          <w:szCs w:val="20"/>
        </w:rPr>
        <w:t xml:space="preserve">), indicating that overall, </w:t>
      </w:r>
      <w:r w:rsidR="0046592A">
        <w:rPr>
          <w:rFonts w:ascii="Arial" w:hAnsi="Arial" w:cs="Arial"/>
          <w:sz w:val="20"/>
          <w:szCs w:val="20"/>
        </w:rPr>
        <w:t>I</w:t>
      </w:r>
      <w:r w:rsidRPr="007A682B">
        <w:rPr>
          <w:rFonts w:ascii="Arial" w:hAnsi="Arial" w:cs="Arial"/>
          <w:sz w:val="20"/>
          <w:szCs w:val="20"/>
        </w:rPr>
        <w:t>ntermediate cell populations remained substantially more male-like than female-like at six months. Broadly, GABAergic and glutamatergic neurons tended to be further toward the female state than mixed neuronal populations and glia. The most male-like clusters in intermediates were 1_RGC</w:t>
      </w:r>
      <w:r w:rsidR="00121AE8" w:rsidRPr="007A682B">
        <w:rPr>
          <w:rFonts w:ascii="Arial" w:hAnsi="Arial" w:cs="Arial"/>
          <w:sz w:val="20"/>
          <w:szCs w:val="20"/>
        </w:rPr>
        <w:t xml:space="preserve"> (0.</w:t>
      </w:r>
      <w:r w:rsidR="00290B1A">
        <w:rPr>
          <w:rFonts w:ascii="Arial" w:hAnsi="Arial" w:cs="Arial"/>
          <w:sz w:val="20"/>
          <w:szCs w:val="20"/>
        </w:rPr>
        <w:t>033</w:t>
      </w:r>
      <w:r w:rsidR="00C82188" w:rsidRPr="00C82188">
        <w:rPr>
          <w:rFonts w:ascii="Arial" w:hAnsi="Arial" w:cs="Arial"/>
          <w:sz w:val="20"/>
          <w:szCs w:val="20"/>
          <w:highlight w:val="yellow"/>
        </w:rPr>
        <w:t xml:space="preserve"> ± </w:t>
      </w:r>
      <w:r w:rsidR="00121AE8" w:rsidRPr="007A682B">
        <w:rPr>
          <w:rFonts w:ascii="Arial" w:hAnsi="Arial" w:cs="Arial"/>
          <w:sz w:val="20"/>
          <w:szCs w:val="20"/>
        </w:rPr>
        <w:t>0.0</w:t>
      </w:r>
      <w:r w:rsidR="00290B1A">
        <w:rPr>
          <w:rFonts w:ascii="Arial" w:hAnsi="Arial" w:cs="Arial"/>
          <w:sz w:val="20"/>
          <w:szCs w:val="20"/>
        </w:rPr>
        <w:t>12</w:t>
      </w:r>
      <w:r w:rsidR="00910DBE">
        <w:rPr>
          <w:rFonts w:ascii="Arial" w:hAnsi="Arial" w:cs="Arial"/>
          <w:sz w:val="20"/>
          <w:szCs w:val="20"/>
        </w:rPr>
        <w:t xml:space="preserve"> SE</w:t>
      </w:r>
      <w:r w:rsidR="00121AE8" w:rsidRPr="007A682B">
        <w:rPr>
          <w:rFonts w:ascii="Arial" w:hAnsi="Arial" w:cs="Arial"/>
          <w:sz w:val="20"/>
          <w:szCs w:val="20"/>
        </w:rPr>
        <w:t>)</w:t>
      </w:r>
      <w:r w:rsidRPr="007A682B">
        <w:rPr>
          <w:rFonts w:ascii="Arial" w:hAnsi="Arial" w:cs="Arial"/>
          <w:sz w:val="20"/>
          <w:szCs w:val="20"/>
        </w:rPr>
        <w:t>, 6_POA_Mixed</w:t>
      </w:r>
      <w:r w:rsidR="00121AE8" w:rsidRPr="007A682B">
        <w:rPr>
          <w:rFonts w:ascii="Arial" w:hAnsi="Arial" w:cs="Arial"/>
          <w:sz w:val="20"/>
          <w:szCs w:val="20"/>
        </w:rPr>
        <w:t xml:space="preserve"> (0.056</w:t>
      </w:r>
      <w:r w:rsidR="00C82188" w:rsidRPr="00C82188">
        <w:rPr>
          <w:rFonts w:ascii="Arial" w:hAnsi="Arial" w:cs="Arial"/>
          <w:sz w:val="20"/>
          <w:szCs w:val="20"/>
          <w:highlight w:val="yellow"/>
        </w:rPr>
        <w:t xml:space="preserve"> ± </w:t>
      </w:r>
      <w:r w:rsidR="00121AE8" w:rsidRPr="007A682B">
        <w:rPr>
          <w:rFonts w:ascii="Arial" w:hAnsi="Arial" w:cs="Arial"/>
          <w:sz w:val="20"/>
          <w:szCs w:val="20"/>
        </w:rPr>
        <w:t>0.019</w:t>
      </w:r>
      <w:r w:rsidR="00910DBE">
        <w:rPr>
          <w:rFonts w:ascii="Arial" w:hAnsi="Arial" w:cs="Arial"/>
          <w:sz w:val="20"/>
          <w:szCs w:val="20"/>
        </w:rPr>
        <w:t xml:space="preserve"> SE</w:t>
      </w:r>
      <w:r w:rsidR="00121AE8" w:rsidRPr="007A682B">
        <w:rPr>
          <w:rFonts w:ascii="Arial" w:hAnsi="Arial" w:cs="Arial"/>
          <w:sz w:val="20"/>
          <w:szCs w:val="20"/>
        </w:rPr>
        <w:t>)</w:t>
      </w:r>
      <w:r w:rsidRPr="007A682B">
        <w:rPr>
          <w:rFonts w:ascii="Arial" w:hAnsi="Arial" w:cs="Arial"/>
          <w:sz w:val="20"/>
          <w:szCs w:val="20"/>
        </w:rPr>
        <w:t xml:space="preserve">, and 3_Spall_GABA </w:t>
      </w:r>
      <w:r w:rsidR="00121AE8" w:rsidRPr="007A682B">
        <w:rPr>
          <w:rFonts w:ascii="Arial" w:hAnsi="Arial" w:cs="Arial"/>
          <w:sz w:val="20"/>
          <w:szCs w:val="20"/>
        </w:rPr>
        <w:t>(0.057</w:t>
      </w:r>
      <w:r w:rsidR="00C82188" w:rsidRPr="00C82188">
        <w:rPr>
          <w:rFonts w:ascii="Arial" w:hAnsi="Arial" w:cs="Arial"/>
          <w:sz w:val="20"/>
          <w:szCs w:val="20"/>
          <w:highlight w:val="yellow"/>
        </w:rPr>
        <w:t xml:space="preserve"> ± </w:t>
      </w:r>
      <w:r w:rsidR="00121AE8" w:rsidRPr="007A682B">
        <w:rPr>
          <w:rFonts w:ascii="Arial" w:hAnsi="Arial" w:cs="Arial"/>
          <w:sz w:val="20"/>
          <w:szCs w:val="20"/>
        </w:rPr>
        <w:t>0.026</w:t>
      </w:r>
      <w:r w:rsidR="00910DBE">
        <w:rPr>
          <w:rFonts w:ascii="Arial" w:hAnsi="Arial" w:cs="Arial"/>
          <w:sz w:val="20"/>
          <w:szCs w:val="20"/>
        </w:rPr>
        <w:t xml:space="preserve"> SE</w:t>
      </w:r>
      <w:r w:rsidR="00557AEB" w:rsidRPr="007A682B">
        <w:rPr>
          <w:rFonts w:ascii="Arial" w:hAnsi="Arial" w:cs="Arial"/>
          <w:sz w:val="20"/>
          <w:szCs w:val="20"/>
        </w:rPr>
        <w:t xml:space="preserve">, </w:t>
      </w:r>
      <w:r w:rsidRPr="007A682B">
        <w:rPr>
          <w:rFonts w:ascii="Arial" w:hAnsi="Arial" w:cs="Arial"/>
          <w:sz w:val="20"/>
          <w:szCs w:val="20"/>
          <w:highlight w:val="yellow"/>
        </w:rPr>
        <w:t>Fig. 3E</w:t>
      </w:r>
      <w:r w:rsidRPr="007A682B">
        <w:rPr>
          <w:rFonts w:ascii="Arial" w:hAnsi="Arial" w:cs="Arial"/>
          <w:sz w:val="20"/>
          <w:szCs w:val="20"/>
        </w:rPr>
        <w:t xml:space="preserve">). Taken together, these results demonstrate that sex change progresses asynchronously across cell types, with some populations substantially further toward the female state than others at </w:t>
      </w:r>
      <w:r w:rsidR="00EB4946" w:rsidRPr="007A682B">
        <w:rPr>
          <w:rFonts w:ascii="Arial" w:hAnsi="Arial" w:cs="Arial"/>
          <w:sz w:val="20"/>
          <w:szCs w:val="20"/>
        </w:rPr>
        <w:t>the intermediate</w:t>
      </w:r>
      <w:r w:rsidRPr="007A682B">
        <w:rPr>
          <w:rFonts w:ascii="Arial" w:hAnsi="Arial" w:cs="Arial"/>
          <w:sz w:val="20"/>
          <w:szCs w:val="20"/>
        </w:rPr>
        <w:t xml:space="preserve"> stage of sex change.</w:t>
      </w:r>
    </w:p>
    <w:p w14:paraId="1E470E54" w14:textId="77777777" w:rsidR="0054434D" w:rsidRPr="007A682B" w:rsidRDefault="0054434D" w:rsidP="004816FA">
      <w:pPr>
        <w:rPr>
          <w:rFonts w:ascii="Arial" w:hAnsi="Arial" w:cs="Arial"/>
          <w:sz w:val="20"/>
          <w:szCs w:val="20"/>
        </w:rPr>
      </w:pPr>
    </w:p>
    <w:p w14:paraId="09E38C2F" w14:textId="2944DBD7" w:rsidR="00112078" w:rsidRPr="007A682B" w:rsidRDefault="009B4AA7" w:rsidP="004816FA">
      <w:pPr>
        <w:rPr>
          <w:rFonts w:ascii="Arial" w:hAnsi="Arial" w:cs="Arial"/>
          <w:b/>
          <w:bCs/>
          <w:sz w:val="20"/>
          <w:szCs w:val="20"/>
        </w:rPr>
      </w:pPr>
      <w:r w:rsidRPr="007A682B">
        <w:rPr>
          <w:rFonts w:ascii="Arial" w:hAnsi="Arial" w:cs="Arial"/>
          <w:b/>
          <w:bCs/>
          <w:sz w:val="20"/>
          <w:szCs w:val="20"/>
        </w:rPr>
        <w:t>Intermediate RGCs Enter a Distinct State Characterized by Low Brain Aromatase Expression and High Neurogenic Activity</w:t>
      </w:r>
    </w:p>
    <w:p w14:paraId="7F65623E" w14:textId="25C04626" w:rsidR="009B4AA7" w:rsidRPr="007A682B" w:rsidRDefault="009B4AA7" w:rsidP="009B4AA7">
      <w:pPr>
        <w:ind w:firstLine="720"/>
        <w:rPr>
          <w:rFonts w:ascii="Arial" w:hAnsi="Arial" w:cs="Arial"/>
          <w:sz w:val="20"/>
          <w:szCs w:val="20"/>
        </w:rPr>
      </w:pPr>
      <w:r w:rsidRPr="007A682B">
        <w:rPr>
          <w:rFonts w:ascii="Arial" w:hAnsi="Arial" w:cs="Arial"/>
          <w:sz w:val="20"/>
          <w:szCs w:val="20"/>
        </w:rPr>
        <w:t xml:space="preserve">Sex change is associated with extensive changes in cell population and steroid hormone signaling in the brain, both of which are controlled by RGCs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{"citationID":"HiKP1KCv","properties":{"unsorted":false,"formattedCitation":"(24)","plainCitation":"(24)","noteIndex":0},"citationItems":[{"id":4149,"uris":["http://zotero.org/users/11313215/items/XBVTYWAC"],"itemData":{"id":4149,"type":"article-journal","abstract":"Sex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7A682B">
        <w:rPr>
          <w:rFonts w:ascii="Arial" w:hAnsi="Arial" w:cs="Arial"/>
          <w:sz w:val="20"/>
          <w:szCs w:val="20"/>
        </w:rPr>
        <w:fldChar w:fldCharType="separate"/>
      </w:r>
      <w:r w:rsidR="00304DDF">
        <w:rPr>
          <w:rFonts w:ascii="Arial" w:hAnsi="Arial" w:cs="Arial"/>
          <w:sz w:val="20"/>
          <w:szCs w:val="20"/>
        </w:rPr>
        <w:t>(24)</w:t>
      </w:r>
      <w:r w:rsidRPr="007A682B">
        <w:rPr>
          <w:rFonts w:ascii="Arial" w:hAnsi="Arial" w:cs="Arial"/>
          <w:sz w:val="20"/>
          <w:szCs w:val="20"/>
        </w:rPr>
        <w:fldChar w:fldCharType="end"/>
      </w:r>
      <w:r w:rsidRPr="007A682B">
        <w:rPr>
          <w:rFonts w:ascii="Arial" w:hAnsi="Arial" w:cs="Arial"/>
          <w:sz w:val="20"/>
          <w:szCs w:val="20"/>
        </w:rPr>
        <w:t xml:space="preserve">. Indeed, among all identified cell populations, cluster 1_RGC exhibited the second-highest number of DEGs and the greatest number of DARs. Thus, we next focused our analysis on cluster 1_RGC. </w:t>
      </w:r>
      <w:r w:rsidRPr="007A682B">
        <w:rPr>
          <w:rFonts w:ascii="Arial" w:hAnsi="Arial" w:cs="Arial"/>
          <w:sz w:val="20"/>
          <w:szCs w:val="20"/>
        </w:rPr>
        <w:tab/>
      </w:r>
    </w:p>
    <w:p w14:paraId="27C2623B" w14:textId="4604C26C" w:rsidR="00F00CD3" w:rsidRPr="007A682B" w:rsidRDefault="009B4AA7" w:rsidP="00704475">
      <w:pPr>
        <w:ind w:firstLine="720"/>
        <w:rPr>
          <w:rFonts w:ascii="Arial" w:hAnsi="Arial" w:cs="Arial"/>
          <w:sz w:val="20"/>
          <w:szCs w:val="20"/>
        </w:rPr>
      </w:pPr>
      <w:r w:rsidRPr="007A682B">
        <w:rPr>
          <w:rFonts w:ascii="Arial" w:hAnsi="Arial" w:cs="Arial"/>
          <w:sz w:val="20"/>
          <w:szCs w:val="20"/>
        </w:rPr>
        <w:t xml:space="preserve">Among the most </w:t>
      </w:r>
      <w:r w:rsidR="00704475" w:rsidRPr="007A682B">
        <w:rPr>
          <w:rFonts w:ascii="Arial" w:hAnsi="Arial" w:cs="Arial"/>
          <w:sz w:val="20"/>
          <w:szCs w:val="20"/>
        </w:rPr>
        <w:t>striking</w:t>
      </w:r>
      <w:r w:rsidRPr="007A682B">
        <w:rPr>
          <w:rFonts w:ascii="Arial" w:hAnsi="Arial" w:cs="Arial"/>
          <w:sz w:val="20"/>
          <w:szCs w:val="20"/>
        </w:rPr>
        <w:t xml:space="preserve"> changes in 1_RGC was transient </w:t>
      </w:r>
      <w:r w:rsidR="005311A9">
        <w:rPr>
          <w:rFonts w:ascii="Arial" w:hAnsi="Arial" w:cs="Arial"/>
          <w:sz w:val="20"/>
          <w:szCs w:val="20"/>
          <w:highlight w:val="yellow"/>
        </w:rPr>
        <w:t>42</w:t>
      </w:r>
      <w:r w:rsidR="00A367F6" w:rsidRPr="00A367F6">
        <w:rPr>
          <w:rFonts w:ascii="Arial" w:hAnsi="Arial" w:cs="Arial"/>
          <w:sz w:val="20"/>
          <w:szCs w:val="20"/>
          <w:highlight w:val="yellow"/>
        </w:rPr>
        <w:t>%</w:t>
      </w:r>
      <w:r w:rsidR="00A367F6">
        <w:rPr>
          <w:rFonts w:ascii="Arial" w:hAnsi="Arial" w:cs="Arial"/>
          <w:sz w:val="20"/>
          <w:szCs w:val="20"/>
        </w:rPr>
        <w:t xml:space="preserve"> </w:t>
      </w:r>
      <w:r w:rsidRPr="007A682B">
        <w:rPr>
          <w:rFonts w:ascii="Arial" w:hAnsi="Arial" w:cs="Arial"/>
          <w:sz w:val="20"/>
          <w:szCs w:val="20"/>
        </w:rPr>
        <w:t>downregulation of brain aromatase (</w:t>
      </w:r>
      <w:r w:rsidRPr="007A682B">
        <w:rPr>
          <w:rFonts w:ascii="Arial" w:hAnsi="Arial" w:cs="Arial"/>
          <w:i/>
          <w:iCs/>
          <w:sz w:val="20"/>
          <w:szCs w:val="20"/>
        </w:rPr>
        <w:t>cyp19a1b</w:t>
      </w:r>
      <w:r w:rsidR="00A367F6">
        <w:rPr>
          <w:rFonts w:ascii="Arial" w:hAnsi="Arial" w:cs="Arial"/>
          <w:i/>
          <w:iCs/>
          <w:sz w:val="20"/>
          <w:szCs w:val="20"/>
        </w:rPr>
        <w:t>,</w:t>
      </w:r>
      <w:r w:rsidR="00A367F6" w:rsidRPr="00A367F6">
        <w:rPr>
          <w:rFonts w:ascii="Arial" w:hAnsi="Arial" w:cs="Arial"/>
          <w:sz w:val="20"/>
          <w:szCs w:val="20"/>
        </w:rPr>
        <w:t xml:space="preserve"> </w:t>
      </w:r>
      <w:r w:rsidR="00A367F6" w:rsidRPr="00530E82">
        <w:rPr>
          <w:rFonts w:ascii="Arial" w:hAnsi="Arial" w:cs="Arial"/>
          <w:sz w:val="20"/>
          <w:szCs w:val="20"/>
        </w:rPr>
        <w:t>χ</w:t>
      </w:r>
      <w:r w:rsidR="00A367F6">
        <w:rPr>
          <w:rFonts w:ascii="Arial" w:hAnsi="Arial" w:cs="Arial"/>
          <w:sz w:val="20"/>
          <w:szCs w:val="20"/>
          <w:vertAlign w:val="superscript"/>
        </w:rPr>
        <w:t>2</w:t>
      </w:r>
      <w:r w:rsidR="00A367F6">
        <w:rPr>
          <w:rFonts w:ascii="Arial" w:hAnsi="Arial" w:cs="Arial"/>
          <w:sz w:val="20"/>
          <w:szCs w:val="20"/>
        </w:rPr>
        <w:t>(2</w:t>
      </w:r>
      <w:r w:rsidR="00A367F6" w:rsidRPr="007A682B">
        <w:rPr>
          <w:rFonts w:ascii="Arial" w:hAnsi="Arial" w:cs="Arial"/>
          <w:sz w:val="20"/>
          <w:szCs w:val="20"/>
        </w:rPr>
        <w:t>)</w:t>
      </w:r>
      <w:r w:rsidR="00A367F6">
        <w:rPr>
          <w:rFonts w:ascii="Arial" w:hAnsi="Arial" w:cs="Arial"/>
          <w:sz w:val="20"/>
          <w:szCs w:val="20"/>
        </w:rPr>
        <w:t xml:space="preserve"> = 2</w:t>
      </w:r>
      <w:r w:rsidR="00861E9A">
        <w:rPr>
          <w:rFonts w:ascii="Arial" w:hAnsi="Arial" w:cs="Arial"/>
          <w:sz w:val="20"/>
          <w:szCs w:val="20"/>
        </w:rPr>
        <w:t>3.401</w:t>
      </w:r>
      <w:r w:rsidR="00A367F6">
        <w:rPr>
          <w:rFonts w:ascii="Arial" w:hAnsi="Arial" w:cs="Arial"/>
          <w:sz w:val="20"/>
          <w:szCs w:val="20"/>
        </w:rPr>
        <w:t xml:space="preserve">, </w:t>
      </w:r>
      <w:r w:rsidR="00A367F6">
        <w:rPr>
          <w:rFonts w:ascii="Arial" w:hAnsi="Arial" w:cs="Arial"/>
          <w:i/>
          <w:iCs/>
          <w:sz w:val="20"/>
          <w:szCs w:val="20"/>
        </w:rPr>
        <w:t>q</w:t>
      </w:r>
      <w:r w:rsidR="00A367F6">
        <w:rPr>
          <w:rFonts w:ascii="Arial" w:hAnsi="Arial" w:cs="Arial"/>
          <w:sz w:val="20"/>
          <w:szCs w:val="20"/>
        </w:rPr>
        <w:t xml:space="preserve"> </w:t>
      </w:r>
      <w:r w:rsidR="00861E9A">
        <w:rPr>
          <w:rFonts w:ascii="Arial" w:hAnsi="Arial" w:cs="Arial"/>
          <w:sz w:val="20"/>
          <w:szCs w:val="20"/>
        </w:rPr>
        <w:t>&lt; 0.001</w:t>
      </w:r>
      <w:r w:rsidRPr="007A682B">
        <w:rPr>
          <w:rFonts w:ascii="Arial" w:hAnsi="Arial" w:cs="Arial"/>
          <w:sz w:val="20"/>
          <w:szCs w:val="20"/>
        </w:rPr>
        <w:t xml:space="preserve">), the enzyme responsible for converting androgens to estrogens in the teleost brain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{"citationID":"dttOgGbo","properties":{"unsorted":false,"formattedCitation":"(24)","plainCitation":"(24)","noteIndex":0},"citationItems":[{"id":4149,"uris":["http://zotero.org/users/11313215/items/XBVTYWAC"],"itemData":{"id":4149,"type":"article-journal","abstract":"Sex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7A682B">
        <w:rPr>
          <w:rFonts w:ascii="Arial" w:hAnsi="Arial" w:cs="Arial"/>
          <w:sz w:val="20"/>
          <w:szCs w:val="20"/>
        </w:rPr>
        <w:fldChar w:fldCharType="separate"/>
      </w:r>
      <w:r w:rsidR="00304DDF">
        <w:rPr>
          <w:rFonts w:ascii="Arial" w:hAnsi="Arial" w:cs="Arial"/>
          <w:sz w:val="20"/>
          <w:szCs w:val="20"/>
        </w:rPr>
        <w:t>(24)</w:t>
      </w:r>
      <w:r w:rsidRPr="007A682B">
        <w:rPr>
          <w:rFonts w:ascii="Arial" w:hAnsi="Arial" w:cs="Arial"/>
          <w:sz w:val="20"/>
          <w:szCs w:val="20"/>
        </w:rPr>
        <w:fldChar w:fldCharType="end"/>
      </w:r>
      <w:r w:rsidRPr="007A682B">
        <w:rPr>
          <w:rFonts w:ascii="Arial" w:hAnsi="Arial" w:cs="Arial"/>
          <w:sz w:val="20"/>
          <w:szCs w:val="20"/>
        </w:rPr>
        <w:t xml:space="preserve">. Expression of </w:t>
      </w:r>
      <w:r w:rsidRPr="007A682B">
        <w:rPr>
          <w:rFonts w:ascii="Arial" w:hAnsi="Arial" w:cs="Arial"/>
          <w:i/>
          <w:iCs/>
          <w:sz w:val="20"/>
          <w:szCs w:val="20"/>
        </w:rPr>
        <w:t>cyp19a1b</w:t>
      </w:r>
      <w:r w:rsidRPr="007A682B">
        <w:rPr>
          <w:rFonts w:ascii="Arial" w:hAnsi="Arial" w:cs="Arial"/>
          <w:sz w:val="20"/>
          <w:szCs w:val="20"/>
        </w:rPr>
        <w:t xml:space="preserve"> was significantly reduced in </w:t>
      </w:r>
      <w:r w:rsidR="00543744">
        <w:rPr>
          <w:rFonts w:ascii="Arial" w:hAnsi="Arial" w:cs="Arial"/>
          <w:sz w:val="20"/>
          <w:szCs w:val="20"/>
        </w:rPr>
        <w:t>I</w:t>
      </w:r>
      <w:r w:rsidRPr="007A682B">
        <w:rPr>
          <w:rFonts w:ascii="Arial" w:hAnsi="Arial" w:cs="Arial"/>
          <w:sz w:val="20"/>
          <w:szCs w:val="20"/>
        </w:rPr>
        <w:t xml:space="preserve">ntermediates </w:t>
      </w:r>
      <w:r w:rsidRPr="007A682B">
        <w:rPr>
          <w:rFonts w:ascii="Arial" w:hAnsi="Arial" w:cs="Arial"/>
          <w:sz w:val="20"/>
          <w:szCs w:val="20"/>
        </w:rPr>
        <w:lastRenderedPageBreak/>
        <w:t xml:space="preserve">relative to both </w:t>
      </w:r>
      <w:r w:rsidR="00543744">
        <w:rPr>
          <w:rFonts w:ascii="Arial" w:hAnsi="Arial" w:cs="Arial"/>
          <w:sz w:val="20"/>
          <w:szCs w:val="20"/>
        </w:rPr>
        <w:t>M</w:t>
      </w:r>
      <w:r w:rsidRPr="007A682B">
        <w:rPr>
          <w:rFonts w:ascii="Arial" w:hAnsi="Arial" w:cs="Arial"/>
          <w:sz w:val="20"/>
          <w:szCs w:val="20"/>
        </w:rPr>
        <w:t xml:space="preserve">ales and </w:t>
      </w:r>
      <w:r w:rsidR="00543744">
        <w:rPr>
          <w:rFonts w:ascii="Arial" w:hAnsi="Arial" w:cs="Arial"/>
          <w:sz w:val="20"/>
          <w:szCs w:val="20"/>
        </w:rPr>
        <w:t>F</w:t>
      </w:r>
      <w:r w:rsidRPr="007A682B">
        <w:rPr>
          <w:rFonts w:ascii="Arial" w:hAnsi="Arial" w:cs="Arial"/>
          <w:sz w:val="20"/>
          <w:szCs w:val="20"/>
        </w:rPr>
        <w:t xml:space="preserve">emales, whereas </w:t>
      </w:r>
      <w:r w:rsidR="00543744">
        <w:rPr>
          <w:rFonts w:ascii="Arial" w:hAnsi="Arial" w:cs="Arial"/>
          <w:sz w:val="20"/>
          <w:szCs w:val="20"/>
        </w:rPr>
        <w:t>M</w:t>
      </w:r>
      <w:r w:rsidRPr="007A682B">
        <w:rPr>
          <w:rFonts w:ascii="Arial" w:hAnsi="Arial" w:cs="Arial"/>
          <w:sz w:val="20"/>
          <w:szCs w:val="20"/>
        </w:rPr>
        <w:t xml:space="preserve">ales and </w:t>
      </w:r>
      <w:r w:rsidR="00543744">
        <w:rPr>
          <w:rFonts w:ascii="Arial" w:hAnsi="Arial" w:cs="Arial"/>
          <w:sz w:val="20"/>
          <w:szCs w:val="20"/>
        </w:rPr>
        <w:t>F</w:t>
      </w:r>
      <w:r w:rsidRPr="007A682B">
        <w:rPr>
          <w:rFonts w:ascii="Arial" w:hAnsi="Arial" w:cs="Arial"/>
          <w:sz w:val="20"/>
          <w:szCs w:val="20"/>
        </w:rPr>
        <w:t>emales did not differ (</w:t>
      </w:r>
      <w:r w:rsidRPr="007A682B">
        <w:rPr>
          <w:rFonts w:ascii="Arial" w:hAnsi="Arial" w:cs="Arial"/>
          <w:sz w:val="20"/>
          <w:szCs w:val="20"/>
          <w:highlight w:val="yellow"/>
        </w:rPr>
        <w:t>Fig. 4A</w:t>
      </w:r>
      <w:r w:rsidR="00704475" w:rsidRPr="007A682B">
        <w:rPr>
          <w:rFonts w:ascii="Arial" w:hAnsi="Arial" w:cs="Arial"/>
          <w:sz w:val="20"/>
          <w:szCs w:val="20"/>
        </w:rPr>
        <w:t>, Appendix S1</w:t>
      </w:r>
      <w:r w:rsidRPr="007A682B">
        <w:rPr>
          <w:rFonts w:ascii="Arial" w:hAnsi="Arial" w:cs="Arial"/>
          <w:sz w:val="20"/>
          <w:szCs w:val="20"/>
        </w:rPr>
        <w:t xml:space="preserve">). </w:t>
      </w:r>
      <w:r w:rsidR="00704475" w:rsidRPr="007A682B">
        <w:rPr>
          <w:rFonts w:ascii="Arial" w:hAnsi="Arial" w:cs="Arial"/>
          <w:sz w:val="20"/>
          <w:szCs w:val="20"/>
        </w:rPr>
        <w:t>Beyond modulating the estrogenic environment,</w:t>
      </w:r>
      <w:r w:rsidR="0023174B">
        <w:rPr>
          <w:rFonts w:ascii="Arial" w:hAnsi="Arial" w:cs="Arial"/>
          <w:sz w:val="20"/>
          <w:szCs w:val="20"/>
        </w:rPr>
        <w:t xml:space="preserve"> </w:t>
      </w:r>
      <w:r w:rsidRPr="007A682B">
        <w:rPr>
          <w:rFonts w:ascii="Arial" w:hAnsi="Arial" w:cs="Arial"/>
          <w:sz w:val="20"/>
          <w:szCs w:val="20"/>
        </w:rPr>
        <w:t xml:space="preserve">it has been reported that </w:t>
      </w:r>
      <w:r w:rsidR="00704475" w:rsidRPr="007A682B">
        <w:rPr>
          <w:rFonts w:ascii="Arial" w:hAnsi="Arial" w:cs="Arial"/>
          <w:sz w:val="20"/>
          <w:szCs w:val="20"/>
        </w:rPr>
        <w:t>during neurogenesis following lesion to the telencephalon</w:t>
      </w:r>
      <w:r w:rsidR="007407FC">
        <w:rPr>
          <w:rFonts w:ascii="Arial" w:hAnsi="Arial" w:cs="Arial"/>
          <w:sz w:val="20"/>
          <w:szCs w:val="20"/>
        </w:rPr>
        <w:t xml:space="preserve"> </w:t>
      </w:r>
      <w:r w:rsidR="0023174B">
        <w:rPr>
          <w:rFonts w:ascii="Arial" w:hAnsi="Arial" w:cs="Arial"/>
          <w:sz w:val="20"/>
          <w:szCs w:val="20"/>
        </w:rPr>
        <w:t>of zebrafish</w:t>
      </w:r>
      <w:r w:rsidR="00704475" w:rsidRPr="007A682B">
        <w:rPr>
          <w:rFonts w:ascii="Arial" w:hAnsi="Arial" w:cs="Arial"/>
          <w:sz w:val="20"/>
          <w:szCs w:val="20"/>
        </w:rPr>
        <w:t xml:space="preserve">, RGCs downregulate </w:t>
      </w:r>
      <w:r w:rsidR="00704475" w:rsidRPr="007A682B">
        <w:rPr>
          <w:rFonts w:ascii="Arial" w:hAnsi="Arial" w:cs="Arial"/>
          <w:i/>
          <w:iCs/>
          <w:sz w:val="20"/>
          <w:szCs w:val="20"/>
        </w:rPr>
        <w:t>cyp19a1b</w:t>
      </w:r>
      <w:r w:rsidR="00704475" w:rsidRPr="007A682B">
        <w:rPr>
          <w:rFonts w:ascii="Arial" w:hAnsi="Arial" w:cs="Arial"/>
          <w:sz w:val="20"/>
          <w:szCs w:val="20"/>
        </w:rPr>
        <w:t xml:space="preserve"> expression and brain aromatase protein production </w:t>
      </w:r>
      <w:r w:rsidR="00704475"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{"citationID":"BmAYD4M9","properties":{"unsorted":false,"formattedCitation":"(25)","plainCitation":"(25)","noteIndex":0},"citationItems":[{"id":5843,"uris":["http://zotero.org/users/11313215/items/FI8565AV"],"itemData":{"id":5843,"type":"article-journal","abstract":"This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instrText>
      </w:r>
      <w:r w:rsidR="00704475" w:rsidRPr="007A682B">
        <w:rPr>
          <w:rFonts w:ascii="Arial" w:hAnsi="Arial" w:cs="Arial"/>
          <w:sz w:val="20"/>
          <w:szCs w:val="20"/>
        </w:rPr>
        <w:fldChar w:fldCharType="separate"/>
      </w:r>
      <w:r w:rsidR="00304DDF">
        <w:rPr>
          <w:rFonts w:ascii="Arial" w:hAnsi="Arial" w:cs="Arial"/>
          <w:noProof/>
          <w:sz w:val="20"/>
          <w:szCs w:val="20"/>
        </w:rPr>
        <w:t>(25)</w:t>
      </w:r>
      <w:r w:rsidR="00704475" w:rsidRPr="007A682B">
        <w:rPr>
          <w:rFonts w:ascii="Arial" w:hAnsi="Arial" w:cs="Arial"/>
          <w:sz w:val="20"/>
          <w:szCs w:val="20"/>
        </w:rPr>
        <w:fldChar w:fldCharType="end"/>
      </w:r>
      <w:r w:rsidR="00704475" w:rsidRPr="007A682B">
        <w:rPr>
          <w:rFonts w:ascii="Arial" w:hAnsi="Arial" w:cs="Arial"/>
          <w:sz w:val="20"/>
          <w:szCs w:val="20"/>
        </w:rPr>
        <w:t xml:space="preserve">. Consistent with this, the single largest group of DEGs in 1_RGC </w:t>
      </w:r>
      <w:r w:rsidR="00F00CD3" w:rsidRPr="007A682B">
        <w:rPr>
          <w:rFonts w:ascii="Arial" w:hAnsi="Arial" w:cs="Arial"/>
          <w:sz w:val="20"/>
          <w:szCs w:val="20"/>
        </w:rPr>
        <w:t xml:space="preserve">were transcription </w:t>
      </w:r>
      <w:r w:rsidR="00704475" w:rsidRPr="007A682B">
        <w:rPr>
          <w:rFonts w:ascii="Arial" w:hAnsi="Arial" w:cs="Arial"/>
          <w:sz w:val="20"/>
          <w:szCs w:val="20"/>
        </w:rPr>
        <w:t>factors known</w:t>
      </w:r>
      <w:r w:rsidR="00F00CD3" w:rsidRPr="007A682B">
        <w:rPr>
          <w:rFonts w:ascii="Arial" w:hAnsi="Arial" w:cs="Arial"/>
          <w:sz w:val="20"/>
          <w:szCs w:val="20"/>
        </w:rPr>
        <w:t xml:space="preserve"> to play roles in neuro- and </w:t>
      </w:r>
      <w:r w:rsidR="00704475" w:rsidRPr="007A682B">
        <w:rPr>
          <w:rFonts w:ascii="Arial" w:hAnsi="Arial" w:cs="Arial"/>
          <w:sz w:val="20"/>
          <w:szCs w:val="20"/>
        </w:rPr>
        <w:t>gliogeneiss. Further, we detected several</w:t>
      </w:r>
      <w:r w:rsidR="00F00CD3" w:rsidRPr="007A682B">
        <w:rPr>
          <w:rFonts w:ascii="Arial" w:hAnsi="Arial" w:cs="Arial"/>
          <w:sz w:val="20"/>
          <w:szCs w:val="20"/>
        </w:rPr>
        <w:t xml:space="preserve"> </w:t>
      </w:r>
      <w:r w:rsidR="00704475" w:rsidRPr="007A682B">
        <w:rPr>
          <w:rFonts w:ascii="Arial" w:hAnsi="Arial" w:cs="Arial"/>
          <w:sz w:val="20"/>
          <w:szCs w:val="20"/>
        </w:rPr>
        <w:t xml:space="preserve">DEGs </w:t>
      </w:r>
      <w:r w:rsidR="00F00CD3" w:rsidRPr="007A682B">
        <w:rPr>
          <w:rFonts w:ascii="Arial" w:hAnsi="Arial" w:cs="Arial"/>
          <w:sz w:val="20"/>
          <w:szCs w:val="20"/>
        </w:rPr>
        <w:t xml:space="preserve">related to </w:t>
      </w:r>
      <w:r w:rsidR="00170D0A" w:rsidRPr="007A682B">
        <w:rPr>
          <w:rFonts w:ascii="Arial" w:hAnsi="Arial" w:cs="Arial"/>
          <w:sz w:val="20"/>
          <w:szCs w:val="20"/>
        </w:rPr>
        <w:t>epigen</w:t>
      </w:r>
      <w:r w:rsidR="00543744">
        <w:rPr>
          <w:rFonts w:ascii="Arial" w:hAnsi="Arial" w:cs="Arial"/>
          <w:sz w:val="20"/>
          <w:szCs w:val="20"/>
        </w:rPr>
        <w:t>etic regulation</w:t>
      </w:r>
      <w:r w:rsidR="00170D0A" w:rsidRPr="007A682B">
        <w:rPr>
          <w:rFonts w:ascii="Arial" w:hAnsi="Arial" w:cs="Arial"/>
          <w:sz w:val="20"/>
          <w:szCs w:val="20"/>
        </w:rPr>
        <w:t xml:space="preserve"> </w:t>
      </w:r>
      <w:r w:rsidR="00170D0A"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ZqkW7bTl","properties":{"unsorted":false,"formattedCitation":"(26\\uc0\\u8211{}33)","plainCitation":"(26–33)","noteIndex":0},"citationItems":[{"id":5354,"uris":["http://zotero.org/users/11313215/items/M97TK2BY"],"itemData":{"id":5354,"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R."},{"family":"Ericson","given":"J."}],"issued":{"date-parts":[["1999",4]]}}},{"id":5340,"uris":["http://zotero.org/users/11313215/items/AYTFI9LD"],"itemData":{"id":5340,"type":"article-journal","abstract":"Approximately 20,000 genes are encoded in our genome, one tenth of which are thought to be transcription factors. Considering the complexity and variety of cell types generated during development, many transcription factors likely play multiple roles. Uncovering the versatile roles of Sox6 in vertebrate development sheds some light on how an organism efficiently utilizes the limited resources of transcription factors. The structure of the Sox6 gene itself may dictate its functional versatility. First, Sox6 contains no known regulatory domains; instead, it utilizes various cofactors. Second, Sox6 has a long 3′-UTR that contains multiple microRNA targets, thus its protein level is duly adjusted by cell type–specific microRNAs. Just combining these two characteristics alone makes Sox6 extremely versatile. To date, Sox6 has been reported to regulate differentiation of tissues of mesoderm, ectoderm, and endoderm origins, making Sox6 a truly multifaceted transcription factor. Developmental Dynamics 240:1311–1321, 2011. © 2011 Wiley-Liss, Inc.","container-title":"Developmental Dynamics","DOI":"10.1002/dvdy.22639","ISSN":"1097-0177","issue":"6","language":"en","license":"Copyright © 2011 Wiley-Liss, Inc.","note":"_eprint: https://anatomypubs.onlinelibrary.wiley.com/doi/pdf/10.1002/dvdy.22639","page":"1311-1321","source":"Wiley Online Library","title":"Sox6, jack of all trades: A versatile regulatory protein in vertebrate development","title-short":"Sox6, jack of all trades","volume":"240","author":[{"family":"Hagiwara","given":"Nobuko"}],"issued":{"date-parts":[["2011"]]}}},{"id":5347,"uris":["http://zotero.org/users/11313215/items/DI5V26B3"],"itemData":{"id":5347,"type":"article-journal","abstract":"FOXP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G."},{"family":"Konopka","given":"Genevieve"}],"issued":{"date-parts":[["2020"]]}}},{"id":5800,"uris":["http://zotero.org/users/11313215/items/632PT6KR"],"itemData":{"id":5800,"type":"article-journal","abstract":"In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J"}],"issued":{"date-parts":[["2017",10,1]]}}},{"id":5388,"uris":["http://zotero.org/users/11313215/items/ZZD8N5VK"],"itemData":{"id":5388,"type":"article-journal","abstract":"Background\nThe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T"},{"family":"Wu","given":"Shu-Yu"}],"issued":{"date-parts":[["2014",9,12]]}}},{"id":6624,"uris":["http://zotero.org/users/11313215/items/6AFH9TPM"],"itemData":{"id":6624,"type":"article-journal","abstract":"HOX transcription factors and their cofactors, MEINOX, are critical regulators of positional identity and cellular plasticity. While their functions are essential during embryonic development, they also play key roles in maintaining adult tissue homeostasis. Dysregulation of HOX and MEINOX has been implicated in the pathogenesis of various diseases, including fibrosis and cancer. This review explores the contributions of HOX and MEINOX to dedifferentiation and cellular reprogramming, processes that drive fibrotic disease onset and cancer progression. It also addresses their role in extracellular matrix remodeling in these conditions. Particular attention is given to their involvement in epithelial-mesenchymal transition, where altered HOX and MEINOX expression promotes phenotypic plasticity, cancer invasiveness, and fibrotic tissue remodeling. By integrating these perspectives, this review underscores the significance of HOX-MEINOX dysregulation and altered positional identity in disease progression. Targeting this dysregulation may offer innovative strategies to modulate epithelial-mesenchymal transition and extracellular matrix dynamics, presenting new therapeutic opportunities for combating fibrosis and cancer.","container-title":"World Journal of Stem Cells","DOI":"10.4252/wjsc.v17.i9.109102","ISSN":"1948-0210","issue":"9","journalAbbreviation":"World J Stem Cells","page":"109102","PMID":"41025109","PMCID":"PMC12476820","source":"PubMed Central","title":"HOX and MEINOX in cellular plasticity, fibrosis, and cancer","volume":"17","author":[{"family":"Keleş","given":"Mustafa"},{"family":"Gunel-Ozcan","given":"Aysen"}],"issued":{"date-parts":[["2025",9,26]]}}},{"id":6627,"uris":["http://zotero.org/users/11313215/items/2BS69WTB"],"itemData":{"id":6627,"type":"article-journal","abstract":"The Polycomb repressive complex 2 (PRC2) is an essential chromatin regulatory complex involved in repressing the transcription of diverse developmental genes. PRC2 consists of a core complex; possessing H3K27 methyltransferase activity and various associated factors that are important to modulate its function. During evolution, the composition of PRC2 and the functionality of PRC2 components have changed considerably. Here, we compare the PRC2 complex members of Drosophila and mammals and describe their adaptation to altered biological needs. We also highlight how the PRC2.1 subcomplex has gained multiple novel functions and discuss the implications of these changes for the function of PRC2 in chromatin regulation.","container-title":"Epigenetics &amp; Chromatin","DOI":"10.1186/s13072-022-00439-6","ISSN":"1756-8935","issue":"1","journalAbbreviation":"Epigenetics &amp; Chromatin","language":"en","page":"7","source":"Springer Link","title":"Evolutionary adaptation of the Polycomb repressive complex 2","volume":"15","author":[{"family":"Fischer","given":"Sabrina"},{"family":"Weber","given":"Lisa Marie"},{"family":"Liefke","given":"Robert"}],"issued":{"date-parts":[["2022",2,22]]}}},{"id":6631,"uris":["http://zotero.org/users/11313215/items/HIPV67BP"],"itemData":{"id":6631,"type":"article-journal","abstract":"Cytosine DNA methylation is widespread in animal genomes and occurs predominantly at CG dinucleotides (mCG). While the roles of mCG, such as in genomic imprinting and genome stability, are well established, non-CG DNA methylation (mCH) remains poorly understood. In most vertebrate tissues, roughly 80% of CGs are methylated, whereas mCH levels are generally low, typically ranging from 1% to 3%. In vertebrates, mCH is most prevalent in neural tissue, oocytes and embryonic stem cells and has been linked to neurodevelopmental disorders. Moreover, mCH appears to have a conserved role in regulating vertebrate neural genomes, and recent studies suggest that it has functions in the embryogenesis of teleost fish. Overall, mCH represents an intriguing emerging aspect of gene regulation with potential implications for cellular identity, repeat silencing and neural function. In this Review, we provide a critical overview of the patterning, mechanisms and functional implications of mCH in animals.","container-title":"Nature Genetics","DOI":"10.1038/s41588-025-02303-1","ISSN":"1546-1718","issue":"10","journalAbbreviation":"Nat Genet","language":"en","license":"2025 Springer Nature America, Inc.","page":"2395-2407","publisher":"Nature Publishing Group","source":"www.nature.com","title":"Non-CG DNA methylation in animal genomes","volume":"57","author":[{"family":"Brethouwer","given":"Thirsa"},{"family":"Mendoza","given":"Alex","non-dropping-particle":"de"},{"family":"Bogdanovic","given":"Ozren"}],"issued":{"date-parts":[["2025",10]]}}}],"schema":"https://github.com/citation-style-language/schema/raw/master/csl-citation.json"} </w:instrText>
      </w:r>
      <w:r w:rsidR="00170D0A" w:rsidRPr="007A682B">
        <w:rPr>
          <w:rFonts w:ascii="Arial" w:hAnsi="Arial" w:cs="Arial"/>
          <w:sz w:val="20"/>
          <w:szCs w:val="20"/>
        </w:rPr>
        <w:fldChar w:fldCharType="separate"/>
      </w:r>
      <w:r w:rsidR="00304DDF" w:rsidRPr="00304DDF">
        <w:rPr>
          <w:rFonts w:ascii="Arial" w:hAnsi="Arial" w:cs="Arial"/>
          <w:color w:val="000000"/>
          <w:kern w:val="0"/>
          <w:sz w:val="20"/>
          <w:szCs w:val="24"/>
        </w:rPr>
        <w:t>(26–33)</w:t>
      </w:r>
      <w:r w:rsidR="00170D0A" w:rsidRPr="007A682B">
        <w:rPr>
          <w:rFonts w:ascii="Arial" w:hAnsi="Arial" w:cs="Arial"/>
          <w:sz w:val="20"/>
          <w:szCs w:val="20"/>
        </w:rPr>
        <w:fldChar w:fldCharType="end"/>
      </w:r>
      <w:r w:rsidR="00120EF9" w:rsidRPr="007A682B">
        <w:rPr>
          <w:rFonts w:ascii="Arial" w:hAnsi="Arial" w:cs="Arial"/>
          <w:sz w:val="20"/>
          <w:szCs w:val="20"/>
        </w:rPr>
        <w:t xml:space="preserve"> </w:t>
      </w:r>
      <w:r w:rsidR="00F00CD3" w:rsidRPr="007A682B">
        <w:rPr>
          <w:rFonts w:ascii="Arial" w:hAnsi="Arial" w:cs="Arial"/>
          <w:sz w:val="20"/>
          <w:szCs w:val="20"/>
        </w:rPr>
        <w:t>(</w:t>
      </w:r>
      <w:r w:rsidR="00F00CD3" w:rsidRPr="007A682B">
        <w:rPr>
          <w:rFonts w:ascii="Arial" w:hAnsi="Arial" w:cs="Arial"/>
          <w:sz w:val="20"/>
          <w:szCs w:val="20"/>
          <w:highlight w:val="yellow"/>
        </w:rPr>
        <w:t>Fig. 4</w:t>
      </w:r>
      <w:r w:rsidR="00A802D8" w:rsidRPr="007A682B">
        <w:rPr>
          <w:rFonts w:ascii="Arial" w:hAnsi="Arial" w:cs="Arial"/>
          <w:sz w:val="20"/>
          <w:szCs w:val="20"/>
          <w:highlight w:val="yellow"/>
        </w:rPr>
        <w:t>B</w:t>
      </w:r>
      <w:r w:rsidR="00F00CD3" w:rsidRPr="007A682B">
        <w:rPr>
          <w:rFonts w:ascii="Arial" w:hAnsi="Arial" w:cs="Arial"/>
          <w:sz w:val="20"/>
          <w:szCs w:val="20"/>
        </w:rPr>
        <w:t xml:space="preserve">). </w:t>
      </w:r>
      <w:r w:rsidR="00704475" w:rsidRPr="007A682B">
        <w:rPr>
          <w:rFonts w:ascii="Arial" w:hAnsi="Arial" w:cs="Arial"/>
          <w:sz w:val="20"/>
          <w:szCs w:val="20"/>
        </w:rPr>
        <w:t>Consistent with epigenomic remodeling occurring in 1_RGC</w:t>
      </w:r>
      <w:r w:rsidR="00F00CD3" w:rsidRPr="007A682B">
        <w:rPr>
          <w:rFonts w:ascii="Arial" w:hAnsi="Arial" w:cs="Arial"/>
          <w:sz w:val="20"/>
          <w:szCs w:val="20"/>
        </w:rPr>
        <w:t>, our DAR analysis in 1_RGC detected differences in several transcription factors and cell adhesion proteins (</w:t>
      </w:r>
      <w:r w:rsidR="00F00CD3" w:rsidRPr="007A682B">
        <w:rPr>
          <w:rFonts w:ascii="Arial" w:hAnsi="Arial" w:cs="Arial"/>
          <w:sz w:val="20"/>
          <w:szCs w:val="20"/>
          <w:highlight w:val="yellow"/>
        </w:rPr>
        <w:t>Fig. S</w:t>
      </w:r>
      <w:r w:rsidR="00376C7F" w:rsidRPr="007A682B">
        <w:rPr>
          <w:rFonts w:ascii="Arial" w:hAnsi="Arial" w:cs="Arial"/>
          <w:sz w:val="20"/>
          <w:szCs w:val="20"/>
          <w:highlight w:val="yellow"/>
        </w:rPr>
        <w:t>7</w:t>
      </w:r>
      <w:r w:rsidR="00F00CD3" w:rsidRPr="007A682B">
        <w:rPr>
          <w:rFonts w:ascii="Arial" w:hAnsi="Arial" w:cs="Arial"/>
          <w:sz w:val="20"/>
          <w:szCs w:val="20"/>
        </w:rPr>
        <w:t xml:space="preserve">). </w:t>
      </w:r>
      <w:r w:rsidR="00704475" w:rsidRPr="007A682B">
        <w:rPr>
          <w:rFonts w:ascii="Arial" w:hAnsi="Arial" w:cs="Arial"/>
          <w:sz w:val="20"/>
          <w:szCs w:val="20"/>
        </w:rPr>
        <w:t>We</w:t>
      </w:r>
      <w:r w:rsidR="00F00CD3" w:rsidRPr="007A682B">
        <w:rPr>
          <w:rFonts w:ascii="Arial" w:hAnsi="Arial" w:cs="Arial"/>
          <w:sz w:val="20"/>
          <w:szCs w:val="20"/>
        </w:rPr>
        <w:t xml:space="preserve"> next examined how </w:t>
      </w:r>
      <w:r w:rsidR="00F84539" w:rsidRPr="007A682B">
        <w:rPr>
          <w:rFonts w:ascii="Arial" w:hAnsi="Arial" w:cs="Arial"/>
          <w:sz w:val="20"/>
          <w:szCs w:val="20"/>
        </w:rPr>
        <w:t xml:space="preserve">the neurogenic state of 1_RGC </w:t>
      </w:r>
      <w:r w:rsidR="00F00CD3" w:rsidRPr="007A682B">
        <w:rPr>
          <w:rFonts w:ascii="Arial" w:hAnsi="Arial" w:cs="Arial"/>
          <w:sz w:val="20"/>
          <w:szCs w:val="20"/>
        </w:rPr>
        <w:t>changed over the course of sex change. Because RGCs are a heterogenous cell type, we subclustered 1_RGC into 4 subclusters (</w:t>
      </w:r>
      <w:r w:rsidR="00F00CD3" w:rsidRPr="007A682B">
        <w:rPr>
          <w:rFonts w:ascii="Arial" w:hAnsi="Arial" w:cs="Arial"/>
          <w:sz w:val="20"/>
          <w:szCs w:val="20"/>
          <w:highlight w:val="yellow"/>
        </w:rPr>
        <w:t>Fig. 4</w:t>
      </w:r>
      <w:r w:rsidR="00A802D8" w:rsidRPr="007A682B">
        <w:rPr>
          <w:rFonts w:ascii="Arial" w:hAnsi="Arial" w:cs="Arial"/>
          <w:sz w:val="20"/>
          <w:szCs w:val="20"/>
          <w:highlight w:val="yellow"/>
        </w:rPr>
        <w:t>C</w:t>
      </w:r>
      <w:r w:rsidR="00F00CD3" w:rsidRPr="007A682B">
        <w:rPr>
          <w:rFonts w:ascii="Arial" w:hAnsi="Arial" w:cs="Arial"/>
          <w:sz w:val="20"/>
          <w:szCs w:val="20"/>
        </w:rPr>
        <w:t>). Analysis of marker genes paired with CytoTRACE, a tool that infers cellular immaturity</w:t>
      </w:r>
      <w:r w:rsidR="00D770B1" w:rsidRPr="007A682B">
        <w:rPr>
          <w:rFonts w:ascii="Arial" w:hAnsi="Arial" w:cs="Arial"/>
          <w:sz w:val="20"/>
          <w:szCs w:val="20"/>
        </w:rPr>
        <w:t xml:space="preserve"> </w:t>
      </w:r>
      <w:r w:rsidR="00F00CD3"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{"citationID":"OTJvsLJ2","properties":{"unsorted":false,"formattedCitation":"(34)","plainCitation":"(34)","noteIndex":0},"citationItems":[{"id":5714,"uris":["http://zotero.org/users/11313215/items/MEV7TCRJ"],"itemData":{"id":5714,"type":"article-journal","abstract":"Single-cell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00F00CD3" w:rsidRPr="007A682B">
        <w:rPr>
          <w:rFonts w:ascii="Arial" w:hAnsi="Arial" w:cs="Arial"/>
          <w:sz w:val="20"/>
          <w:szCs w:val="20"/>
        </w:rPr>
        <w:fldChar w:fldCharType="separate"/>
      </w:r>
      <w:r w:rsidR="00304DDF">
        <w:rPr>
          <w:rFonts w:ascii="Arial" w:hAnsi="Arial" w:cs="Arial"/>
          <w:sz w:val="20"/>
          <w:szCs w:val="20"/>
        </w:rPr>
        <w:t>(34)</w:t>
      </w:r>
      <w:r w:rsidR="00F00CD3" w:rsidRPr="007A682B">
        <w:rPr>
          <w:rFonts w:ascii="Arial" w:hAnsi="Arial" w:cs="Arial"/>
          <w:sz w:val="20"/>
          <w:szCs w:val="20"/>
        </w:rPr>
        <w:fldChar w:fldCharType="end"/>
      </w:r>
      <w:r w:rsidR="00F00CD3" w:rsidRPr="007A682B">
        <w:rPr>
          <w:rFonts w:ascii="Arial" w:hAnsi="Arial" w:cs="Arial"/>
          <w:sz w:val="20"/>
          <w:szCs w:val="20"/>
        </w:rPr>
        <w:t xml:space="preserve"> revealed a neural stem cell (NSC) population (1_NSC), a neural progenitor (NP) population (1_NP), as well as </w:t>
      </w:r>
      <w:r w:rsidR="00F00CD3" w:rsidRPr="007A682B">
        <w:rPr>
          <w:rFonts w:ascii="Arial" w:hAnsi="Arial" w:cs="Arial"/>
          <w:i/>
          <w:iCs/>
          <w:sz w:val="20"/>
          <w:szCs w:val="20"/>
        </w:rPr>
        <w:t>shha</w:t>
      </w:r>
      <w:r w:rsidR="00F00CD3" w:rsidRPr="007A682B">
        <w:rPr>
          <w:rFonts w:ascii="Arial" w:hAnsi="Arial" w:cs="Arial"/>
          <w:sz w:val="20"/>
          <w:szCs w:val="20"/>
        </w:rPr>
        <w:t xml:space="preserve"> and </w:t>
      </w:r>
      <w:r w:rsidR="00F00CD3" w:rsidRPr="007A682B">
        <w:rPr>
          <w:rFonts w:ascii="Arial" w:hAnsi="Arial" w:cs="Arial"/>
          <w:i/>
          <w:iCs/>
          <w:sz w:val="20"/>
          <w:szCs w:val="20"/>
        </w:rPr>
        <w:t>gfap</w:t>
      </w:r>
      <w:r w:rsidR="00F00CD3" w:rsidRPr="007A682B">
        <w:rPr>
          <w:rFonts w:ascii="Arial" w:hAnsi="Arial" w:cs="Arial"/>
          <w:sz w:val="20"/>
          <w:szCs w:val="20"/>
        </w:rPr>
        <w:t xml:space="preserve"> expressing populations (1_shha and 1_gfap respectively) (</w:t>
      </w:r>
      <w:r w:rsidR="00F00CD3" w:rsidRPr="007A682B">
        <w:rPr>
          <w:rFonts w:ascii="Arial" w:hAnsi="Arial" w:cs="Arial"/>
          <w:sz w:val="20"/>
          <w:szCs w:val="20"/>
          <w:highlight w:val="yellow"/>
        </w:rPr>
        <w:t>Figs</w:t>
      </w:r>
      <w:r w:rsidR="0028615F" w:rsidRPr="007A682B">
        <w:rPr>
          <w:rFonts w:ascii="Arial" w:hAnsi="Arial" w:cs="Arial"/>
          <w:sz w:val="20"/>
          <w:szCs w:val="20"/>
          <w:highlight w:val="yellow"/>
        </w:rPr>
        <w:t xml:space="preserve">. S7B, C, </w:t>
      </w:r>
      <w:r w:rsidR="00F00CD3" w:rsidRPr="007A682B">
        <w:rPr>
          <w:rFonts w:ascii="Arial" w:hAnsi="Arial" w:cs="Arial"/>
          <w:sz w:val="20"/>
          <w:szCs w:val="20"/>
          <w:highlight w:val="yellow"/>
        </w:rPr>
        <w:t>S</w:t>
      </w:r>
      <w:r w:rsidR="00376C7F" w:rsidRPr="007A682B">
        <w:rPr>
          <w:rFonts w:ascii="Arial" w:hAnsi="Arial" w:cs="Arial"/>
          <w:sz w:val="20"/>
          <w:szCs w:val="20"/>
          <w:highlight w:val="yellow"/>
        </w:rPr>
        <w:t>8</w:t>
      </w:r>
      <w:r w:rsidR="00F00CD3" w:rsidRPr="007A682B">
        <w:rPr>
          <w:rFonts w:ascii="Arial" w:hAnsi="Arial" w:cs="Arial"/>
          <w:sz w:val="20"/>
          <w:szCs w:val="20"/>
          <w:highlight w:val="yellow"/>
        </w:rPr>
        <w:t>A-D</w:t>
      </w:r>
      <w:r w:rsidR="003F230C" w:rsidRPr="007A682B">
        <w:rPr>
          <w:rFonts w:ascii="Arial" w:hAnsi="Arial" w:cs="Arial"/>
          <w:sz w:val="20"/>
          <w:szCs w:val="20"/>
        </w:rPr>
        <w:t>, Appendix S1</w:t>
      </w:r>
      <w:r w:rsidR="00F00CD3" w:rsidRPr="007A682B">
        <w:rPr>
          <w:rFonts w:ascii="Arial" w:hAnsi="Arial" w:cs="Arial"/>
          <w:sz w:val="20"/>
          <w:szCs w:val="20"/>
        </w:rPr>
        <w:t>).</w:t>
      </w:r>
    </w:p>
    <w:p w14:paraId="18360575" w14:textId="470A8DA3" w:rsidR="00F84539" w:rsidRPr="007A682B" w:rsidRDefault="00F00CD3" w:rsidP="00F00CD3">
      <w:pPr>
        <w:rPr>
          <w:rFonts w:ascii="Arial" w:hAnsi="Arial" w:cs="Arial"/>
          <w:sz w:val="20"/>
          <w:szCs w:val="20"/>
        </w:rPr>
      </w:pPr>
      <w:r w:rsidRPr="007A682B">
        <w:rPr>
          <w:rFonts w:ascii="Arial" w:hAnsi="Arial" w:cs="Arial"/>
          <w:sz w:val="20"/>
          <w:szCs w:val="20"/>
        </w:rPr>
        <w:tab/>
      </w:r>
      <w:r w:rsidR="00D770B1" w:rsidRPr="007A682B">
        <w:rPr>
          <w:rFonts w:ascii="Arial" w:hAnsi="Arial" w:cs="Arial"/>
          <w:sz w:val="20"/>
          <w:szCs w:val="20"/>
        </w:rPr>
        <w:t>We found</w:t>
      </w:r>
      <w:r w:rsidRPr="007A682B">
        <w:rPr>
          <w:rFonts w:ascii="Arial" w:hAnsi="Arial" w:cs="Arial"/>
          <w:sz w:val="20"/>
          <w:szCs w:val="20"/>
        </w:rPr>
        <w:t xml:space="preserve"> significant </w:t>
      </w:r>
      <w:r w:rsidR="00D770B1" w:rsidRPr="007A682B">
        <w:rPr>
          <w:rFonts w:ascii="Arial" w:hAnsi="Arial" w:cs="Arial"/>
          <w:sz w:val="20"/>
          <w:szCs w:val="20"/>
        </w:rPr>
        <w:t>differences</w:t>
      </w:r>
      <w:r w:rsidRPr="007A682B">
        <w:rPr>
          <w:rFonts w:ascii="Arial" w:hAnsi="Arial" w:cs="Arial"/>
          <w:sz w:val="20"/>
          <w:szCs w:val="20"/>
        </w:rPr>
        <w:t xml:space="preserve"> in the </w:t>
      </w:r>
      <w:r w:rsidR="00543744">
        <w:rPr>
          <w:rFonts w:ascii="Arial" w:hAnsi="Arial" w:cs="Arial"/>
          <w:sz w:val="20"/>
          <w:szCs w:val="20"/>
        </w:rPr>
        <w:t xml:space="preserve">relative </w:t>
      </w:r>
      <w:r w:rsidRPr="007A682B">
        <w:rPr>
          <w:rFonts w:ascii="Arial" w:hAnsi="Arial" w:cs="Arial"/>
          <w:sz w:val="20"/>
          <w:szCs w:val="20"/>
        </w:rPr>
        <w:t>populations of 1_NSC</w:t>
      </w:r>
      <w:r w:rsidR="006728FC">
        <w:rPr>
          <w:rFonts w:ascii="Arial" w:hAnsi="Arial" w:cs="Arial"/>
          <w:sz w:val="20"/>
          <w:szCs w:val="20"/>
        </w:rPr>
        <w:t xml:space="preserve"> (</w:t>
      </w:r>
      <w:r w:rsidR="006728FC" w:rsidRPr="00530E82">
        <w:rPr>
          <w:rFonts w:ascii="Arial" w:hAnsi="Arial" w:cs="Arial"/>
          <w:sz w:val="20"/>
          <w:szCs w:val="20"/>
        </w:rPr>
        <w:t>χ</w:t>
      </w:r>
      <w:r w:rsidR="006728FC">
        <w:rPr>
          <w:rFonts w:ascii="Arial" w:hAnsi="Arial" w:cs="Arial"/>
          <w:sz w:val="20"/>
          <w:szCs w:val="20"/>
          <w:vertAlign w:val="superscript"/>
        </w:rPr>
        <w:t>2</w:t>
      </w:r>
      <w:r w:rsidR="006728FC">
        <w:rPr>
          <w:rFonts w:ascii="Arial" w:hAnsi="Arial" w:cs="Arial"/>
          <w:sz w:val="20"/>
          <w:szCs w:val="20"/>
        </w:rPr>
        <w:t>(2</w:t>
      </w:r>
      <w:r w:rsidR="006728FC" w:rsidRPr="007A682B">
        <w:rPr>
          <w:rFonts w:ascii="Arial" w:hAnsi="Arial" w:cs="Arial"/>
          <w:sz w:val="20"/>
          <w:szCs w:val="20"/>
        </w:rPr>
        <w:t>)</w:t>
      </w:r>
      <w:r w:rsidR="006728FC">
        <w:rPr>
          <w:rFonts w:ascii="Arial" w:hAnsi="Arial" w:cs="Arial"/>
          <w:sz w:val="20"/>
          <w:szCs w:val="20"/>
        </w:rPr>
        <w:t xml:space="preserve"> = 10.621, </w:t>
      </w:r>
      <w:r w:rsidR="006728FC">
        <w:rPr>
          <w:rFonts w:ascii="Arial" w:hAnsi="Arial" w:cs="Arial"/>
          <w:i/>
          <w:iCs/>
          <w:sz w:val="20"/>
          <w:szCs w:val="20"/>
        </w:rPr>
        <w:t>p</w:t>
      </w:r>
      <w:r w:rsidR="006728FC">
        <w:rPr>
          <w:rFonts w:ascii="Arial" w:hAnsi="Arial" w:cs="Arial"/>
          <w:sz w:val="20"/>
          <w:szCs w:val="20"/>
        </w:rPr>
        <w:t xml:space="preserve"> = 0.005)</w:t>
      </w:r>
      <w:r w:rsidRPr="007A682B">
        <w:rPr>
          <w:rFonts w:ascii="Arial" w:hAnsi="Arial" w:cs="Arial"/>
          <w:sz w:val="20"/>
          <w:szCs w:val="20"/>
        </w:rPr>
        <w:t xml:space="preserve"> and 1_NP</w:t>
      </w:r>
      <w:r w:rsidR="006728FC">
        <w:rPr>
          <w:rFonts w:ascii="Arial" w:hAnsi="Arial" w:cs="Arial"/>
          <w:sz w:val="20"/>
          <w:szCs w:val="20"/>
        </w:rPr>
        <w:t xml:space="preserve"> (</w:t>
      </w:r>
      <w:r w:rsidR="006728FC" w:rsidRPr="00530E82">
        <w:rPr>
          <w:rFonts w:ascii="Arial" w:hAnsi="Arial" w:cs="Arial"/>
          <w:sz w:val="20"/>
          <w:szCs w:val="20"/>
        </w:rPr>
        <w:t>χ</w:t>
      </w:r>
      <w:r w:rsidR="006728FC">
        <w:rPr>
          <w:rFonts w:ascii="Arial" w:hAnsi="Arial" w:cs="Arial"/>
          <w:sz w:val="20"/>
          <w:szCs w:val="20"/>
          <w:vertAlign w:val="superscript"/>
        </w:rPr>
        <w:t>2</w:t>
      </w:r>
      <w:r w:rsidR="006728FC">
        <w:rPr>
          <w:rFonts w:ascii="Arial" w:hAnsi="Arial" w:cs="Arial"/>
          <w:sz w:val="20"/>
          <w:szCs w:val="20"/>
        </w:rPr>
        <w:t>(2</w:t>
      </w:r>
      <w:r w:rsidR="006728FC" w:rsidRPr="007A682B">
        <w:rPr>
          <w:rFonts w:ascii="Arial" w:hAnsi="Arial" w:cs="Arial"/>
          <w:sz w:val="20"/>
          <w:szCs w:val="20"/>
        </w:rPr>
        <w:t>)</w:t>
      </w:r>
      <w:r w:rsidR="006728FC">
        <w:rPr>
          <w:rFonts w:ascii="Arial" w:hAnsi="Arial" w:cs="Arial"/>
          <w:sz w:val="20"/>
          <w:szCs w:val="20"/>
        </w:rPr>
        <w:t xml:space="preserve"> = 30.564, </w:t>
      </w:r>
      <w:r w:rsidR="006728FC">
        <w:rPr>
          <w:rFonts w:ascii="Arial" w:hAnsi="Arial" w:cs="Arial"/>
          <w:i/>
          <w:iCs/>
          <w:sz w:val="20"/>
          <w:szCs w:val="20"/>
        </w:rPr>
        <w:t>p</w:t>
      </w:r>
      <w:r w:rsidR="006728FC">
        <w:rPr>
          <w:rFonts w:ascii="Arial" w:hAnsi="Arial" w:cs="Arial"/>
          <w:sz w:val="20"/>
          <w:szCs w:val="20"/>
        </w:rPr>
        <w:t xml:space="preserve"> &lt; 0.001)</w:t>
      </w:r>
      <w:r w:rsidRPr="007A682B">
        <w:rPr>
          <w:rFonts w:ascii="Arial" w:hAnsi="Arial" w:cs="Arial"/>
          <w:sz w:val="20"/>
          <w:szCs w:val="20"/>
        </w:rPr>
        <w:t xml:space="preserve"> by phase. In </w:t>
      </w:r>
      <w:r w:rsidR="00543744">
        <w:rPr>
          <w:rFonts w:ascii="Arial" w:hAnsi="Arial" w:cs="Arial"/>
          <w:sz w:val="20"/>
          <w:szCs w:val="20"/>
        </w:rPr>
        <w:t>I</w:t>
      </w:r>
      <w:r w:rsidRPr="007A682B">
        <w:rPr>
          <w:rFonts w:ascii="Arial" w:hAnsi="Arial" w:cs="Arial"/>
          <w:sz w:val="20"/>
          <w:szCs w:val="20"/>
        </w:rPr>
        <w:t xml:space="preserve">ntermediates, the </w:t>
      </w:r>
      <w:r w:rsidR="00D770B1" w:rsidRPr="007A682B">
        <w:rPr>
          <w:rFonts w:ascii="Arial" w:hAnsi="Arial" w:cs="Arial"/>
          <w:sz w:val="20"/>
          <w:szCs w:val="20"/>
        </w:rPr>
        <w:t>abundance</w:t>
      </w:r>
      <w:r w:rsidRPr="007A682B">
        <w:rPr>
          <w:rFonts w:ascii="Arial" w:hAnsi="Arial" w:cs="Arial"/>
          <w:sz w:val="20"/>
          <w:szCs w:val="20"/>
        </w:rPr>
        <w:t xml:space="preserve"> of 1_NSC was </w:t>
      </w:r>
      <w:r w:rsidR="006728FC">
        <w:rPr>
          <w:rFonts w:ascii="Arial" w:hAnsi="Arial" w:cs="Arial"/>
          <w:sz w:val="20"/>
          <w:szCs w:val="20"/>
        </w:rPr>
        <w:t>1</w:t>
      </w:r>
      <w:r w:rsidR="009D76F1">
        <w:rPr>
          <w:rFonts w:ascii="Arial" w:hAnsi="Arial" w:cs="Arial"/>
          <w:sz w:val="20"/>
          <w:szCs w:val="20"/>
        </w:rPr>
        <w:t>7</w:t>
      </w:r>
      <w:r w:rsidR="006728FC">
        <w:rPr>
          <w:rFonts w:ascii="Arial" w:hAnsi="Arial" w:cs="Arial"/>
          <w:sz w:val="20"/>
          <w:szCs w:val="20"/>
        </w:rPr>
        <w:t>%</w:t>
      </w:r>
      <w:r w:rsidRPr="007A682B">
        <w:rPr>
          <w:rFonts w:ascii="Arial" w:hAnsi="Arial" w:cs="Arial"/>
          <w:sz w:val="20"/>
          <w:szCs w:val="20"/>
        </w:rPr>
        <w:t xml:space="preserve"> </w:t>
      </w:r>
      <w:r w:rsidR="00F84539" w:rsidRPr="007A682B">
        <w:rPr>
          <w:rFonts w:ascii="Arial" w:hAnsi="Arial" w:cs="Arial"/>
          <w:sz w:val="20"/>
          <w:szCs w:val="20"/>
        </w:rPr>
        <w:t>lower than in</w:t>
      </w:r>
      <w:r w:rsidRPr="007A682B">
        <w:rPr>
          <w:rFonts w:ascii="Arial" w:hAnsi="Arial" w:cs="Arial"/>
          <w:sz w:val="20"/>
          <w:szCs w:val="20"/>
        </w:rPr>
        <w:t xml:space="preserve"> </w:t>
      </w:r>
      <w:r w:rsidR="00543744">
        <w:rPr>
          <w:rFonts w:ascii="Arial" w:hAnsi="Arial" w:cs="Arial"/>
          <w:sz w:val="20"/>
          <w:szCs w:val="20"/>
        </w:rPr>
        <w:t>M</w:t>
      </w:r>
      <w:r w:rsidRPr="007A682B">
        <w:rPr>
          <w:rFonts w:ascii="Arial" w:hAnsi="Arial" w:cs="Arial"/>
          <w:sz w:val="20"/>
          <w:szCs w:val="20"/>
        </w:rPr>
        <w:t xml:space="preserve">ales </w:t>
      </w:r>
      <w:r w:rsidR="00F84539" w:rsidRPr="007A682B">
        <w:rPr>
          <w:rFonts w:ascii="Arial" w:hAnsi="Arial" w:cs="Arial"/>
          <w:sz w:val="20"/>
          <w:szCs w:val="20"/>
        </w:rPr>
        <w:t xml:space="preserve">or </w:t>
      </w:r>
      <w:r w:rsidR="00543744">
        <w:rPr>
          <w:rFonts w:ascii="Arial" w:hAnsi="Arial" w:cs="Arial"/>
          <w:sz w:val="20"/>
          <w:szCs w:val="20"/>
        </w:rPr>
        <w:t>F</w:t>
      </w:r>
      <w:r w:rsidRPr="007A682B">
        <w:rPr>
          <w:rFonts w:ascii="Arial" w:hAnsi="Arial" w:cs="Arial"/>
          <w:sz w:val="20"/>
          <w:szCs w:val="20"/>
        </w:rPr>
        <w:t xml:space="preserve">emales </w:t>
      </w:r>
      <w:r w:rsidR="00915B2F" w:rsidRPr="007A682B">
        <w:rPr>
          <w:rFonts w:ascii="Arial" w:hAnsi="Arial" w:cs="Arial"/>
          <w:sz w:val="20"/>
          <w:szCs w:val="20"/>
        </w:rPr>
        <w:t>(</w:t>
      </w:r>
      <w:r w:rsidRPr="007A682B">
        <w:rPr>
          <w:rFonts w:ascii="Arial" w:hAnsi="Arial" w:cs="Arial"/>
          <w:sz w:val="20"/>
          <w:szCs w:val="20"/>
          <w:highlight w:val="yellow"/>
        </w:rPr>
        <w:t>Fig. 4</w:t>
      </w:r>
      <w:r w:rsidR="00A802D8" w:rsidRPr="007A682B">
        <w:rPr>
          <w:rFonts w:ascii="Arial" w:hAnsi="Arial" w:cs="Arial"/>
          <w:sz w:val="20"/>
          <w:szCs w:val="20"/>
        </w:rPr>
        <w:t>D</w:t>
      </w:r>
      <w:r w:rsidR="00BC1A9E" w:rsidRPr="007A682B">
        <w:rPr>
          <w:rFonts w:ascii="Arial" w:hAnsi="Arial" w:cs="Arial"/>
          <w:sz w:val="20"/>
          <w:szCs w:val="20"/>
        </w:rPr>
        <w:t>, Appendix S1</w:t>
      </w:r>
      <w:r w:rsidRPr="007A682B">
        <w:rPr>
          <w:rFonts w:ascii="Arial" w:hAnsi="Arial" w:cs="Arial"/>
          <w:sz w:val="20"/>
          <w:szCs w:val="20"/>
        </w:rPr>
        <w:t xml:space="preserve">). Conversely, </w:t>
      </w:r>
      <w:r w:rsidR="00543744">
        <w:rPr>
          <w:rFonts w:ascii="Arial" w:hAnsi="Arial" w:cs="Arial"/>
          <w:sz w:val="20"/>
          <w:szCs w:val="20"/>
        </w:rPr>
        <w:t>I</w:t>
      </w:r>
      <w:r w:rsidRPr="007A682B">
        <w:rPr>
          <w:rFonts w:ascii="Arial" w:hAnsi="Arial" w:cs="Arial"/>
          <w:sz w:val="20"/>
          <w:szCs w:val="20"/>
        </w:rPr>
        <w:t xml:space="preserve">ntermediates had the largest </w:t>
      </w:r>
      <w:r w:rsidR="00543744">
        <w:rPr>
          <w:rFonts w:ascii="Arial" w:hAnsi="Arial" w:cs="Arial"/>
          <w:sz w:val="20"/>
          <w:szCs w:val="20"/>
        </w:rPr>
        <w:t xml:space="preserve">relative </w:t>
      </w:r>
      <w:r w:rsidRPr="007A682B">
        <w:rPr>
          <w:rFonts w:ascii="Arial" w:hAnsi="Arial" w:cs="Arial"/>
          <w:sz w:val="20"/>
          <w:szCs w:val="20"/>
        </w:rPr>
        <w:t>population of 1_NP</w:t>
      </w:r>
      <w:r w:rsidR="006728FC">
        <w:rPr>
          <w:rFonts w:ascii="Arial" w:hAnsi="Arial" w:cs="Arial"/>
          <w:sz w:val="20"/>
          <w:szCs w:val="20"/>
        </w:rPr>
        <w:t xml:space="preserve">, 1.1-fold larger than </w:t>
      </w:r>
      <w:r w:rsidR="00543744">
        <w:rPr>
          <w:rFonts w:ascii="Arial" w:hAnsi="Arial" w:cs="Arial"/>
          <w:sz w:val="20"/>
          <w:szCs w:val="20"/>
        </w:rPr>
        <w:t>M</w:t>
      </w:r>
      <w:r w:rsidR="006728FC">
        <w:rPr>
          <w:rFonts w:ascii="Arial" w:hAnsi="Arial" w:cs="Arial"/>
          <w:sz w:val="20"/>
          <w:szCs w:val="20"/>
        </w:rPr>
        <w:t xml:space="preserve">ales and 1.3-fold larger than </w:t>
      </w:r>
      <w:r w:rsidR="00543744">
        <w:rPr>
          <w:rFonts w:ascii="Arial" w:hAnsi="Arial" w:cs="Arial"/>
          <w:sz w:val="20"/>
          <w:szCs w:val="20"/>
        </w:rPr>
        <w:t>F</w:t>
      </w:r>
      <w:r w:rsidR="006728FC">
        <w:rPr>
          <w:rFonts w:ascii="Arial" w:hAnsi="Arial" w:cs="Arial"/>
          <w:sz w:val="20"/>
          <w:szCs w:val="20"/>
        </w:rPr>
        <w:t>emales</w:t>
      </w:r>
      <w:r w:rsidRPr="007A682B">
        <w:rPr>
          <w:rFonts w:ascii="Arial" w:hAnsi="Arial" w:cs="Arial"/>
          <w:sz w:val="20"/>
          <w:szCs w:val="20"/>
        </w:rPr>
        <w:t xml:space="preserve">, while </w:t>
      </w:r>
      <w:r w:rsidR="00543744">
        <w:rPr>
          <w:rFonts w:ascii="Arial" w:hAnsi="Arial" w:cs="Arial"/>
          <w:sz w:val="20"/>
          <w:szCs w:val="20"/>
        </w:rPr>
        <w:t>F</w:t>
      </w:r>
      <w:r w:rsidRPr="007A682B">
        <w:rPr>
          <w:rFonts w:ascii="Arial" w:hAnsi="Arial" w:cs="Arial"/>
          <w:sz w:val="20"/>
          <w:szCs w:val="20"/>
        </w:rPr>
        <w:t>emales had the smallest</w:t>
      </w:r>
      <w:r w:rsidR="006728FC">
        <w:rPr>
          <w:rFonts w:ascii="Arial" w:hAnsi="Arial" w:cs="Arial"/>
          <w:sz w:val="20"/>
          <w:szCs w:val="20"/>
        </w:rPr>
        <w:t xml:space="preserve">, 17% smaller than </w:t>
      </w:r>
      <w:r w:rsidR="00543744">
        <w:rPr>
          <w:rFonts w:ascii="Arial" w:hAnsi="Arial" w:cs="Arial"/>
          <w:sz w:val="20"/>
          <w:szCs w:val="20"/>
        </w:rPr>
        <w:t>M</w:t>
      </w:r>
      <w:r w:rsidR="006728FC">
        <w:rPr>
          <w:rFonts w:ascii="Arial" w:hAnsi="Arial" w:cs="Arial"/>
          <w:sz w:val="20"/>
          <w:szCs w:val="20"/>
        </w:rPr>
        <w:t>ales</w:t>
      </w:r>
      <w:r w:rsidRPr="007A682B">
        <w:rPr>
          <w:rFonts w:ascii="Arial" w:hAnsi="Arial" w:cs="Arial"/>
          <w:sz w:val="20"/>
          <w:szCs w:val="20"/>
        </w:rPr>
        <w:t xml:space="preserve"> </w:t>
      </w:r>
      <w:r w:rsidR="00915B2F" w:rsidRPr="007A682B">
        <w:rPr>
          <w:rFonts w:ascii="Arial" w:hAnsi="Arial" w:cs="Arial"/>
          <w:sz w:val="20"/>
          <w:szCs w:val="20"/>
        </w:rPr>
        <w:t>(</w:t>
      </w:r>
      <w:r w:rsidRPr="007A682B">
        <w:rPr>
          <w:rFonts w:ascii="Arial" w:hAnsi="Arial" w:cs="Arial"/>
          <w:sz w:val="20"/>
          <w:szCs w:val="20"/>
          <w:highlight w:val="yellow"/>
        </w:rPr>
        <w:t>Fig. 4</w:t>
      </w:r>
      <w:r w:rsidR="00A802D8" w:rsidRPr="007A682B">
        <w:rPr>
          <w:rFonts w:ascii="Arial" w:hAnsi="Arial" w:cs="Arial"/>
          <w:sz w:val="20"/>
          <w:szCs w:val="20"/>
        </w:rPr>
        <w:t>E</w:t>
      </w:r>
      <w:r w:rsidR="00BC1A9E" w:rsidRPr="007A682B">
        <w:rPr>
          <w:rFonts w:ascii="Arial" w:hAnsi="Arial" w:cs="Arial"/>
          <w:sz w:val="20"/>
          <w:szCs w:val="20"/>
        </w:rPr>
        <w:t>, Appendix S1</w:t>
      </w:r>
      <w:r w:rsidRPr="007A682B">
        <w:rPr>
          <w:rFonts w:ascii="Arial" w:hAnsi="Arial" w:cs="Arial"/>
          <w:sz w:val="20"/>
          <w:szCs w:val="20"/>
        </w:rPr>
        <w:t xml:space="preserve">). </w:t>
      </w:r>
      <w:r w:rsidR="00F84539" w:rsidRPr="007A682B">
        <w:rPr>
          <w:rFonts w:ascii="Arial" w:hAnsi="Arial" w:cs="Arial"/>
          <w:sz w:val="20"/>
          <w:szCs w:val="20"/>
        </w:rPr>
        <w:t xml:space="preserve">This reciprocal shift in the composition of the </w:t>
      </w:r>
      <w:r w:rsidR="00D770B1" w:rsidRPr="007A682B">
        <w:rPr>
          <w:rFonts w:ascii="Arial" w:hAnsi="Arial" w:cs="Arial"/>
          <w:sz w:val="20"/>
          <w:szCs w:val="20"/>
        </w:rPr>
        <w:t>RGC</w:t>
      </w:r>
      <w:r w:rsidR="00F84539" w:rsidRPr="007A682B">
        <w:rPr>
          <w:rFonts w:ascii="Arial" w:hAnsi="Arial" w:cs="Arial"/>
          <w:sz w:val="20"/>
          <w:szCs w:val="20"/>
        </w:rPr>
        <w:t xml:space="preserve"> population is consistent with increased progression from the </w:t>
      </w:r>
      <w:r w:rsidR="00120EF9" w:rsidRPr="007A682B">
        <w:rPr>
          <w:rFonts w:ascii="Arial" w:hAnsi="Arial" w:cs="Arial"/>
          <w:sz w:val="20"/>
          <w:szCs w:val="20"/>
        </w:rPr>
        <w:t>NSC state</w:t>
      </w:r>
      <w:r w:rsidR="00F84539" w:rsidRPr="007A682B">
        <w:rPr>
          <w:rFonts w:ascii="Arial" w:hAnsi="Arial" w:cs="Arial"/>
          <w:sz w:val="20"/>
          <w:szCs w:val="20"/>
        </w:rPr>
        <w:t xml:space="preserve"> to the </w:t>
      </w:r>
      <w:r w:rsidR="00120EF9" w:rsidRPr="007A682B">
        <w:rPr>
          <w:rFonts w:ascii="Arial" w:hAnsi="Arial" w:cs="Arial"/>
          <w:sz w:val="20"/>
          <w:szCs w:val="20"/>
        </w:rPr>
        <w:t>NP</w:t>
      </w:r>
      <w:r w:rsidR="00F84539" w:rsidRPr="007A682B">
        <w:rPr>
          <w:rFonts w:ascii="Arial" w:hAnsi="Arial" w:cs="Arial"/>
          <w:sz w:val="20"/>
          <w:szCs w:val="20"/>
        </w:rPr>
        <w:t xml:space="preserve"> state during the </w:t>
      </w:r>
      <w:r w:rsidR="00543744">
        <w:rPr>
          <w:rFonts w:ascii="Arial" w:hAnsi="Arial" w:cs="Arial"/>
          <w:sz w:val="20"/>
          <w:szCs w:val="20"/>
        </w:rPr>
        <w:t>I</w:t>
      </w:r>
      <w:r w:rsidR="00F84539" w:rsidRPr="007A682B">
        <w:rPr>
          <w:rFonts w:ascii="Arial" w:hAnsi="Arial" w:cs="Arial"/>
          <w:sz w:val="20"/>
          <w:szCs w:val="20"/>
        </w:rPr>
        <w:t>ntermediate phase.</w:t>
      </w:r>
    </w:p>
    <w:p w14:paraId="242640B8" w14:textId="0C24D4ED" w:rsidR="00267A9B" w:rsidRDefault="00F00CD3" w:rsidP="003A491B">
      <w:pPr>
        <w:ind w:firstLine="720"/>
        <w:rPr>
          <w:rFonts w:ascii="Arial" w:hAnsi="Arial" w:cs="Arial"/>
          <w:sz w:val="20"/>
          <w:szCs w:val="20"/>
        </w:rPr>
      </w:pPr>
      <w:r w:rsidRPr="007A682B">
        <w:rPr>
          <w:rFonts w:ascii="Arial" w:hAnsi="Arial" w:cs="Arial"/>
          <w:sz w:val="20"/>
          <w:szCs w:val="20"/>
        </w:rPr>
        <w:t>To assess the neurogenic state of 1_NP in each phase, we</w:t>
      </w:r>
      <w:r w:rsidR="00120EF9" w:rsidRPr="007A682B">
        <w:rPr>
          <w:rFonts w:ascii="Arial" w:hAnsi="Arial" w:cs="Arial"/>
          <w:sz w:val="20"/>
          <w:szCs w:val="20"/>
        </w:rPr>
        <w:t xml:space="preserve"> next</w:t>
      </w:r>
      <w:r w:rsidRPr="007A682B">
        <w:rPr>
          <w:rFonts w:ascii="Arial" w:hAnsi="Arial" w:cs="Arial"/>
          <w:sz w:val="20"/>
          <w:szCs w:val="20"/>
        </w:rPr>
        <w:t xml:space="preserve"> created a “neuron differentiation” gene expression module </w:t>
      </w:r>
      <w:r w:rsidR="00F84539" w:rsidRPr="007A682B">
        <w:rPr>
          <w:rFonts w:ascii="Arial" w:hAnsi="Arial" w:cs="Arial"/>
          <w:sz w:val="20"/>
          <w:szCs w:val="20"/>
        </w:rPr>
        <w:t xml:space="preserve">composed </w:t>
      </w:r>
      <w:r w:rsidRPr="007A682B">
        <w:rPr>
          <w:rFonts w:ascii="Arial" w:hAnsi="Arial" w:cs="Arial"/>
          <w:sz w:val="20"/>
          <w:szCs w:val="20"/>
        </w:rPr>
        <w:t xml:space="preserve">of genes annotated with that GO term (GO: 0030182,). Males and </w:t>
      </w:r>
      <w:r w:rsidR="003A491B">
        <w:rPr>
          <w:rFonts w:ascii="Arial" w:hAnsi="Arial" w:cs="Arial"/>
          <w:sz w:val="20"/>
          <w:szCs w:val="20"/>
        </w:rPr>
        <w:t>I</w:t>
      </w:r>
      <w:r w:rsidRPr="007A682B">
        <w:rPr>
          <w:rFonts w:ascii="Arial" w:hAnsi="Arial" w:cs="Arial"/>
          <w:sz w:val="20"/>
          <w:szCs w:val="20"/>
        </w:rPr>
        <w:t xml:space="preserve">ntermediates expressed this module at similar levels, while </w:t>
      </w:r>
      <w:r w:rsidR="003A491B">
        <w:rPr>
          <w:rFonts w:ascii="Arial" w:hAnsi="Arial" w:cs="Arial"/>
          <w:sz w:val="20"/>
          <w:szCs w:val="20"/>
        </w:rPr>
        <w:t>F</w:t>
      </w:r>
      <w:r w:rsidRPr="007A682B">
        <w:rPr>
          <w:rFonts w:ascii="Arial" w:hAnsi="Arial" w:cs="Arial"/>
          <w:sz w:val="20"/>
          <w:szCs w:val="20"/>
        </w:rPr>
        <w:t xml:space="preserve">emales expressed this module </w:t>
      </w:r>
      <w:r w:rsidR="00837E4E">
        <w:rPr>
          <w:rFonts w:ascii="Arial" w:hAnsi="Arial" w:cs="Arial"/>
          <w:sz w:val="20"/>
          <w:szCs w:val="20"/>
        </w:rPr>
        <w:t>10%</w:t>
      </w:r>
      <w:r w:rsidRPr="007A682B">
        <w:rPr>
          <w:rFonts w:ascii="Arial" w:hAnsi="Arial" w:cs="Arial"/>
          <w:sz w:val="20"/>
          <w:szCs w:val="20"/>
        </w:rPr>
        <w:t xml:space="preserve"> less </w:t>
      </w:r>
      <w:r w:rsidR="008D37D7" w:rsidRPr="007A682B">
        <w:rPr>
          <w:rFonts w:ascii="Arial" w:hAnsi="Arial" w:cs="Arial"/>
          <w:sz w:val="20"/>
          <w:szCs w:val="20"/>
        </w:rPr>
        <w:t>(</w:t>
      </w:r>
      <w:r w:rsidR="00837E4E">
        <w:rPr>
          <w:rFonts w:ascii="Arial" w:hAnsi="Arial" w:cs="Arial"/>
          <w:sz w:val="20"/>
          <w:szCs w:val="20"/>
        </w:rPr>
        <w:t xml:space="preserve">F(2,16)=8.502, </w:t>
      </w:r>
      <w:r w:rsidR="00837E4E" w:rsidRPr="00837E4E">
        <w:rPr>
          <w:rFonts w:ascii="Arial" w:hAnsi="Arial" w:cs="Arial"/>
          <w:i/>
          <w:iCs/>
          <w:sz w:val="20"/>
          <w:szCs w:val="20"/>
        </w:rPr>
        <w:t>p</w:t>
      </w:r>
      <w:r w:rsidR="00837E4E">
        <w:rPr>
          <w:rFonts w:ascii="Arial" w:hAnsi="Arial" w:cs="Arial"/>
          <w:sz w:val="20"/>
          <w:szCs w:val="20"/>
        </w:rPr>
        <w:t xml:space="preserve"> =0.003,</w:t>
      </w:r>
      <w:r w:rsidRPr="007A682B">
        <w:rPr>
          <w:rFonts w:ascii="Arial" w:hAnsi="Arial" w:cs="Arial"/>
          <w:sz w:val="20"/>
          <w:szCs w:val="20"/>
          <w:highlight w:val="yellow"/>
        </w:rPr>
        <w:t>Fig. 4</w:t>
      </w:r>
      <w:r w:rsidR="00A802D8" w:rsidRPr="007A682B">
        <w:rPr>
          <w:rFonts w:ascii="Arial" w:hAnsi="Arial" w:cs="Arial"/>
          <w:sz w:val="20"/>
          <w:szCs w:val="20"/>
        </w:rPr>
        <w:t>F</w:t>
      </w:r>
      <w:r w:rsidR="00BC1A9E" w:rsidRPr="007A682B">
        <w:rPr>
          <w:rFonts w:ascii="Arial" w:hAnsi="Arial" w:cs="Arial"/>
          <w:sz w:val="20"/>
          <w:szCs w:val="20"/>
        </w:rPr>
        <w:t>, Appendix S1</w:t>
      </w:r>
      <w:r w:rsidRPr="007A682B">
        <w:rPr>
          <w:rFonts w:ascii="Arial" w:hAnsi="Arial" w:cs="Arial"/>
          <w:sz w:val="20"/>
          <w:szCs w:val="20"/>
        </w:rPr>
        <w:t xml:space="preserve">). </w:t>
      </w:r>
      <w:r w:rsidR="003A491B" w:rsidRPr="003A491B">
        <w:rPr>
          <w:rFonts w:ascii="Arial" w:hAnsi="Arial" w:cs="Arial"/>
          <w:sz w:val="20"/>
          <w:szCs w:val="20"/>
        </w:rPr>
        <w:t>Together, these findings reveal a shift in the composition of the RGC population during sex change, characterized by a transient decrease in the relative abundance of NSCs and an increase in NPs during the Intermediate phase. This pattern is consistent with increased recruitment of neural stem cells into the neurogenic lineage during sex change, followed by reduced expression of neuronal differentiation-associated genes in Females.</w:t>
      </w:r>
    </w:p>
    <w:p w14:paraId="6971DD6A" w14:textId="77777777" w:rsidR="003A491B" w:rsidRPr="007A682B" w:rsidRDefault="003A491B" w:rsidP="003A491B">
      <w:pPr>
        <w:ind w:firstLine="720"/>
        <w:rPr>
          <w:rFonts w:ascii="Arial" w:hAnsi="Arial" w:cs="Arial"/>
          <w:sz w:val="20"/>
          <w:szCs w:val="20"/>
        </w:rPr>
      </w:pPr>
    </w:p>
    <w:p w14:paraId="55AB43D3" w14:textId="3DA45963" w:rsidR="00267A9B" w:rsidRPr="007A682B" w:rsidRDefault="00267A9B" w:rsidP="00267A9B">
      <w:pPr>
        <w:rPr>
          <w:rFonts w:ascii="Arial" w:hAnsi="Arial" w:cs="Arial"/>
          <w:b/>
          <w:bCs/>
          <w:sz w:val="20"/>
          <w:szCs w:val="20"/>
        </w:rPr>
      </w:pPr>
      <w:r w:rsidRPr="007A682B">
        <w:rPr>
          <w:rFonts w:ascii="Arial" w:hAnsi="Arial" w:cs="Arial"/>
          <w:b/>
          <w:bCs/>
          <w:sz w:val="20"/>
          <w:szCs w:val="20"/>
        </w:rPr>
        <w:t xml:space="preserve">Evidence for </w:t>
      </w:r>
      <w:r w:rsidR="002C7C6B" w:rsidRPr="007A682B">
        <w:rPr>
          <w:rFonts w:ascii="Arial" w:hAnsi="Arial" w:cs="Arial"/>
          <w:b/>
          <w:bCs/>
          <w:sz w:val="20"/>
          <w:szCs w:val="20"/>
        </w:rPr>
        <w:t xml:space="preserve">Neurogenesis and </w:t>
      </w:r>
      <w:r w:rsidR="00C7398C" w:rsidRPr="007A682B">
        <w:rPr>
          <w:rFonts w:ascii="Arial" w:hAnsi="Arial" w:cs="Arial"/>
          <w:b/>
          <w:bCs/>
          <w:sz w:val="20"/>
          <w:szCs w:val="20"/>
        </w:rPr>
        <w:t>Synaptic Plasticity</w:t>
      </w:r>
      <w:r w:rsidR="002C7C6B" w:rsidRPr="007A682B">
        <w:rPr>
          <w:rFonts w:ascii="Arial" w:hAnsi="Arial" w:cs="Arial"/>
          <w:b/>
          <w:bCs/>
          <w:sz w:val="20"/>
          <w:szCs w:val="20"/>
        </w:rPr>
        <w:t xml:space="preserve"> </w:t>
      </w:r>
      <w:r w:rsidRPr="007A682B">
        <w:rPr>
          <w:rFonts w:ascii="Arial" w:hAnsi="Arial" w:cs="Arial"/>
          <w:b/>
          <w:bCs/>
          <w:sz w:val="20"/>
          <w:szCs w:val="20"/>
        </w:rPr>
        <w:t>in 6_POA_Mixed</w:t>
      </w:r>
    </w:p>
    <w:p w14:paraId="5DF68DFB" w14:textId="21163919" w:rsidR="008C3E81" w:rsidRPr="007A682B" w:rsidRDefault="00F00CD3" w:rsidP="003E4206">
      <w:pPr>
        <w:ind w:firstLine="720"/>
        <w:rPr>
          <w:rFonts w:ascii="Arial" w:hAnsi="Arial" w:cs="Arial"/>
          <w:sz w:val="20"/>
          <w:szCs w:val="20"/>
        </w:rPr>
      </w:pPr>
      <w:r w:rsidRPr="007A682B">
        <w:rPr>
          <w:rFonts w:ascii="Arial" w:hAnsi="Arial" w:cs="Arial"/>
          <w:sz w:val="20"/>
          <w:szCs w:val="20"/>
        </w:rPr>
        <w:t xml:space="preserve">Given the changes in </w:t>
      </w:r>
      <w:r w:rsidR="003A491B">
        <w:rPr>
          <w:rFonts w:ascii="Arial" w:hAnsi="Arial" w:cs="Arial"/>
          <w:sz w:val="20"/>
          <w:szCs w:val="20"/>
        </w:rPr>
        <w:t>relative abundance of neurons</w:t>
      </w:r>
      <w:r w:rsidRPr="007A682B">
        <w:rPr>
          <w:rFonts w:ascii="Arial" w:hAnsi="Arial" w:cs="Arial"/>
          <w:sz w:val="20"/>
          <w:szCs w:val="20"/>
        </w:rPr>
        <w:t xml:space="preserve"> (</w:t>
      </w:r>
      <w:r w:rsidRPr="007A682B">
        <w:rPr>
          <w:rFonts w:ascii="Arial" w:hAnsi="Arial" w:cs="Arial"/>
          <w:sz w:val="20"/>
          <w:szCs w:val="20"/>
          <w:highlight w:val="yellow"/>
        </w:rPr>
        <w:t>Fig.3B</w:t>
      </w:r>
      <w:r w:rsidRPr="007A682B">
        <w:rPr>
          <w:rFonts w:ascii="Arial" w:hAnsi="Arial" w:cs="Arial"/>
          <w:sz w:val="20"/>
          <w:szCs w:val="20"/>
        </w:rPr>
        <w:t>), late sex change prediction (</w:t>
      </w:r>
      <w:r w:rsidRPr="007A682B">
        <w:rPr>
          <w:rFonts w:ascii="Arial" w:hAnsi="Arial" w:cs="Arial"/>
          <w:sz w:val="20"/>
          <w:szCs w:val="20"/>
          <w:highlight w:val="yellow"/>
        </w:rPr>
        <w:t>Fig.3E</w:t>
      </w:r>
      <w:r w:rsidRPr="007A682B">
        <w:rPr>
          <w:rFonts w:ascii="Arial" w:hAnsi="Arial" w:cs="Arial"/>
          <w:sz w:val="20"/>
          <w:szCs w:val="20"/>
        </w:rPr>
        <w:t>), and large number of DEGs (</w:t>
      </w:r>
      <w:r w:rsidRPr="007A682B">
        <w:rPr>
          <w:rFonts w:ascii="Arial" w:hAnsi="Arial" w:cs="Arial"/>
          <w:sz w:val="20"/>
          <w:szCs w:val="20"/>
          <w:highlight w:val="yellow"/>
        </w:rPr>
        <w:t>Fig. 3C</w:t>
      </w:r>
      <w:r w:rsidRPr="007A682B">
        <w:rPr>
          <w:rFonts w:ascii="Arial" w:hAnsi="Arial" w:cs="Arial"/>
          <w:sz w:val="20"/>
          <w:szCs w:val="20"/>
        </w:rPr>
        <w:t>), we next focused our analysis on 6_POA_Mixed (</w:t>
      </w:r>
      <w:r w:rsidRPr="007A682B">
        <w:rPr>
          <w:rFonts w:ascii="Arial" w:hAnsi="Arial" w:cs="Arial"/>
          <w:sz w:val="20"/>
          <w:szCs w:val="20"/>
          <w:highlight w:val="yellow"/>
        </w:rPr>
        <w:t>Fig. 5A</w:t>
      </w:r>
      <w:r w:rsidRPr="007A682B">
        <w:rPr>
          <w:rFonts w:ascii="Arial" w:hAnsi="Arial" w:cs="Arial"/>
          <w:sz w:val="20"/>
          <w:szCs w:val="20"/>
        </w:rPr>
        <w:t>).</w:t>
      </w:r>
      <w:r w:rsidR="008C3E81" w:rsidRPr="007A682B">
        <w:rPr>
          <w:rFonts w:ascii="Arial" w:hAnsi="Arial" w:cs="Arial"/>
          <w:sz w:val="20"/>
          <w:szCs w:val="20"/>
        </w:rPr>
        <w:t xml:space="preserve"> Previous studies have demonstrated that neurogenesis occurs in the anterior </w:t>
      </w:r>
      <w:r w:rsidR="00D770B1" w:rsidRPr="007A682B">
        <w:rPr>
          <w:rFonts w:ascii="Arial" w:hAnsi="Arial" w:cs="Arial"/>
          <w:sz w:val="20"/>
          <w:szCs w:val="20"/>
        </w:rPr>
        <w:t>POA</w:t>
      </w:r>
      <w:r w:rsidR="008C3E81" w:rsidRPr="007A682B">
        <w:rPr>
          <w:rFonts w:ascii="Arial" w:hAnsi="Arial" w:cs="Arial"/>
          <w:sz w:val="20"/>
          <w:szCs w:val="20"/>
        </w:rPr>
        <w:t xml:space="preserve"> during sex change </w:t>
      </w:r>
      <w:r w:rsidR="008C3E81"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{"citationID":"JSAeGNA5","properties":{"unsorted":false,"formattedCitation":"(6)","plainCitation":"(6)","noteIndex":0},"citationItems":[{"id":16,"uris":["http://zotero.org/users/11313215/items/VGA9PBJ3"],"itemData":{"id":16,"type":"article-journal","abstract":"Sex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8C3E81" w:rsidRPr="007A682B">
        <w:rPr>
          <w:rFonts w:ascii="Arial" w:hAnsi="Arial" w:cs="Arial"/>
          <w:sz w:val="20"/>
          <w:szCs w:val="20"/>
        </w:rPr>
        <w:fldChar w:fldCharType="separate"/>
      </w:r>
      <w:r w:rsidR="0072390C" w:rsidRPr="007A682B">
        <w:rPr>
          <w:rFonts w:ascii="Arial" w:hAnsi="Arial" w:cs="Arial"/>
          <w:sz w:val="20"/>
          <w:szCs w:val="20"/>
        </w:rPr>
        <w:t>(6)</w:t>
      </w:r>
      <w:r w:rsidR="008C3E81" w:rsidRPr="007A682B">
        <w:rPr>
          <w:rFonts w:ascii="Arial" w:hAnsi="Arial" w:cs="Arial"/>
          <w:sz w:val="20"/>
          <w:szCs w:val="20"/>
        </w:rPr>
        <w:fldChar w:fldCharType="end"/>
      </w:r>
      <w:r w:rsidR="008C3E81" w:rsidRPr="007A682B">
        <w:rPr>
          <w:rFonts w:ascii="Arial" w:hAnsi="Arial" w:cs="Arial"/>
          <w:sz w:val="20"/>
          <w:szCs w:val="20"/>
        </w:rPr>
        <w:t xml:space="preserve">, but the identity of the newly generated cells have remained unknown. We therefore asked whether </w:t>
      </w:r>
      <w:r w:rsidR="00C7398C" w:rsidRPr="007A682B">
        <w:rPr>
          <w:rFonts w:ascii="Arial" w:hAnsi="Arial" w:cs="Arial"/>
          <w:sz w:val="20"/>
          <w:szCs w:val="20"/>
        </w:rPr>
        <w:t>there was a transcriptional signature of neurogenesis in 6_POA_Mixed.</w:t>
      </w:r>
    </w:p>
    <w:p w14:paraId="664BAC59" w14:textId="4FE29FCD" w:rsidR="00C7398C" w:rsidRPr="007A682B" w:rsidRDefault="003A491B" w:rsidP="00C7398C">
      <w:pPr>
        <w:ind w:firstLine="720"/>
        <w:rPr>
          <w:rFonts w:ascii="Arial" w:hAnsi="Arial" w:cs="Arial"/>
          <w:sz w:val="20"/>
          <w:szCs w:val="20"/>
        </w:rPr>
      </w:pPr>
      <w:r w:rsidRPr="003A491B">
        <w:rPr>
          <w:rFonts w:ascii="Arial" w:hAnsi="Arial" w:cs="Arial"/>
          <w:sz w:val="20"/>
          <w:szCs w:val="20"/>
        </w:rPr>
        <w:t xml:space="preserve">Indeed, neurons in 6_POA_Mixed </w:t>
      </w:r>
      <w:r>
        <w:rPr>
          <w:rFonts w:ascii="Arial" w:hAnsi="Arial" w:cs="Arial"/>
          <w:sz w:val="20"/>
          <w:szCs w:val="20"/>
        </w:rPr>
        <w:t>showed</w:t>
      </w:r>
      <w:r w:rsidRPr="003A491B">
        <w:rPr>
          <w:rFonts w:ascii="Arial" w:hAnsi="Arial" w:cs="Arial"/>
          <w:sz w:val="20"/>
          <w:szCs w:val="20"/>
        </w:rPr>
        <w:t xml:space="preserve"> 1.2-fold higher CytoTRACE scores in Intermediates than in Females, indicating lower inferred cellular maturity during the Intermediate phase (F(2,16) = 4.256, p = 0.033; </w:t>
      </w:r>
      <w:r w:rsidRPr="003A491B">
        <w:rPr>
          <w:rFonts w:ascii="Arial" w:hAnsi="Arial" w:cs="Arial"/>
          <w:sz w:val="20"/>
          <w:szCs w:val="20"/>
          <w:highlight w:val="yellow"/>
        </w:rPr>
        <w:t>Fig. 5B</w:t>
      </w:r>
      <w:r w:rsidRPr="003A491B">
        <w:rPr>
          <w:rFonts w:ascii="Arial" w:hAnsi="Arial" w:cs="Arial"/>
          <w:sz w:val="20"/>
          <w:szCs w:val="20"/>
        </w:rPr>
        <w:t>, Appendix S1).</w:t>
      </w:r>
      <w:r>
        <w:rPr>
          <w:rFonts w:ascii="Arial" w:hAnsi="Arial" w:cs="Arial"/>
          <w:sz w:val="20"/>
          <w:szCs w:val="20"/>
        </w:rPr>
        <w:t xml:space="preserve"> </w:t>
      </w:r>
      <w:r w:rsidR="00C7398C" w:rsidRPr="007A682B">
        <w:rPr>
          <w:rFonts w:ascii="Arial" w:hAnsi="Arial" w:cs="Arial"/>
          <w:sz w:val="20"/>
          <w:szCs w:val="20"/>
        </w:rPr>
        <w:t xml:space="preserve">As further evidence for the hypothesis that new cells are added during the </w:t>
      </w:r>
      <w:r>
        <w:rPr>
          <w:rFonts w:ascii="Arial" w:hAnsi="Arial" w:cs="Arial"/>
          <w:sz w:val="20"/>
          <w:szCs w:val="20"/>
        </w:rPr>
        <w:t>I</w:t>
      </w:r>
      <w:r w:rsidR="00C7398C" w:rsidRPr="007A682B">
        <w:rPr>
          <w:rFonts w:ascii="Arial" w:hAnsi="Arial" w:cs="Arial"/>
          <w:sz w:val="20"/>
          <w:szCs w:val="20"/>
        </w:rPr>
        <w:t>ntermediate</w:t>
      </w:r>
      <w:r w:rsidR="00680E5C">
        <w:rPr>
          <w:rFonts w:ascii="Arial" w:hAnsi="Arial" w:cs="Arial"/>
          <w:sz w:val="20"/>
          <w:szCs w:val="20"/>
        </w:rPr>
        <w:t>-</w:t>
      </w:r>
      <w:r>
        <w:rPr>
          <w:rFonts w:ascii="Arial" w:hAnsi="Arial" w:cs="Arial"/>
          <w:sz w:val="20"/>
          <w:szCs w:val="20"/>
        </w:rPr>
        <w:t>F</w:t>
      </w:r>
      <w:r w:rsidR="00680E5C">
        <w:rPr>
          <w:rFonts w:ascii="Arial" w:hAnsi="Arial" w:cs="Arial"/>
          <w:sz w:val="20"/>
          <w:szCs w:val="20"/>
        </w:rPr>
        <w:t>emale transition</w:t>
      </w:r>
      <w:r w:rsidR="00C7398C" w:rsidRPr="007A682B">
        <w:rPr>
          <w:rFonts w:ascii="Arial" w:hAnsi="Arial" w:cs="Arial"/>
          <w:sz w:val="20"/>
          <w:szCs w:val="20"/>
        </w:rPr>
        <w:t xml:space="preserve">, </w:t>
      </w:r>
      <w:r>
        <w:rPr>
          <w:rFonts w:ascii="Arial" w:hAnsi="Arial" w:cs="Arial"/>
          <w:sz w:val="20"/>
          <w:szCs w:val="20"/>
        </w:rPr>
        <w:t>I</w:t>
      </w:r>
      <w:r w:rsidR="00C7398C" w:rsidRPr="007A682B">
        <w:rPr>
          <w:rFonts w:ascii="Arial" w:hAnsi="Arial" w:cs="Arial"/>
          <w:sz w:val="20"/>
          <w:szCs w:val="20"/>
        </w:rPr>
        <w:t xml:space="preserve">ntermediates showed </w:t>
      </w:r>
      <w:r w:rsidR="00A974E0">
        <w:rPr>
          <w:rFonts w:ascii="Arial" w:hAnsi="Arial" w:cs="Arial"/>
          <w:sz w:val="20"/>
          <w:szCs w:val="20"/>
        </w:rPr>
        <w:t>1.1-fold</w:t>
      </w:r>
      <w:r w:rsidR="00C7398C" w:rsidRPr="007A682B">
        <w:rPr>
          <w:rFonts w:ascii="Arial" w:hAnsi="Arial" w:cs="Arial"/>
          <w:sz w:val="20"/>
          <w:szCs w:val="20"/>
        </w:rPr>
        <w:t xml:space="preserve"> higher expression for</w:t>
      </w:r>
      <w:r w:rsidR="00A974E0">
        <w:rPr>
          <w:rFonts w:ascii="Arial" w:hAnsi="Arial" w:cs="Arial"/>
          <w:sz w:val="20"/>
          <w:szCs w:val="20"/>
        </w:rPr>
        <w:t xml:space="preserve"> both</w:t>
      </w:r>
      <w:r w:rsidR="00C7398C" w:rsidRPr="007A682B">
        <w:rPr>
          <w:rFonts w:ascii="Arial" w:hAnsi="Arial" w:cs="Arial"/>
          <w:sz w:val="20"/>
          <w:szCs w:val="20"/>
        </w:rPr>
        <w:t xml:space="preserve"> a module consisting of genes annotated with the GO terms “brain development”</w:t>
      </w:r>
      <w:r w:rsidR="00A974E0">
        <w:rPr>
          <w:rFonts w:ascii="Arial" w:hAnsi="Arial" w:cs="Arial"/>
          <w:sz w:val="20"/>
          <w:szCs w:val="20"/>
        </w:rPr>
        <w:t xml:space="preserve"> </w:t>
      </w:r>
      <w:r w:rsidR="00C7398C" w:rsidRPr="007A682B">
        <w:rPr>
          <w:rFonts w:ascii="Arial" w:hAnsi="Arial" w:cs="Arial"/>
          <w:sz w:val="20"/>
          <w:szCs w:val="20"/>
        </w:rPr>
        <w:t>(</w:t>
      </w:r>
      <w:r w:rsidR="00A974E0">
        <w:rPr>
          <w:rFonts w:ascii="Arial" w:hAnsi="Arial" w:cs="Arial"/>
          <w:sz w:val="20"/>
          <w:szCs w:val="20"/>
        </w:rPr>
        <w:t xml:space="preserve">F(2,16) = 10.800, </w:t>
      </w:r>
      <w:r w:rsidR="00A974E0" w:rsidRPr="00A974E0">
        <w:rPr>
          <w:rFonts w:ascii="Arial" w:hAnsi="Arial" w:cs="Arial"/>
          <w:i/>
          <w:iCs/>
          <w:sz w:val="20"/>
          <w:szCs w:val="20"/>
        </w:rPr>
        <w:t>p</w:t>
      </w:r>
      <w:r w:rsidR="00A974E0">
        <w:rPr>
          <w:rFonts w:ascii="Arial" w:hAnsi="Arial" w:cs="Arial"/>
          <w:i/>
          <w:iCs/>
          <w:sz w:val="20"/>
          <w:szCs w:val="20"/>
        </w:rPr>
        <w:t xml:space="preserve">= </w:t>
      </w:r>
      <w:r w:rsidR="00A974E0">
        <w:rPr>
          <w:rFonts w:ascii="Arial" w:hAnsi="Arial" w:cs="Arial"/>
          <w:sz w:val="20"/>
          <w:szCs w:val="20"/>
        </w:rPr>
        <w:t>0.001 ,</w:t>
      </w:r>
      <w:r w:rsidR="00C7398C" w:rsidRPr="00A974E0">
        <w:rPr>
          <w:rFonts w:ascii="Arial" w:hAnsi="Arial" w:cs="Arial"/>
          <w:sz w:val="20"/>
          <w:szCs w:val="20"/>
        </w:rPr>
        <w:t>GO</w:t>
      </w:r>
      <w:r w:rsidR="00C7398C" w:rsidRPr="007A682B">
        <w:rPr>
          <w:rFonts w:ascii="Arial" w:hAnsi="Arial" w:cs="Arial"/>
          <w:sz w:val="20"/>
          <w:szCs w:val="20"/>
        </w:rPr>
        <w:t>:0007420</w:t>
      </w:r>
      <w:r w:rsidR="006E4B96">
        <w:rPr>
          <w:rFonts w:ascii="Arial" w:hAnsi="Arial" w:cs="Arial"/>
          <w:sz w:val="20"/>
          <w:szCs w:val="20"/>
        </w:rPr>
        <w:t>,</w:t>
      </w:r>
      <w:r w:rsidR="005C41EC" w:rsidRPr="007A682B">
        <w:rPr>
          <w:rFonts w:ascii="Arial" w:hAnsi="Arial" w:cs="Arial"/>
          <w:sz w:val="20"/>
          <w:szCs w:val="20"/>
          <w:highlight w:val="yellow"/>
        </w:rPr>
        <w:t xml:space="preserve"> </w:t>
      </w:r>
      <w:r w:rsidR="00C7398C" w:rsidRPr="007A682B">
        <w:rPr>
          <w:rFonts w:ascii="Arial" w:hAnsi="Arial" w:cs="Arial"/>
          <w:sz w:val="20"/>
          <w:szCs w:val="20"/>
          <w:highlight w:val="yellow"/>
        </w:rPr>
        <w:t>Fig. 5</w:t>
      </w:r>
      <w:r w:rsidR="008C397B" w:rsidRPr="007A682B">
        <w:rPr>
          <w:rFonts w:ascii="Arial" w:hAnsi="Arial" w:cs="Arial"/>
          <w:sz w:val="20"/>
          <w:szCs w:val="20"/>
        </w:rPr>
        <w:t>C</w:t>
      </w:r>
      <w:r w:rsidR="00C7398C" w:rsidRPr="007A682B">
        <w:rPr>
          <w:rFonts w:ascii="Arial" w:hAnsi="Arial" w:cs="Arial"/>
          <w:sz w:val="20"/>
          <w:szCs w:val="20"/>
        </w:rPr>
        <w:t xml:space="preserve">, Appendix S1) and </w:t>
      </w:r>
      <w:r w:rsidR="00A974E0">
        <w:rPr>
          <w:rFonts w:ascii="Arial" w:hAnsi="Arial" w:cs="Arial"/>
          <w:sz w:val="20"/>
          <w:szCs w:val="20"/>
        </w:rPr>
        <w:t>a module of genes annotated with the term</w:t>
      </w:r>
      <w:r w:rsidR="001E447B">
        <w:rPr>
          <w:rFonts w:ascii="Arial" w:hAnsi="Arial" w:cs="Arial"/>
          <w:sz w:val="20"/>
          <w:szCs w:val="20"/>
        </w:rPr>
        <w:t xml:space="preserve"> </w:t>
      </w:r>
      <w:r w:rsidR="00C7398C" w:rsidRPr="007A682B">
        <w:rPr>
          <w:rFonts w:ascii="Arial" w:hAnsi="Arial" w:cs="Arial"/>
          <w:sz w:val="20"/>
          <w:szCs w:val="20"/>
        </w:rPr>
        <w:t>“axon guidance receptor activity” (</w:t>
      </w:r>
      <w:r w:rsidR="00A974E0">
        <w:rPr>
          <w:rFonts w:ascii="Arial" w:hAnsi="Arial" w:cs="Arial"/>
          <w:sz w:val="20"/>
          <w:szCs w:val="20"/>
        </w:rPr>
        <w:t xml:space="preserve">F(2,16) = 5.68, </w:t>
      </w:r>
      <w:r w:rsidR="00A974E0" w:rsidRPr="00A974E0">
        <w:rPr>
          <w:rFonts w:ascii="Arial" w:hAnsi="Arial" w:cs="Arial"/>
          <w:i/>
          <w:iCs/>
          <w:sz w:val="20"/>
          <w:szCs w:val="20"/>
        </w:rPr>
        <w:t>p</w:t>
      </w:r>
      <w:r w:rsidR="00A974E0">
        <w:rPr>
          <w:rFonts w:ascii="Arial" w:hAnsi="Arial" w:cs="Arial"/>
          <w:i/>
          <w:iCs/>
          <w:sz w:val="20"/>
          <w:szCs w:val="20"/>
        </w:rPr>
        <w:t xml:space="preserve">= </w:t>
      </w:r>
      <w:r w:rsidR="00A974E0">
        <w:rPr>
          <w:rFonts w:ascii="Arial" w:hAnsi="Arial" w:cs="Arial"/>
          <w:sz w:val="20"/>
          <w:szCs w:val="20"/>
        </w:rPr>
        <w:t xml:space="preserve">0.014, </w:t>
      </w:r>
      <w:r w:rsidR="00C7398C" w:rsidRPr="007A682B">
        <w:rPr>
          <w:rFonts w:ascii="Arial" w:hAnsi="Arial" w:cs="Arial"/>
          <w:sz w:val="20"/>
          <w:szCs w:val="20"/>
        </w:rPr>
        <w:t>GO:</w:t>
      </w:r>
      <w:r w:rsidR="00A974E0" w:rsidRPr="00A974E0">
        <w:rPr>
          <w:rFonts w:ascii="Arial" w:hAnsi="Arial" w:cs="Arial"/>
          <w:sz w:val="20"/>
          <w:szCs w:val="20"/>
        </w:rPr>
        <w:t>0008046</w:t>
      </w:r>
      <w:r w:rsidR="003628DE" w:rsidRPr="007A682B">
        <w:rPr>
          <w:rFonts w:ascii="Arial" w:hAnsi="Arial" w:cs="Arial"/>
          <w:sz w:val="20"/>
          <w:szCs w:val="20"/>
        </w:rPr>
        <w:t xml:space="preserve">, </w:t>
      </w:r>
      <w:r w:rsidR="00C7398C" w:rsidRPr="007A682B">
        <w:rPr>
          <w:rFonts w:ascii="Arial" w:hAnsi="Arial" w:cs="Arial"/>
          <w:sz w:val="20"/>
          <w:szCs w:val="20"/>
          <w:highlight w:val="yellow"/>
        </w:rPr>
        <w:t>Fig. 5</w:t>
      </w:r>
      <w:r w:rsidR="008C397B" w:rsidRPr="007A682B">
        <w:rPr>
          <w:rFonts w:ascii="Arial" w:hAnsi="Arial" w:cs="Arial"/>
          <w:sz w:val="20"/>
          <w:szCs w:val="20"/>
        </w:rPr>
        <w:t>D</w:t>
      </w:r>
      <w:r w:rsidR="00C7398C" w:rsidRPr="007A682B">
        <w:rPr>
          <w:rFonts w:ascii="Arial" w:hAnsi="Arial" w:cs="Arial"/>
          <w:sz w:val="20"/>
          <w:szCs w:val="20"/>
        </w:rPr>
        <w:t xml:space="preserve">, Appendix S1). </w:t>
      </w:r>
      <w:r w:rsidR="009A359B" w:rsidRPr="009A359B">
        <w:rPr>
          <w:rFonts w:ascii="Arial" w:hAnsi="Arial" w:cs="Arial"/>
          <w:sz w:val="20"/>
          <w:szCs w:val="20"/>
        </w:rPr>
        <w:t>Together with the increase in the relative abundance of 6_POA_Mixed during the Intermediate-to-Female transition and previous evidence of POA neurogenesis</w:t>
      </w:r>
      <w:r w:rsidR="00C7398C" w:rsidRPr="007A682B">
        <w:rPr>
          <w:rFonts w:ascii="Arial" w:hAnsi="Arial" w:cs="Arial"/>
          <w:sz w:val="20"/>
          <w:szCs w:val="20"/>
        </w:rPr>
        <w:t xml:space="preserve"> </w:t>
      </w:r>
      <w:r w:rsidR="00C7398C" w:rsidRPr="007A682B">
        <w:rPr>
          <w:rFonts w:ascii="Arial" w:hAnsi="Arial" w:cs="Arial"/>
          <w:sz w:val="20"/>
          <w:szCs w:val="20"/>
        </w:rPr>
        <w:fldChar w:fldCharType="begin"/>
      </w:r>
      <w:r w:rsidR="00C7398C" w:rsidRPr="007A682B">
        <w:rPr>
          <w:rFonts w:ascii="Arial" w:hAnsi="Arial" w:cs="Arial"/>
          <w:sz w:val="20"/>
          <w:szCs w:val="20"/>
        </w:rPr>
        <w:instrText xml:space="preserve"> ADDIN ZOTERO_ITEM CSL_CITATION {"citationID":"36WGZwQb","properties":{"unsorted":false,"formattedCitation":"(6)","plainCitation":"(6)","noteIndex":0},"citationItems":[{"id":16,"uris":["http://zotero.org/users/11313215/items/VGA9PBJ3"],"itemData":{"id":16,"type":"article-journal","abstract":"Sex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C7398C" w:rsidRPr="007A682B">
        <w:rPr>
          <w:rFonts w:ascii="Arial" w:hAnsi="Arial" w:cs="Arial"/>
          <w:sz w:val="20"/>
          <w:szCs w:val="20"/>
        </w:rPr>
        <w:fldChar w:fldCharType="separate"/>
      </w:r>
      <w:r w:rsidR="00C7398C" w:rsidRPr="007A682B">
        <w:rPr>
          <w:rFonts w:ascii="Arial" w:hAnsi="Arial" w:cs="Arial"/>
          <w:noProof/>
          <w:sz w:val="20"/>
          <w:szCs w:val="20"/>
        </w:rPr>
        <w:t>(6)</w:t>
      </w:r>
      <w:r w:rsidR="00C7398C" w:rsidRPr="007A682B">
        <w:rPr>
          <w:rFonts w:ascii="Arial" w:hAnsi="Arial" w:cs="Arial"/>
          <w:sz w:val="20"/>
          <w:szCs w:val="20"/>
        </w:rPr>
        <w:fldChar w:fldCharType="end"/>
      </w:r>
      <w:r w:rsidR="00C7398C" w:rsidRPr="007A682B">
        <w:rPr>
          <w:rFonts w:ascii="Arial" w:hAnsi="Arial" w:cs="Arial"/>
          <w:sz w:val="20"/>
          <w:szCs w:val="20"/>
        </w:rPr>
        <w:t>,</w:t>
      </w:r>
      <w:r w:rsidR="009A359B" w:rsidRPr="009A359B">
        <w:t xml:space="preserve"> </w:t>
      </w:r>
      <w:r w:rsidR="009A359B" w:rsidRPr="009A359B">
        <w:rPr>
          <w:rFonts w:ascii="Arial" w:hAnsi="Arial" w:cs="Arial"/>
          <w:sz w:val="20"/>
          <w:szCs w:val="20"/>
        </w:rPr>
        <w:t>these findings are consistent with the incorporation and maturation of newly generated neurons in this population during sex change.</w:t>
      </w:r>
    </w:p>
    <w:p w14:paraId="007873E6" w14:textId="7B794A9F" w:rsidR="008C3E81" w:rsidRPr="007A682B" w:rsidRDefault="00C7398C" w:rsidP="00817393">
      <w:pPr>
        <w:rPr>
          <w:rFonts w:ascii="Arial" w:hAnsi="Arial" w:cs="Arial"/>
          <w:sz w:val="20"/>
          <w:szCs w:val="20"/>
        </w:rPr>
      </w:pPr>
      <w:r w:rsidRPr="007A682B">
        <w:rPr>
          <w:rFonts w:ascii="Arial" w:hAnsi="Arial" w:cs="Arial"/>
          <w:sz w:val="20"/>
          <w:szCs w:val="20"/>
        </w:rPr>
        <w:tab/>
      </w:r>
      <w:r w:rsidR="009A359B" w:rsidRPr="009A359B">
        <w:rPr>
          <w:rFonts w:ascii="Arial" w:hAnsi="Arial" w:cs="Arial"/>
          <w:sz w:val="20"/>
          <w:szCs w:val="20"/>
        </w:rPr>
        <w:t>Beyond neurogenesis, we examined evidence of synaptic plasticity in 6_POA_Mixed. GO analysis of DEGs revealed enrichment for genes associated with perineuronal net remodeling (</w:t>
      </w:r>
      <w:r w:rsidR="009A359B" w:rsidRPr="009A359B">
        <w:rPr>
          <w:rFonts w:ascii="Arial" w:hAnsi="Arial" w:cs="Arial"/>
          <w:sz w:val="20"/>
          <w:szCs w:val="20"/>
          <w:highlight w:val="yellow"/>
        </w:rPr>
        <w:t>Fig. S9</w:t>
      </w:r>
      <w:r w:rsidR="009A359B" w:rsidRPr="009A359B">
        <w:rPr>
          <w:rFonts w:ascii="Arial" w:hAnsi="Arial" w:cs="Arial"/>
          <w:sz w:val="20"/>
          <w:szCs w:val="20"/>
        </w:rPr>
        <w:t>), while several ECM and cell adhesion genes were identified as DEGs or DARs (</w:t>
      </w:r>
      <w:r w:rsidR="009A359B" w:rsidRPr="009A359B">
        <w:rPr>
          <w:rFonts w:ascii="Arial" w:hAnsi="Arial" w:cs="Arial"/>
          <w:sz w:val="20"/>
          <w:szCs w:val="20"/>
          <w:highlight w:val="yellow"/>
        </w:rPr>
        <w:t>Fig. 5E, F</w:t>
      </w:r>
      <w:r w:rsidR="009A359B" w:rsidRPr="009A359B">
        <w:rPr>
          <w:rFonts w:ascii="Arial" w:hAnsi="Arial" w:cs="Arial"/>
          <w:sz w:val="20"/>
          <w:szCs w:val="20"/>
        </w:rPr>
        <w:t>). Consistent with synaptic remodeling, expression of a gene module associated with “regulation of synaptic plasticity” (GO:0048167) differed significantly across phases (F(2,16) = 5.754, p = 0.013), with 1.1-fold higher expression in Males and Intermediates than in Females (</w:t>
      </w:r>
      <w:r w:rsidR="009A359B" w:rsidRPr="009A359B">
        <w:rPr>
          <w:rFonts w:ascii="Arial" w:hAnsi="Arial" w:cs="Arial"/>
          <w:sz w:val="20"/>
          <w:szCs w:val="20"/>
          <w:highlight w:val="yellow"/>
        </w:rPr>
        <w:t>Fig. 5G</w:t>
      </w:r>
      <w:r w:rsidR="009A359B" w:rsidRPr="009A359B">
        <w:rPr>
          <w:rFonts w:ascii="Arial" w:hAnsi="Arial" w:cs="Arial"/>
          <w:sz w:val="20"/>
          <w:szCs w:val="20"/>
        </w:rPr>
        <w:t>). Together, these findings suggest that synaptic remodeling accompanies sex change, with plasticity-associated gene expression remaining elevated through the Intermediate phase before declining in Females.</w:t>
      </w:r>
      <w:r w:rsidR="00360E1D" w:rsidRPr="007A682B">
        <w:rPr>
          <w:rFonts w:ascii="Arial" w:hAnsi="Arial" w:cs="Arial"/>
          <w:sz w:val="20"/>
          <w:szCs w:val="20"/>
        </w:rPr>
        <w:t xml:space="preserve"> </w:t>
      </w:r>
    </w:p>
    <w:p w14:paraId="64F9288B" w14:textId="77777777" w:rsidR="00D770B1" w:rsidRPr="007A682B" w:rsidRDefault="00D770B1" w:rsidP="00D770B1">
      <w:pPr>
        <w:ind w:firstLine="720"/>
        <w:rPr>
          <w:rFonts w:ascii="Arial" w:hAnsi="Arial" w:cs="Arial"/>
          <w:sz w:val="20"/>
          <w:szCs w:val="20"/>
        </w:rPr>
      </w:pPr>
    </w:p>
    <w:p w14:paraId="02707CA2" w14:textId="77777777" w:rsidR="00267A9B" w:rsidRPr="007A682B" w:rsidRDefault="00267A9B" w:rsidP="004816FA">
      <w:pPr>
        <w:rPr>
          <w:rFonts w:ascii="Arial" w:hAnsi="Arial" w:cs="Arial"/>
          <w:b/>
          <w:bCs/>
          <w:sz w:val="20"/>
          <w:szCs w:val="20"/>
        </w:rPr>
      </w:pPr>
      <w:r w:rsidRPr="007A682B">
        <w:rPr>
          <w:rFonts w:ascii="Arial" w:hAnsi="Arial" w:cs="Arial"/>
          <w:b/>
          <w:bCs/>
          <w:sz w:val="20"/>
          <w:szCs w:val="20"/>
        </w:rPr>
        <w:t>Candidate Gonadotroph-Regulating Neurons Undergo Distinct Modes of Remodeling During Sex Change</w:t>
      </w:r>
    </w:p>
    <w:p w14:paraId="66C759F5" w14:textId="496E69F6" w:rsidR="00CE51AB" w:rsidRPr="007A682B" w:rsidRDefault="00CE51AB" w:rsidP="004816FA">
      <w:pPr>
        <w:rPr>
          <w:rFonts w:ascii="Arial" w:hAnsi="Arial" w:cs="Arial"/>
          <w:sz w:val="20"/>
          <w:szCs w:val="20"/>
        </w:rPr>
      </w:pPr>
      <w:r w:rsidRPr="007A682B">
        <w:rPr>
          <w:rFonts w:ascii="Arial" w:hAnsi="Arial" w:cs="Arial"/>
          <w:sz w:val="20"/>
          <w:szCs w:val="20"/>
        </w:rPr>
        <w:lastRenderedPageBreak/>
        <w:tab/>
      </w:r>
      <w:r w:rsidR="005F52F0" w:rsidRPr="005F52F0">
        <w:rPr>
          <w:rFonts w:ascii="Arial" w:hAnsi="Arial" w:cs="Arial"/>
          <w:sz w:val="20"/>
          <w:szCs w:val="20"/>
        </w:rPr>
        <w:t>Having identified evidence consistent with the incorporation of newly generated neurons into 6_POA_Mixed, we next examined which molecularly defined neuroendocrine populations might contribute to this remodeling. Specifically, we sought to distinguish increases in marker-positive neuronal populations associated with the incorporation of newly generated neurons from those potentially explained by increased marker expression in preexisting neurons.</w:t>
      </w:r>
    </w:p>
    <w:p w14:paraId="1AEFDA1B" w14:textId="00473D39" w:rsidR="00181D45" w:rsidRDefault="00CE51AB" w:rsidP="004816FA">
      <w:pPr>
        <w:rPr>
          <w:rFonts w:ascii="Arial" w:hAnsi="Arial" w:cs="Arial"/>
          <w:sz w:val="20"/>
          <w:szCs w:val="20"/>
        </w:rPr>
      </w:pPr>
      <w:r w:rsidRPr="007A682B">
        <w:rPr>
          <w:rFonts w:ascii="Arial" w:hAnsi="Arial" w:cs="Arial"/>
          <w:sz w:val="20"/>
          <w:szCs w:val="20"/>
        </w:rPr>
        <w:tab/>
      </w:r>
      <w:r w:rsidR="000E3F08" w:rsidRPr="007A682B">
        <w:rPr>
          <w:rFonts w:ascii="Arial" w:hAnsi="Arial" w:cs="Arial"/>
          <w:sz w:val="20"/>
          <w:szCs w:val="20"/>
        </w:rPr>
        <w:t>We detected significant changes in several molecularly defined neuronal populations implicated in gonadotroph regulation</w:t>
      </w:r>
      <w:r w:rsidR="00181D45">
        <w:rPr>
          <w:rFonts w:ascii="Arial" w:hAnsi="Arial" w:cs="Arial"/>
          <w:sz w:val="20"/>
          <w:szCs w:val="20"/>
        </w:rPr>
        <w:t xml:space="preserve"> within </w:t>
      </w:r>
      <w:r w:rsidR="00181D45" w:rsidRPr="005F52F0">
        <w:rPr>
          <w:rFonts w:ascii="Arial" w:hAnsi="Arial" w:cs="Arial"/>
          <w:sz w:val="20"/>
          <w:szCs w:val="20"/>
        </w:rPr>
        <w:t>6_POA_Mixed</w:t>
      </w:r>
      <w:r w:rsidR="00643A53">
        <w:rPr>
          <w:rFonts w:ascii="Arial" w:hAnsi="Arial" w:cs="Arial"/>
          <w:sz w:val="20"/>
          <w:szCs w:val="20"/>
        </w:rPr>
        <w:t>, specifically</w:t>
      </w:r>
      <w:r w:rsidR="00D770B1" w:rsidRPr="007A682B">
        <w:rPr>
          <w:rFonts w:ascii="Arial" w:hAnsi="Arial" w:cs="Arial"/>
          <w:sz w:val="20"/>
          <w:szCs w:val="20"/>
        </w:rPr>
        <w:t xml:space="preserve"> neurons expressing</w:t>
      </w:r>
      <w:r w:rsidR="000E3F08" w:rsidRPr="007A682B">
        <w:rPr>
          <w:rFonts w:ascii="Arial" w:hAnsi="Arial" w:cs="Arial"/>
          <w:sz w:val="20"/>
          <w:szCs w:val="20"/>
        </w:rPr>
        <w:t xml:space="preserve"> </w:t>
      </w:r>
      <w:r w:rsidR="000E3F08" w:rsidRPr="007A682B">
        <w:rPr>
          <w:rFonts w:ascii="Arial" w:hAnsi="Arial" w:cs="Arial"/>
          <w:i/>
          <w:iCs/>
          <w:sz w:val="20"/>
          <w:szCs w:val="20"/>
        </w:rPr>
        <w:t>drd3</w:t>
      </w:r>
      <w:r w:rsidR="000E3F08" w:rsidRPr="007A682B">
        <w:rPr>
          <w:rFonts w:ascii="Arial" w:hAnsi="Arial" w:cs="Arial"/>
          <w:sz w:val="20"/>
          <w:szCs w:val="20"/>
        </w:rPr>
        <w:t xml:space="preserve">, </w:t>
      </w:r>
      <w:r w:rsidR="000E3F08" w:rsidRPr="007A682B">
        <w:rPr>
          <w:rFonts w:ascii="Arial" w:hAnsi="Arial" w:cs="Arial"/>
          <w:i/>
          <w:iCs/>
          <w:sz w:val="20"/>
          <w:szCs w:val="20"/>
        </w:rPr>
        <w:t>tacr3a</w:t>
      </w:r>
      <w:r w:rsidR="000E3F08" w:rsidRPr="007A682B">
        <w:rPr>
          <w:rFonts w:ascii="Arial" w:hAnsi="Arial" w:cs="Arial"/>
          <w:sz w:val="20"/>
          <w:szCs w:val="20"/>
        </w:rPr>
        <w:t xml:space="preserve">, </w:t>
      </w:r>
      <w:r w:rsidR="000E3F08" w:rsidRPr="007A682B">
        <w:rPr>
          <w:rFonts w:ascii="Arial" w:hAnsi="Arial" w:cs="Arial"/>
          <w:i/>
          <w:iCs/>
          <w:sz w:val="20"/>
          <w:szCs w:val="20"/>
        </w:rPr>
        <w:t>npy7r</w:t>
      </w:r>
      <w:r w:rsidR="000E3F08" w:rsidRPr="007A682B">
        <w:rPr>
          <w:rFonts w:ascii="Arial" w:hAnsi="Arial" w:cs="Arial"/>
          <w:sz w:val="20"/>
          <w:szCs w:val="20"/>
        </w:rPr>
        <w:t xml:space="preserve">, </w:t>
      </w:r>
      <w:r w:rsidR="000E3F08" w:rsidRPr="007A682B">
        <w:rPr>
          <w:rFonts w:ascii="Arial" w:hAnsi="Arial" w:cs="Arial"/>
          <w:i/>
          <w:iCs/>
          <w:sz w:val="20"/>
          <w:szCs w:val="20"/>
        </w:rPr>
        <w:t>nmbr</w:t>
      </w:r>
      <w:r w:rsidR="000E3F08" w:rsidRPr="007A682B">
        <w:rPr>
          <w:rFonts w:ascii="Arial" w:hAnsi="Arial" w:cs="Arial"/>
          <w:sz w:val="20"/>
          <w:szCs w:val="20"/>
        </w:rPr>
        <w:t xml:space="preserve">, </w:t>
      </w:r>
      <w:r w:rsidR="00120EF9" w:rsidRPr="007A682B">
        <w:rPr>
          <w:rFonts w:ascii="Arial" w:hAnsi="Arial" w:cs="Arial"/>
          <w:sz w:val="20"/>
          <w:szCs w:val="20"/>
        </w:rPr>
        <w:t xml:space="preserve">or </w:t>
      </w:r>
      <w:r w:rsidR="000E3F08" w:rsidRPr="007A682B">
        <w:rPr>
          <w:rFonts w:ascii="Arial" w:hAnsi="Arial" w:cs="Arial"/>
          <w:i/>
          <w:iCs/>
          <w:sz w:val="20"/>
          <w:szCs w:val="20"/>
        </w:rPr>
        <w:t>cckb</w:t>
      </w:r>
      <w:r w:rsidR="000E3F08" w:rsidRPr="007A682B">
        <w:rPr>
          <w:rFonts w:ascii="Arial" w:hAnsi="Arial" w:cs="Arial"/>
          <w:sz w:val="20"/>
          <w:szCs w:val="20"/>
        </w:rPr>
        <w:t xml:space="preserve"> (</w:t>
      </w:r>
      <w:r w:rsidR="000E3F08" w:rsidRPr="007A682B">
        <w:rPr>
          <w:rFonts w:ascii="Arial" w:hAnsi="Arial" w:cs="Arial"/>
          <w:sz w:val="20"/>
          <w:szCs w:val="20"/>
          <w:highlight w:val="yellow"/>
        </w:rPr>
        <w:t>Fig. 5C; Fig. S</w:t>
      </w:r>
      <w:r w:rsidR="00376C7F" w:rsidRPr="007A682B">
        <w:rPr>
          <w:rFonts w:ascii="Arial" w:hAnsi="Arial" w:cs="Arial"/>
          <w:sz w:val="20"/>
          <w:szCs w:val="20"/>
          <w:highlight w:val="yellow"/>
        </w:rPr>
        <w:t>10</w:t>
      </w:r>
      <w:r w:rsidR="0028615F" w:rsidRPr="007A682B">
        <w:rPr>
          <w:rFonts w:ascii="Arial" w:hAnsi="Arial" w:cs="Arial"/>
          <w:sz w:val="20"/>
          <w:szCs w:val="20"/>
          <w:highlight w:val="yellow"/>
        </w:rPr>
        <w:t>A-E</w:t>
      </w:r>
      <w:r w:rsidR="00BC1A9E" w:rsidRPr="007A682B">
        <w:rPr>
          <w:rFonts w:ascii="Arial" w:hAnsi="Arial" w:cs="Arial"/>
          <w:sz w:val="20"/>
          <w:szCs w:val="20"/>
        </w:rPr>
        <w:t>, Appendix S1</w:t>
      </w:r>
      <w:r w:rsidR="000E3F08" w:rsidRPr="007A682B">
        <w:rPr>
          <w:rFonts w:ascii="Arial" w:hAnsi="Arial" w:cs="Arial"/>
          <w:sz w:val="20"/>
          <w:szCs w:val="20"/>
        </w:rPr>
        <w:t xml:space="preserve">) </w:t>
      </w:r>
      <w:r w:rsidR="000E3F08"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rxgckag1","properties":{"unsorted":false,"formattedCitation":"(35\\uc0\\u8211{}39)","plainCitation":"(35–39)","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304DDF">
        <w:rPr>
          <w:rFonts w:ascii="Cambria Math" w:hAnsi="Cambria Math" w:cs="Cambria Math"/>
          <w:sz w:val="20"/>
          <w:szCs w:val="20"/>
        </w:rPr>
        <w:instrText>∼</w:instrText>
      </w:r>
      <w:r w:rsidR="00304DDF">
        <w:rPr>
          <w:rFonts w:ascii="Arial" w:hAnsi="Arial" w:cs="Arial"/>
          <w:sz w:val="20"/>
          <w:szCs w:val="20"/>
        </w:rPr>
        <w:instrText xml:space="preserve">20 stimulatory and </w:instrText>
      </w:r>
      <w:r w:rsidR="00304DDF">
        <w:rPr>
          <w:rFonts w:ascii="Cambria Math" w:hAnsi="Cambria Math" w:cs="Cambria Math"/>
          <w:sz w:val="20"/>
          <w:szCs w:val="20"/>
        </w:rPr>
        <w:instrText>∼</w:instrText>
      </w:r>
      <w:r w:rsidR="00304DDF">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Levavi"}],"accessed":{"date-parts":[["2024",8,15]]},"issued":{"date-parts":[["2024",5,7]]}}},{"id":5627,"uris":["http://zotero.org/users/11313215/items/8PARS2VU"],"itemData":{"id":5627,"type":"article-journal","abstract":"In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000E3F08" w:rsidRPr="007A682B">
        <w:rPr>
          <w:rFonts w:ascii="Arial" w:hAnsi="Arial" w:cs="Arial"/>
          <w:sz w:val="20"/>
          <w:szCs w:val="20"/>
        </w:rPr>
        <w:fldChar w:fldCharType="separate"/>
      </w:r>
      <w:r w:rsidR="00304DDF" w:rsidRPr="00304DDF">
        <w:rPr>
          <w:rFonts w:ascii="Arial" w:hAnsi="Arial" w:cs="Arial"/>
          <w:color w:val="000000"/>
          <w:kern w:val="0"/>
          <w:sz w:val="20"/>
          <w:szCs w:val="24"/>
        </w:rPr>
        <w:t>(35–39)</w:t>
      </w:r>
      <w:r w:rsidR="000E3F08" w:rsidRPr="007A682B">
        <w:rPr>
          <w:rFonts w:ascii="Arial" w:hAnsi="Arial" w:cs="Arial"/>
          <w:sz w:val="20"/>
          <w:szCs w:val="20"/>
        </w:rPr>
        <w:fldChar w:fldCharType="end"/>
      </w:r>
      <w:r w:rsidR="000E3F08" w:rsidRPr="007A682B">
        <w:rPr>
          <w:rFonts w:ascii="Arial" w:hAnsi="Arial" w:cs="Arial"/>
          <w:sz w:val="20"/>
          <w:szCs w:val="20"/>
        </w:rPr>
        <w:t xml:space="preserve">. </w:t>
      </w:r>
      <w:r w:rsidR="00643A53">
        <w:rPr>
          <w:rFonts w:ascii="Arial" w:hAnsi="Arial" w:cs="Arial"/>
          <w:sz w:val="20"/>
          <w:szCs w:val="20"/>
        </w:rPr>
        <w:t>Notably absent from the list is</w:t>
      </w:r>
      <w:r w:rsidR="00643A53" w:rsidRPr="007A682B">
        <w:rPr>
          <w:rFonts w:ascii="Arial" w:hAnsi="Arial" w:cs="Arial"/>
          <w:sz w:val="20"/>
          <w:szCs w:val="20"/>
        </w:rPr>
        <w:t xml:space="preserve"> </w:t>
      </w:r>
      <w:r w:rsidR="00643A53" w:rsidRPr="007A682B">
        <w:rPr>
          <w:rFonts w:ascii="Arial" w:hAnsi="Arial" w:cs="Arial"/>
          <w:i/>
          <w:iCs/>
          <w:sz w:val="20"/>
          <w:szCs w:val="20"/>
        </w:rPr>
        <w:t>gnrh1</w:t>
      </w:r>
      <w:r w:rsidR="00643A53">
        <w:rPr>
          <w:rFonts w:ascii="Arial" w:hAnsi="Arial" w:cs="Arial"/>
          <w:i/>
          <w:iCs/>
          <w:sz w:val="20"/>
          <w:szCs w:val="20"/>
        </w:rPr>
        <w:t>.</w:t>
      </w:r>
      <w:r w:rsidR="00643A53" w:rsidRPr="00643A53">
        <w:rPr>
          <w:rFonts w:ascii="Arial" w:hAnsi="Arial" w:cs="Arial"/>
          <w:sz w:val="20"/>
          <w:szCs w:val="20"/>
        </w:rPr>
        <w:t xml:space="preserve">  </w:t>
      </w:r>
      <w:r w:rsidR="00643A53" w:rsidRPr="00643A53">
        <w:rPr>
          <w:rFonts w:ascii="Arial" w:hAnsi="Arial" w:cs="Arial"/>
          <w:i/>
          <w:iCs/>
          <w:sz w:val="20"/>
          <w:szCs w:val="20"/>
        </w:rPr>
        <w:t xml:space="preserve">gnrh1 </w:t>
      </w:r>
      <w:r w:rsidR="00643A53" w:rsidRPr="00643A53">
        <w:rPr>
          <w:rFonts w:ascii="Arial" w:hAnsi="Arial" w:cs="Arial"/>
          <w:sz w:val="20"/>
          <w:szCs w:val="20"/>
        </w:rPr>
        <w:t>expression</w:t>
      </w:r>
      <w:r w:rsidR="00643A53">
        <w:rPr>
          <w:rFonts w:ascii="Arial" w:hAnsi="Arial" w:cs="Arial"/>
          <w:sz w:val="20"/>
          <w:szCs w:val="20"/>
        </w:rPr>
        <w:t xml:space="preserve"> </w:t>
      </w:r>
      <w:r w:rsidR="00643A53" w:rsidRPr="00385EE8">
        <w:rPr>
          <w:rFonts w:ascii="Arial" w:hAnsi="Arial" w:cs="Arial"/>
          <w:sz w:val="20"/>
          <w:szCs w:val="20"/>
          <w:highlight w:val="yellow"/>
        </w:rPr>
        <w:t>(</w:t>
      </w:r>
      <w:commentRangeStart w:id="9"/>
      <w:commentRangeStart w:id="10"/>
      <w:r w:rsidR="00643A53">
        <w:rPr>
          <w:rFonts w:ascii="Arial" w:hAnsi="Arial" w:cs="Arial"/>
          <w:sz w:val="20"/>
          <w:szCs w:val="20"/>
        </w:rPr>
        <w:t xml:space="preserve">F(2,16)= 2.686, </w:t>
      </w:r>
      <w:r w:rsidR="00643A53">
        <w:rPr>
          <w:rFonts w:ascii="Arial" w:hAnsi="Arial" w:cs="Arial"/>
          <w:i/>
          <w:iCs/>
          <w:sz w:val="20"/>
          <w:szCs w:val="20"/>
        </w:rPr>
        <w:t xml:space="preserve">p </w:t>
      </w:r>
      <w:r w:rsidR="00643A53">
        <w:rPr>
          <w:rFonts w:ascii="Arial" w:hAnsi="Arial" w:cs="Arial"/>
          <w:sz w:val="20"/>
          <w:szCs w:val="20"/>
        </w:rPr>
        <w:t>= 0.099</w:t>
      </w:r>
      <w:commentRangeEnd w:id="9"/>
      <w:r w:rsidR="00181D45">
        <w:rPr>
          <w:rStyle w:val="CommentReference"/>
          <w:rFonts w:ascii="Arial" w:hAnsi="Arial" w:cs="Arial"/>
          <w:sz w:val="20"/>
          <w:szCs w:val="20"/>
        </w:rPr>
        <w:commentReference w:id="9"/>
      </w:r>
      <w:commentRangeEnd w:id="10"/>
      <w:r w:rsidR="008C795A">
        <w:rPr>
          <w:rStyle w:val="CommentReference"/>
          <w:rFonts w:ascii="Arial" w:hAnsi="Arial" w:cs="Arial"/>
          <w:sz w:val="20"/>
          <w:szCs w:val="20"/>
        </w:rPr>
        <w:commentReference w:id="10"/>
      </w:r>
      <w:r w:rsidR="00643A53">
        <w:rPr>
          <w:rFonts w:ascii="Arial" w:hAnsi="Arial" w:cs="Arial"/>
          <w:sz w:val="20"/>
          <w:szCs w:val="20"/>
        </w:rPr>
        <w:t>)</w:t>
      </w:r>
      <w:r w:rsidR="00643A53" w:rsidRPr="007A682B">
        <w:rPr>
          <w:rFonts w:ascii="Arial" w:hAnsi="Arial" w:cs="Arial"/>
          <w:sz w:val="20"/>
          <w:szCs w:val="20"/>
        </w:rPr>
        <w:t xml:space="preserve"> </w:t>
      </w:r>
      <w:r w:rsidR="00643A53">
        <w:rPr>
          <w:rFonts w:ascii="Arial" w:hAnsi="Arial" w:cs="Arial"/>
          <w:sz w:val="20"/>
          <w:szCs w:val="20"/>
        </w:rPr>
        <w:t>and</w:t>
      </w:r>
      <w:r w:rsidR="00643A53" w:rsidRPr="007A682B">
        <w:rPr>
          <w:rFonts w:ascii="Arial" w:hAnsi="Arial" w:cs="Arial"/>
          <w:sz w:val="20"/>
          <w:szCs w:val="20"/>
        </w:rPr>
        <w:t xml:space="preserve"> proportion of neurons</w:t>
      </w:r>
      <w:r w:rsidR="00643A53">
        <w:rPr>
          <w:rFonts w:ascii="Arial" w:hAnsi="Arial" w:cs="Arial"/>
          <w:sz w:val="20"/>
          <w:szCs w:val="20"/>
        </w:rPr>
        <w:t xml:space="preserve"> (</w:t>
      </w:r>
      <w:r w:rsidR="00643A53" w:rsidRPr="00530E82">
        <w:rPr>
          <w:rFonts w:ascii="Arial" w:hAnsi="Arial" w:cs="Arial"/>
          <w:sz w:val="20"/>
          <w:szCs w:val="20"/>
        </w:rPr>
        <w:t>χ</w:t>
      </w:r>
      <w:r w:rsidR="00643A53">
        <w:rPr>
          <w:rFonts w:ascii="Arial" w:hAnsi="Arial" w:cs="Arial"/>
          <w:sz w:val="20"/>
          <w:szCs w:val="20"/>
          <w:vertAlign w:val="superscript"/>
        </w:rPr>
        <w:t>2</w:t>
      </w:r>
      <w:r w:rsidR="00643A53">
        <w:rPr>
          <w:rFonts w:ascii="Arial" w:hAnsi="Arial" w:cs="Arial"/>
          <w:sz w:val="20"/>
          <w:szCs w:val="20"/>
        </w:rPr>
        <w:t>(2</w:t>
      </w:r>
      <w:r w:rsidR="00643A53" w:rsidRPr="007A682B">
        <w:rPr>
          <w:rFonts w:ascii="Arial" w:hAnsi="Arial" w:cs="Arial"/>
          <w:sz w:val="20"/>
          <w:szCs w:val="20"/>
        </w:rPr>
        <w:t>)</w:t>
      </w:r>
      <w:r w:rsidR="00643A53">
        <w:rPr>
          <w:rFonts w:ascii="Arial" w:hAnsi="Arial" w:cs="Arial"/>
          <w:sz w:val="20"/>
          <w:szCs w:val="20"/>
        </w:rPr>
        <w:t xml:space="preserve"> = 2.570, </w:t>
      </w:r>
      <w:r w:rsidR="00643A53">
        <w:rPr>
          <w:rFonts w:ascii="Arial" w:hAnsi="Arial" w:cs="Arial"/>
          <w:i/>
          <w:iCs/>
          <w:sz w:val="20"/>
          <w:szCs w:val="20"/>
        </w:rPr>
        <w:t>p</w:t>
      </w:r>
      <w:r w:rsidR="00643A53">
        <w:rPr>
          <w:rFonts w:ascii="Arial" w:hAnsi="Arial" w:cs="Arial"/>
          <w:sz w:val="20"/>
          <w:szCs w:val="20"/>
        </w:rPr>
        <w:t xml:space="preserve"> = 0.277) remained similar</w:t>
      </w:r>
      <w:r w:rsidR="00643A53" w:rsidRPr="007A682B">
        <w:rPr>
          <w:rFonts w:ascii="Arial" w:hAnsi="Arial" w:cs="Arial"/>
          <w:sz w:val="20"/>
          <w:szCs w:val="20"/>
        </w:rPr>
        <w:t xml:space="preserve"> across sex change (</w:t>
      </w:r>
      <w:r w:rsidR="00643A53" w:rsidRPr="007A682B">
        <w:rPr>
          <w:rFonts w:ascii="Arial" w:hAnsi="Arial" w:cs="Arial"/>
          <w:sz w:val="20"/>
          <w:szCs w:val="20"/>
          <w:highlight w:val="yellow"/>
        </w:rPr>
        <w:t>Fig. S10C</w:t>
      </w:r>
      <w:r w:rsidR="00643A53" w:rsidRPr="007A682B">
        <w:rPr>
          <w:rFonts w:ascii="Arial" w:hAnsi="Arial" w:cs="Arial"/>
          <w:sz w:val="20"/>
          <w:szCs w:val="20"/>
        </w:rPr>
        <w:t>, Appendix S1)</w:t>
      </w:r>
      <w:r w:rsidR="00643A53">
        <w:rPr>
          <w:rFonts w:ascii="Arial" w:hAnsi="Arial" w:cs="Arial"/>
          <w:sz w:val="20"/>
          <w:szCs w:val="20"/>
        </w:rPr>
        <w:t xml:space="preserve">. </w:t>
      </w:r>
      <w:r w:rsidR="000E3F08" w:rsidRPr="007A682B">
        <w:rPr>
          <w:rFonts w:ascii="Arial" w:hAnsi="Arial" w:cs="Arial"/>
          <w:sz w:val="20"/>
          <w:szCs w:val="20"/>
        </w:rPr>
        <w:t xml:space="preserve">During the </w:t>
      </w:r>
      <w:r w:rsidR="00EC6730">
        <w:rPr>
          <w:rFonts w:ascii="Arial" w:hAnsi="Arial" w:cs="Arial"/>
          <w:sz w:val="20"/>
          <w:szCs w:val="20"/>
        </w:rPr>
        <w:t>I</w:t>
      </w:r>
      <w:r w:rsidR="000E3F08" w:rsidRPr="007A682B">
        <w:rPr>
          <w:rFonts w:ascii="Arial" w:hAnsi="Arial" w:cs="Arial"/>
          <w:sz w:val="20"/>
          <w:szCs w:val="20"/>
        </w:rPr>
        <w:t>ntermediate-to-</w:t>
      </w:r>
      <w:r w:rsidR="00EC6730">
        <w:rPr>
          <w:rFonts w:ascii="Arial" w:hAnsi="Arial" w:cs="Arial"/>
          <w:sz w:val="20"/>
          <w:szCs w:val="20"/>
        </w:rPr>
        <w:t>F</w:t>
      </w:r>
      <w:r w:rsidR="000E3F08" w:rsidRPr="007A682B">
        <w:rPr>
          <w:rFonts w:ascii="Arial" w:hAnsi="Arial" w:cs="Arial"/>
          <w:sz w:val="20"/>
          <w:szCs w:val="20"/>
        </w:rPr>
        <w:t>emale</w:t>
      </w:r>
      <w:r w:rsidR="00C108FB">
        <w:rPr>
          <w:rFonts w:ascii="Arial" w:hAnsi="Arial" w:cs="Arial"/>
          <w:sz w:val="20"/>
          <w:szCs w:val="20"/>
        </w:rPr>
        <w:t xml:space="preserve"> </w:t>
      </w:r>
      <w:r w:rsidR="000E3F08" w:rsidRPr="007A682B">
        <w:rPr>
          <w:rFonts w:ascii="Arial" w:hAnsi="Arial" w:cs="Arial"/>
          <w:sz w:val="20"/>
          <w:szCs w:val="20"/>
        </w:rPr>
        <w:t xml:space="preserve">transition, the </w:t>
      </w:r>
      <w:r w:rsidR="00C80CBA">
        <w:rPr>
          <w:rFonts w:ascii="Arial" w:hAnsi="Arial" w:cs="Arial"/>
          <w:sz w:val="20"/>
          <w:szCs w:val="20"/>
        </w:rPr>
        <w:t xml:space="preserve">expression of </w:t>
      </w:r>
      <w:r w:rsidR="00C80CBA" w:rsidRPr="00C80CBA">
        <w:rPr>
          <w:rFonts w:ascii="Arial" w:hAnsi="Arial" w:cs="Arial"/>
          <w:i/>
          <w:iCs/>
          <w:sz w:val="20"/>
          <w:szCs w:val="20"/>
        </w:rPr>
        <w:t>drd3</w:t>
      </w:r>
      <w:r w:rsidR="00C80CBA">
        <w:rPr>
          <w:rFonts w:ascii="Arial" w:hAnsi="Arial" w:cs="Arial"/>
          <w:sz w:val="20"/>
          <w:szCs w:val="20"/>
        </w:rPr>
        <w:t xml:space="preserve"> and the </w:t>
      </w:r>
      <w:r w:rsidR="000E3F08" w:rsidRPr="007A682B">
        <w:rPr>
          <w:rFonts w:ascii="Arial" w:hAnsi="Arial" w:cs="Arial"/>
          <w:sz w:val="20"/>
          <w:szCs w:val="20"/>
        </w:rPr>
        <w:t xml:space="preserve">proportion of </w:t>
      </w:r>
      <w:r w:rsidR="000E3F08" w:rsidRPr="007A682B">
        <w:rPr>
          <w:rFonts w:ascii="Arial" w:hAnsi="Arial" w:cs="Arial"/>
          <w:i/>
          <w:iCs/>
          <w:sz w:val="20"/>
          <w:szCs w:val="20"/>
        </w:rPr>
        <w:t>drd3</w:t>
      </w:r>
      <w:r w:rsidR="000E3F08" w:rsidRPr="007A682B">
        <w:rPr>
          <w:rFonts w:ascii="Arial" w:hAnsi="Arial" w:cs="Arial"/>
          <w:sz w:val="20"/>
          <w:szCs w:val="20"/>
        </w:rPr>
        <w:t>-expressing neurons</w:t>
      </w:r>
      <w:r w:rsidR="009D66E3" w:rsidRPr="007A682B">
        <w:rPr>
          <w:rFonts w:ascii="Arial" w:hAnsi="Arial" w:cs="Arial"/>
          <w:sz w:val="20"/>
          <w:szCs w:val="20"/>
        </w:rPr>
        <w:t xml:space="preserve"> </w:t>
      </w:r>
      <w:r w:rsidR="000E3F08" w:rsidRPr="007A682B">
        <w:rPr>
          <w:rFonts w:ascii="Arial" w:hAnsi="Arial" w:cs="Arial"/>
          <w:sz w:val="20"/>
          <w:szCs w:val="20"/>
        </w:rPr>
        <w:t>increased</w:t>
      </w:r>
      <w:r w:rsidR="00C80CBA">
        <w:rPr>
          <w:rFonts w:ascii="Arial" w:hAnsi="Arial" w:cs="Arial"/>
          <w:sz w:val="20"/>
          <w:szCs w:val="20"/>
        </w:rPr>
        <w:t xml:space="preserve"> by</w:t>
      </w:r>
      <w:r w:rsidR="004A27C9">
        <w:rPr>
          <w:rFonts w:ascii="Arial" w:hAnsi="Arial" w:cs="Arial"/>
          <w:sz w:val="20"/>
          <w:szCs w:val="20"/>
        </w:rPr>
        <w:t xml:space="preserve"> </w:t>
      </w:r>
      <w:r w:rsidR="00C80CBA" w:rsidRPr="00C80CBA">
        <w:rPr>
          <w:rFonts w:ascii="Arial" w:hAnsi="Arial" w:cs="Arial"/>
          <w:sz w:val="20"/>
          <w:szCs w:val="20"/>
          <w:highlight w:val="yellow"/>
        </w:rPr>
        <w:t>xx-fold</w:t>
      </w:r>
      <w:r w:rsidR="00C80CBA">
        <w:rPr>
          <w:rFonts w:ascii="Arial" w:hAnsi="Arial" w:cs="Arial"/>
          <w:sz w:val="20"/>
          <w:szCs w:val="20"/>
        </w:rPr>
        <w:t xml:space="preserve"> </w:t>
      </w:r>
      <w:r w:rsidR="00C80CBA" w:rsidRPr="007A682B">
        <w:rPr>
          <w:rFonts w:ascii="Arial" w:hAnsi="Arial" w:cs="Arial"/>
          <w:sz w:val="20"/>
          <w:szCs w:val="20"/>
        </w:rPr>
        <w:t>(</w:t>
      </w:r>
      <w:r w:rsidR="00C80CBA" w:rsidRPr="00C80CBA">
        <w:rPr>
          <w:rFonts w:ascii="Arial" w:hAnsi="Arial" w:cs="Arial"/>
          <w:sz w:val="20"/>
          <w:szCs w:val="20"/>
          <w:highlight w:val="yellow"/>
        </w:rPr>
        <w:t>xxstats</w:t>
      </w:r>
      <w:r w:rsidR="00C80CBA">
        <w:rPr>
          <w:rFonts w:ascii="Arial" w:hAnsi="Arial" w:cs="Arial"/>
          <w:sz w:val="20"/>
          <w:szCs w:val="20"/>
        </w:rPr>
        <w:t xml:space="preserve">) and </w:t>
      </w:r>
      <w:r w:rsidR="00C80CBA">
        <w:rPr>
          <w:rFonts w:ascii="Arial" w:hAnsi="Arial" w:cs="Arial"/>
          <w:sz w:val="20"/>
          <w:szCs w:val="20"/>
          <w:highlight w:val="yellow"/>
        </w:rPr>
        <w:t>2.5</w:t>
      </w:r>
      <w:r w:rsidR="00385EE8" w:rsidRPr="009A359B">
        <w:rPr>
          <w:rFonts w:ascii="Arial" w:hAnsi="Arial" w:cs="Arial"/>
          <w:sz w:val="20"/>
          <w:szCs w:val="20"/>
          <w:highlight w:val="yellow"/>
        </w:rPr>
        <w:t>-</w:t>
      </w:r>
      <w:r w:rsidR="004A27C9" w:rsidRPr="009A359B">
        <w:rPr>
          <w:rFonts w:ascii="Arial" w:hAnsi="Arial" w:cs="Arial"/>
          <w:sz w:val="20"/>
          <w:szCs w:val="20"/>
          <w:highlight w:val="yellow"/>
        </w:rPr>
        <w:t>f</w:t>
      </w:r>
      <w:r w:rsidR="004A27C9">
        <w:rPr>
          <w:rFonts w:ascii="Arial" w:hAnsi="Arial" w:cs="Arial"/>
          <w:sz w:val="20"/>
          <w:szCs w:val="20"/>
        </w:rPr>
        <w:t xml:space="preserve">old </w:t>
      </w:r>
      <w:r w:rsidR="00EC6730" w:rsidRPr="007A682B">
        <w:rPr>
          <w:rFonts w:ascii="Arial" w:hAnsi="Arial" w:cs="Arial"/>
          <w:sz w:val="20"/>
          <w:szCs w:val="20"/>
        </w:rPr>
        <w:t>(</w:t>
      </w:r>
      <w:r w:rsidR="00EC6730" w:rsidRPr="00530E82">
        <w:rPr>
          <w:rFonts w:ascii="Arial" w:hAnsi="Arial" w:cs="Arial"/>
          <w:sz w:val="20"/>
          <w:szCs w:val="20"/>
        </w:rPr>
        <w:t>χ</w:t>
      </w:r>
      <w:r w:rsidR="00EC6730">
        <w:rPr>
          <w:rFonts w:ascii="Arial" w:hAnsi="Arial" w:cs="Arial"/>
          <w:sz w:val="20"/>
          <w:szCs w:val="20"/>
          <w:vertAlign w:val="superscript"/>
        </w:rPr>
        <w:t>2</w:t>
      </w:r>
      <w:r w:rsidR="00EC6730">
        <w:rPr>
          <w:rFonts w:ascii="Arial" w:hAnsi="Arial" w:cs="Arial"/>
          <w:sz w:val="20"/>
          <w:szCs w:val="20"/>
        </w:rPr>
        <w:t>(2</w:t>
      </w:r>
      <w:r w:rsidR="00EC6730" w:rsidRPr="007A682B">
        <w:rPr>
          <w:rFonts w:ascii="Arial" w:hAnsi="Arial" w:cs="Arial"/>
          <w:sz w:val="20"/>
          <w:szCs w:val="20"/>
        </w:rPr>
        <w:t>)</w:t>
      </w:r>
      <w:r w:rsidR="00EC6730">
        <w:rPr>
          <w:rFonts w:ascii="Arial" w:hAnsi="Arial" w:cs="Arial"/>
          <w:sz w:val="20"/>
          <w:szCs w:val="20"/>
        </w:rPr>
        <w:t xml:space="preserve"> = 10.742, </w:t>
      </w:r>
      <w:r w:rsidR="00EC6730">
        <w:rPr>
          <w:rFonts w:ascii="Arial" w:hAnsi="Arial" w:cs="Arial"/>
          <w:i/>
          <w:iCs/>
          <w:sz w:val="20"/>
          <w:szCs w:val="20"/>
        </w:rPr>
        <w:t xml:space="preserve">p = </w:t>
      </w:r>
      <w:r w:rsidR="00EC6730">
        <w:rPr>
          <w:rFonts w:ascii="Arial" w:hAnsi="Arial" w:cs="Arial"/>
          <w:sz w:val="20"/>
          <w:szCs w:val="20"/>
        </w:rPr>
        <w:t>0.005)</w:t>
      </w:r>
      <w:r w:rsidR="00C80CBA">
        <w:rPr>
          <w:rFonts w:ascii="Arial" w:hAnsi="Arial" w:cs="Arial"/>
          <w:sz w:val="20"/>
          <w:szCs w:val="20"/>
        </w:rPr>
        <w:t>, respectively</w:t>
      </w:r>
      <w:r w:rsidR="00DA43AA">
        <w:rPr>
          <w:rFonts w:ascii="Arial" w:hAnsi="Arial" w:cs="Arial"/>
          <w:sz w:val="20"/>
          <w:szCs w:val="20"/>
        </w:rPr>
        <w:t xml:space="preserve"> indicative of a late change</w:t>
      </w:r>
      <w:r w:rsidR="004A27C9">
        <w:rPr>
          <w:rFonts w:ascii="Arial" w:hAnsi="Arial" w:cs="Arial"/>
          <w:sz w:val="20"/>
          <w:szCs w:val="20"/>
        </w:rPr>
        <w:t>.</w:t>
      </w:r>
      <w:r w:rsidR="000E3F08" w:rsidRPr="007A682B">
        <w:rPr>
          <w:rFonts w:ascii="Arial" w:hAnsi="Arial" w:cs="Arial"/>
          <w:sz w:val="20"/>
          <w:szCs w:val="20"/>
        </w:rPr>
        <w:t xml:space="preserve"> </w:t>
      </w:r>
      <w:r w:rsidR="000E3F08" w:rsidRPr="007A682B">
        <w:rPr>
          <w:rFonts w:ascii="Arial" w:hAnsi="Arial" w:cs="Arial"/>
          <w:i/>
          <w:iCs/>
          <w:sz w:val="20"/>
          <w:szCs w:val="20"/>
        </w:rPr>
        <w:t>tacr3a</w:t>
      </w:r>
      <w:r w:rsidR="000E3F08" w:rsidRPr="007A682B">
        <w:rPr>
          <w:rFonts w:ascii="Arial" w:hAnsi="Arial" w:cs="Arial"/>
          <w:sz w:val="20"/>
          <w:szCs w:val="20"/>
        </w:rPr>
        <w:t xml:space="preserve"> expression</w:t>
      </w:r>
      <w:r w:rsidR="00EA7B09" w:rsidRPr="007A682B">
        <w:rPr>
          <w:rFonts w:ascii="Arial" w:hAnsi="Arial" w:cs="Arial"/>
          <w:sz w:val="20"/>
          <w:szCs w:val="20"/>
        </w:rPr>
        <w:t xml:space="preserve"> </w:t>
      </w:r>
      <w:r w:rsidR="000E3F08" w:rsidRPr="007A682B">
        <w:rPr>
          <w:rFonts w:ascii="Arial" w:hAnsi="Arial" w:cs="Arial"/>
          <w:sz w:val="20"/>
          <w:szCs w:val="20"/>
        </w:rPr>
        <w:t xml:space="preserve">and the proportion of </w:t>
      </w:r>
      <w:r w:rsidR="000E3F08" w:rsidRPr="007A682B">
        <w:rPr>
          <w:rFonts w:ascii="Arial" w:hAnsi="Arial" w:cs="Arial"/>
          <w:i/>
          <w:iCs/>
          <w:sz w:val="20"/>
          <w:szCs w:val="20"/>
        </w:rPr>
        <w:t>tacr3a</w:t>
      </w:r>
      <w:r w:rsidR="000E3F08" w:rsidRPr="007A682B">
        <w:rPr>
          <w:rFonts w:ascii="Arial" w:hAnsi="Arial" w:cs="Arial"/>
          <w:sz w:val="20"/>
          <w:szCs w:val="20"/>
        </w:rPr>
        <w:t xml:space="preserve">-expressing neurons </w:t>
      </w:r>
      <w:r w:rsidR="00C108FB">
        <w:rPr>
          <w:rFonts w:ascii="Arial" w:hAnsi="Arial" w:cs="Arial"/>
          <w:sz w:val="20"/>
          <w:szCs w:val="20"/>
        </w:rPr>
        <w:t xml:space="preserve">transiently </w:t>
      </w:r>
      <w:r w:rsidR="000E3F08" w:rsidRPr="007A682B">
        <w:rPr>
          <w:rFonts w:ascii="Arial" w:hAnsi="Arial" w:cs="Arial"/>
          <w:sz w:val="20"/>
          <w:szCs w:val="20"/>
        </w:rPr>
        <w:t>increased</w:t>
      </w:r>
      <w:r w:rsidR="004A27C9">
        <w:rPr>
          <w:rFonts w:ascii="Arial" w:hAnsi="Arial" w:cs="Arial"/>
          <w:sz w:val="20"/>
          <w:szCs w:val="20"/>
        </w:rPr>
        <w:t xml:space="preserve"> </w:t>
      </w:r>
      <w:r w:rsidR="005311A9">
        <w:rPr>
          <w:rFonts w:ascii="Arial" w:hAnsi="Arial" w:cs="Arial"/>
          <w:sz w:val="20"/>
          <w:szCs w:val="20"/>
          <w:highlight w:val="yellow"/>
        </w:rPr>
        <w:t>1.5</w:t>
      </w:r>
      <w:r w:rsidR="00385EE8" w:rsidRPr="00385EE8">
        <w:rPr>
          <w:rFonts w:ascii="Arial" w:hAnsi="Arial" w:cs="Arial"/>
          <w:sz w:val="20"/>
          <w:szCs w:val="20"/>
          <w:highlight w:val="yellow"/>
        </w:rPr>
        <w:t>-</w:t>
      </w:r>
      <w:r w:rsidR="004A27C9">
        <w:rPr>
          <w:rFonts w:ascii="Arial" w:hAnsi="Arial" w:cs="Arial"/>
          <w:sz w:val="20"/>
          <w:szCs w:val="20"/>
        </w:rPr>
        <w:t>fold</w:t>
      </w:r>
      <w:r w:rsidR="000E3F08" w:rsidRPr="007A682B">
        <w:rPr>
          <w:rFonts w:ascii="Arial" w:hAnsi="Arial" w:cs="Arial"/>
          <w:sz w:val="20"/>
          <w:szCs w:val="20"/>
        </w:rPr>
        <w:t xml:space="preserve"> </w:t>
      </w:r>
      <w:r w:rsidR="00C80CBA" w:rsidRPr="007A682B">
        <w:rPr>
          <w:rFonts w:ascii="Arial" w:hAnsi="Arial" w:cs="Arial"/>
          <w:sz w:val="20"/>
          <w:szCs w:val="20"/>
        </w:rPr>
        <w:t>(</w:t>
      </w:r>
      <w:r w:rsidR="00C80CBA" w:rsidRPr="00530E82">
        <w:rPr>
          <w:rFonts w:ascii="Arial" w:hAnsi="Arial" w:cs="Arial"/>
          <w:sz w:val="20"/>
          <w:szCs w:val="20"/>
        </w:rPr>
        <w:t>χ</w:t>
      </w:r>
      <w:r w:rsidR="00C80CBA">
        <w:rPr>
          <w:rFonts w:ascii="Arial" w:hAnsi="Arial" w:cs="Arial"/>
          <w:sz w:val="20"/>
          <w:szCs w:val="20"/>
          <w:vertAlign w:val="superscript"/>
        </w:rPr>
        <w:t>2</w:t>
      </w:r>
      <w:r w:rsidR="00C80CBA">
        <w:rPr>
          <w:rFonts w:ascii="Arial" w:hAnsi="Arial" w:cs="Arial"/>
          <w:sz w:val="20"/>
          <w:szCs w:val="20"/>
        </w:rPr>
        <w:t xml:space="preserve">(2) = 21.890, </w:t>
      </w:r>
      <w:r w:rsidR="00C80CBA">
        <w:rPr>
          <w:rFonts w:ascii="Arial" w:hAnsi="Arial" w:cs="Arial"/>
          <w:i/>
          <w:iCs/>
          <w:sz w:val="20"/>
          <w:szCs w:val="20"/>
        </w:rPr>
        <w:t>q</w:t>
      </w:r>
      <w:r w:rsidR="00C80CBA">
        <w:rPr>
          <w:rFonts w:ascii="Arial" w:hAnsi="Arial" w:cs="Arial"/>
          <w:sz w:val="20"/>
          <w:szCs w:val="20"/>
        </w:rPr>
        <w:t xml:space="preserve"> = 0.002</w:t>
      </w:r>
      <w:r w:rsidR="00C80CBA" w:rsidRPr="007A682B">
        <w:rPr>
          <w:rFonts w:ascii="Arial" w:hAnsi="Arial" w:cs="Arial"/>
          <w:sz w:val="20"/>
          <w:szCs w:val="20"/>
        </w:rPr>
        <w:t>)</w:t>
      </w:r>
      <w:r w:rsidR="00C80CBA">
        <w:rPr>
          <w:rFonts w:ascii="Arial" w:hAnsi="Arial" w:cs="Arial"/>
          <w:sz w:val="20"/>
          <w:szCs w:val="20"/>
        </w:rPr>
        <w:t xml:space="preserve"> and </w:t>
      </w:r>
      <w:r w:rsidR="00C80CBA" w:rsidRPr="00C108FB">
        <w:rPr>
          <w:rFonts w:ascii="Arial" w:hAnsi="Arial" w:cs="Arial"/>
          <w:sz w:val="20"/>
          <w:szCs w:val="20"/>
          <w:highlight w:val="yellow"/>
        </w:rPr>
        <w:t>xx-fold</w:t>
      </w:r>
      <w:r w:rsidR="00C80CBA">
        <w:rPr>
          <w:rFonts w:ascii="Arial" w:hAnsi="Arial" w:cs="Arial"/>
          <w:sz w:val="20"/>
          <w:szCs w:val="20"/>
        </w:rPr>
        <w:t xml:space="preserve"> </w:t>
      </w:r>
      <w:r w:rsidR="00C80CBA" w:rsidRPr="007A682B">
        <w:rPr>
          <w:rFonts w:ascii="Arial" w:hAnsi="Arial" w:cs="Arial"/>
          <w:sz w:val="20"/>
          <w:szCs w:val="20"/>
        </w:rPr>
        <w:t>(</w:t>
      </w:r>
      <w:r w:rsidR="00C80CBA" w:rsidRPr="00530E82">
        <w:rPr>
          <w:rFonts w:ascii="Arial" w:hAnsi="Arial" w:cs="Arial"/>
          <w:sz w:val="20"/>
          <w:szCs w:val="20"/>
        </w:rPr>
        <w:t>χ</w:t>
      </w:r>
      <w:r w:rsidR="00C80CBA">
        <w:rPr>
          <w:rFonts w:ascii="Arial" w:hAnsi="Arial" w:cs="Arial"/>
          <w:sz w:val="20"/>
          <w:szCs w:val="20"/>
          <w:vertAlign w:val="superscript"/>
        </w:rPr>
        <w:t>2</w:t>
      </w:r>
      <w:r w:rsidR="00C80CBA">
        <w:rPr>
          <w:rFonts w:ascii="Arial" w:hAnsi="Arial" w:cs="Arial"/>
          <w:sz w:val="20"/>
          <w:szCs w:val="20"/>
        </w:rPr>
        <w:t>(2</w:t>
      </w:r>
      <w:r w:rsidR="00C80CBA" w:rsidRPr="007A682B">
        <w:rPr>
          <w:rFonts w:ascii="Arial" w:hAnsi="Arial" w:cs="Arial"/>
          <w:sz w:val="20"/>
          <w:szCs w:val="20"/>
        </w:rPr>
        <w:t>)</w:t>
      </w:r>
      <w:r w:rsidR="00C80CBA">
        <w:rPr>
          <w:rFonts w:ascii="Arial" w:hAnsi="Arial" w:cs="Arial"/>
          <w:sz w:val="20"/>
          <w:szCs w:val="20"/>
        </w:rPr>
        <w:t xml:space="preserve"> =26.329, </w:t>
      </w:r>
      <w:r w:rsidR="00C80CBA">
        <w:rPr>
          <w:rFonts w:ascii="Arial" w:hAnsi="Arial" w:cs="Arial"/>
          <w:i/>
          <w:iCs/>
          <w:sz w:val="20"/>
          <w:szCs w:val="20"/>
        </w:rPr>
        <w:t>p</w:t>
      </w:r>
      <w:r w:rsidR="00C80CBA">
        <w:rPr>
          <w:rFonts w:ascii="Arial" w:hAnsi="Arial" w:cs="Arial"/>
          <w:sz w:val="20"/>
          <w:szCs w:val="20"/>
        </w:rPr>
        <w:t xml:space="preserve"> &lt; 0.001</w:t>
      </w:r>
      <w:r w:rsidR="00C80CBA" w:rsidRPr="007A682B">
        <w:rPr>
          <w:rFonts w:ascii="Arial" w:hAnsi="Arial" w:cs="Arial"/>
          <w:sz w:val="20"/>
          <w:szCs w:val="20"/>
        </w:rPr>
        <w:t>)</w:t>
      </w:r>
      <w:r w:rsidR="00C80CBA">
        <w:rPr>
          <w:rFonts w:ascii="Arial" w:hAnsi="Arial" w:cs="Arial"/>
          <w:sz w:val="20"/>
          <w:szCs w:val="20"/>
        </w:rPr>
        <w:t xml:space="preserve"> </w:t>
      </w:r>
      <w:r w:rsidR="000E3F08" w:rsidRPr="007A682B">
        <w:rPr>
          <w:rFonts w:ascii="Arial" w:hAnsi="Arial" w:cs="Arial"/>
          <w:sz w:val="20"/>
          <w:szCs w:val="20"/>
        </w:rPr>
        <w:t xml:space="preserve">during the </w:t>
      </w:r>
      <w:r w:rsidR="00C80CBA">
        <w:rPr>
          <w:rFonts w:ascii="Arial" w:hAnsi="Arial" w:cs="Arial"/>
          <w:sz w:val="20"/>
          <w:szCs w:val="20"/>
        </w:rPr>
        <w:t>M</w:t>
      </w:r>
      <w:r w:rsidR="006044D0">
        <w:rPr>
          <w:rFonts w:ascii="Arial" w:hAnsi="Arial" w:cs="Arial"/>
          <w:sz w:val="20"/>
          <w:szCs w:val="20"/>
        </w:rPr>
        <w:t>ale-</w:t>
      </w:r>
      <w:r w:rsidR="00C80CBA">
        <w:rPr>
          <w:rFonts w:ascii="Arial" w:hAnsi="Arial" w:cs="Arial"/>
          <w:sz w:val="20"/>
          <w:szCs w:val="20"/>
        </w:rPr>
        <w:t>I</w:t>
      </w:r>
      <w:r w:rsidR="000E3F08" w:rsidRPr="007A682B">
        <w:rPr>
          <w:rFonts w:ascii="Arial" w:hAnsi="Arial" w:cs="Arial"/>
          <w:sz w:val="20"/>
          <w:szCs w:val="20"/>
        </w:rPr>
        <w:t xml:space="preserve">ntermediate </w:t>
      </w:r>
      <w:r w:rsidR="006044D0">
        <w:rPr>
          <w:rFonts w:ascii="Arial" w:hAnsi="Arial" w:cs="Arial"/>
          <w:sz w:val="20"/>
          <w:szCs w:val="20"/>
        </w:rPr>
        <w:t>transition</w:t>
      </w:r>
      <w:r w:rsidR="000E3F08" w:rsidRPr="007A682B">
        <w:rPr>
          <w:rFonts w:ascii="Arial" w:hAnsi="Arial" w:cs="Arial"/>
          <w:sz w:val="20"/>
          <w:szCs w:val="20"/>
        </w:rPr>
        <w:t xml:space="preserve"> before declining</w:t>
      </w:r>
      <w:r w:rsidR="005311A9">
        <w:rPr>
          <w:rFonts w:ascii="Arial" w:hAnsi="Arial" w:cs="Arial"/>
          <w:sz w:val="20"/>
          <w:szCs w:val="20"/>
        </w:rPr>
        <w:t xml:space="preserve"> </w:t>
      </w:r>
      <w:r w:rsidR="000E3F08" w:rsidRPr="007A682B">
        <w:rPr>
          <w:rFonts w:ascii="Arial" w:hAnsi="Arial" w:cs="Arial"/>
          <w:sz w:val="20"/>
          <w:szCs w:val="20"/>
        </w:rPr>
        <w:t xml:space="preserve">below </w:t>
      </w:r>
      <w:r w:rsidR="00C80CBA">
        <w:rPr>
          <w:rFonts w:ascii="Arial" w:hAnsi="Arial" w:cs="Arial"/>
          <w:sz w:val="20"/>
          <w:szCs w:val="20"/>
        </w:rPr>
        <w:t>M</w:t>
      </w:r>
      <w:r w:rsidR="000E3F08" w:rsidRPr="007A682B">
        <w:rPr>
          <w:rFonts w:ascii="Arial" w:hAnsi="Arial" w:cs="Arial"/>
          <w:sz w:val="20"/>
          <w:szCs w:val="20"/>
        </w:rPr>
        <w:t xml:space="preserve">ale levels in </w:t>
      </w:r>
      <w:r w:rsidR="00C80CBA">
        <w:rPr>
          <w:rFonts w:ascii="Arial" w:hAnsi="Arial" w:cs="Arial"/>
          <w:sz w:val="20"/>
          <w:szCs w:val="20"/>
        </w:rPr>
        <w:t>F</w:t>
      </w:r>
      <w:r w:rsidR="000E3F08" w:rsidRPr="007A682B">
        <w:rPr>
          <w:rFonts w:ascii="Arial" w:hAnsi="Arial" w:cs="Arial"/>
          <w:sz w:val="20"/>
          <w:szCs w:val="20"/>
        </w:rPr>
        <w:t>emales (</w:t>
      </w:r>
      <w:r w:rsidR="000E3F08" w:rsidRPr="007A682B">
        <w:rPr>
          <w:rFonts w:ascii="Arial" w:hAnsi="Arial" w:cs="Arial"/>
          <w:sz w:val="20"/>
          <w:szCs w:val="20"/>
          <w:highlight w:val="yellow"/>
        </w:rPr>
        <w:t>Fig. 6A,B</w:t>
      </w:r>
      <w:r w:rsidR="00BC1A9E" w:rsidRPr="007A682B">
        <w:rPr>
          <w:rFonts w:ascii="Arial" w:hAnsi="Arial" w:cs="Arial"/>
          <w:sz w:val="20"/>
          <w:szCs w:val="20"/>
        </w:rPr>
        <w:t>, Appendix S1</w:t>
      </w:r>
      <w:r w:rsidR="000E3F08" w:rsidRPr="007A682B">
        <w:rPr>
          <w:rFonts w:ascii="Arial" w:hAnsi="Arial" w:cs="Arial"/>
          <w:sz w:val="20"/>
          <w:szCs w:val="20"/>
        </w:rPr>
        <w:t xml:space="preserve">). </w:t>
      </w:r>
      <w:r w:rsidR="00D770B1" w:rsidRPr="007A682B">
        <w:rPr>
          <w:rFonts w:ascii="Arial" w:hAnsi="Arial" w:cs="Arial"/>
          <w:sz w:val="20"/>
          <w:szCs w:val="20"/>
        </w:rPr>
        <w:t>By</w:t>
      </w:r>
      <w:r w:rsidR="000E3F08" w:rsidRPr="007A682B">
        <w:rPr>
          <w:rFonts w:ascii="Arial" w:hAnsi="Arial" w:cs="Arial"/>
          <w:sz w:val="20"/>
          <w:szCs w:val="20"/>
        </w:rPr>
        <w:t xml:space="preserve"> contrast, </w:t>
      </w:r>
      <w:r w:rsidR="000E3F08" w:rsidRPr="007A682B">
        <w:rPr>
          <w:rFonts w:ascii="Arial" w:hAnsi="Arial" w:cs="Arial"/>
          <w:i/>
          <w:iCs/>
          <w:sz w:val="20"/>
          <w:szCs w:val="20"/>
        </w:rPr>
        <w:t>npy7r</w:t>
      </w:r>
      <w:r w:rsidR="00EF2E87" w:rsidRPr="007A682B">
        <w:rPr>
          <w:rFonts w:ascii="Arial" w:hAnsi="Arial" w:cs="Arial"/>
          <w:i/>
          <w:iCs/>
          <w:sz w:val="20"/>
          <w:szCs w:val="20"/>
        </w:rPr>
        <w:t xml:space="preserve"> </w:t>
      </w:r>
      <w:r w:rsidR="000E3F08" w:rsidRPr="007A682B">
        <w:rPr>
          <w:rFonts w:ascii="Arial" w:hAnsi="Arial" w:cs="Arial"/>
          <w:sz w:val="20"/>
          <w:szCs w:val="20"/>
        </w:rPr>
        <w:t xml:space="preserve">and </w:t>
      </w:r>
      <w:r w:rsidR="000E3F08" w:rsidRPr="007A682B">
        <w:rPr>
          <w:rFonts w:ascii="Arial" w:hAnsi="Arial" w:cs="Arial"/>
          <w:i/>
          <w:iCs/>
          <w:sz w:val="20"/>
          <w:szCs w:val="20"/>
        </w:rPr>
        <w:t>nmbr</w:t>
      </w:r>
      <w:r w:rsidR="000160E8" w:rsidRPr="007A682B">
        <w:rPr>
          <w:rFonts w:ascii="Arial" w:hAnsi="Arial" w:cs="Arial"/>
          <w:sz w:val="20"/>
          <w:szCs w:val="20"/>
        </w:rPr>
        <w:t xml:space="preserve"> expression</w:t>
      </w:r>
      <w:r w:rsidR="000E3F08" w:rsidRPr="007A682B">
        <w:rPr>
          <w:rFonts w:ascii="Arial" w:hAnsi="Arial" w:cs="Arial"/>
          <w:sz w:val="20"/>
          <w:szCs w:val="20"/>
        </w:rPr>
        <w:t xml:space="preserve"> decreased </w:t>
      </w:r>
      <w:r w:rsidR="0025138F">
        <w:rPr>
          <w:rFonts w:ascii="Arial" w:hAnsi="Arial" w:cs="Arial"/>
          <w:sz w:val="20"/>
          <w:szCs w:val="20"/>
        </w:rPr>
        <w:t>6</w:t>
      </w:r>
      <w:r w:rsidR="006044D0">
        <w:rPr>
          <w:rFonts w:ascii="Arial" w:hAnsi="Arial" w:cs="Arial"/>
          <w:sz w:val="20"/>
          <w:szCs w:val="20"/>
        </w:rPr>
        <w:t>2</w:t>
      </w:r>
      <w:r w:rsidR="004A27C9">
        <w:rPr>
          <w:rFonts w:ascii="Arial" w:hAnsi="Arial" w:cs="Arial"/>
          <w:sz w:val="20"/>
          <w:szCs w:val="20"/>
        </w:rPr>
        <w:t xml:space="preserve">% </w:t>
      </w:r>
      <w:r w:rsidR="00C108FB" w:rsidRPr="007A682B">
        <w:rPr>
          <w:rFonts w:ascii="Arial" w:hAnsi="Arial" w:cs="Arial"/>
          <w:sz w:val="20"/>
          <w:szCs w:val="20"/>
        </w:rPr>
        <w:t>(</w:t>
      </w:r>
      <w:r w:rsidR="00C108FB" w:rsidRPr="00530E82">
        <w:rPr>
          <w:rFonts w:ascii="Arial" w:hAnsi="Arial" w:cs="Arial"/>
          <w:sz w:val="20"/>
          <w:szCs w:val="20"/>
        </w:rPr>
        <w:t>χ</w:t>
      </w:r>
      <w:r w:rsidR="00C108FB">
        <w:rPr>
          <w:rFonts w:ascii="Arial" w:hAnsi="Arial" w:cs="Arial"/>
          <w:sz w:val="20"/>
          <w:szCs w:val="20"/>
          <w:vertAlign w:val="superscript"/>
        </w:rPr>
        <w:t>2</w:t>
      </w:r>
      <w:r w:rsidR="00C108FB">
        <w:rPr>
          <w:rFonts w:ascii="Arial" w:hAnsi="Arial" w:cs="Arial"/>
          <w:sz w:val="20"/>
          <w:szCs w:val="20"/>
        </w:rPr>
        <w:t xml:space="preserve">(2) = 17.582, </w:t>
      </w:r>
      <w:r w:rsidR="00C108FB">
        <w:rPr>
          <w:rFonts w:ascii="Arial" w:hAnsi="Arial" w:cs="Arial"/>
          <w:i/>
          <w:iCs/>
          <w:sz w:val="20"/>
          <w:szCs w:val="20"/>
        </w:rPr>
        <w:t>q</w:t>
      </w:r>
      <w:r w:rsidR="00C108FB">
        <w:rPr>
          <w:rFonts w:ascii="Arial" w:hAnsi="Arial" w:cs="Arial"/>
          <w:sz w:val="20"/>
          <w:szCs w:val="20"/>
        </w:rPr>
        <w:t xml:space="preserve"> =</w:t>
      </w:r>
      <w:r w:rsidR="00C108FB" w:rsidRPr="0025138F">
        <w:t xml:space="preserve"> </w:t>
      </w:r>
      <w:r w:rsidR="00C108FB" w:rsidRPr="0025138F">
        <w:rPr>
          <w:rFonts w:ascii="Arial" w:hAnsi="Arial" w:cs="Arial"/>
          <w:sz w:val="20"/>
          <w:szCs w:val="20"/>
        </w:rPr>
        <w:t>0.013</w:t>
      </w:r>
      <w:r w:rsidR="00C108FB" w:rsidRPr="007A682B">
        <w:rPr>
          <w:rFonts w:ascii="Arial" w:hAnsi="Arial" w:cs="Arial"/>
          <w:sz w:val="20"/>
          <w:szCs w:val="20"/>
        </w:rPr>
        <w:t>)</w:t>
      </w:r>
      <w:r w:rsidR="00C108FB">
        <w:rPr>
          <w:rFonts w:ascii="Arial" w:hAnsi="Arial" w:cs="Arial"/>
          <w:sz w:val="20"/>
          <w:szCs w:val="20"/>
        </w:rPr>
        <w:t xml:space="preserve"> </w:t>
      </w:r>
      <w:r w:rsidR="004A27C9">
        <w:rPr>
          <w:rFonts w:ascii="Arial" w:hAnsi="Arial" w:cs="Arial"/>
          <w:sz w:val="20"/>
          <w:szCs w:val="20"/>
        </w:rPr>
        <w:t xml:space="preserve">and </w:t>
      </w:r>
      <w:r w:rsidR="0025138F">
        <w:rPr>
          <w:rFonts w:ascii="Arial" w:hAnsi="Arial" w:cs="Arial"/>
          <w:sz w:val="20"/>
          <w:szCs w:val="20"/>
        </w:rPr>
        <w:t>22</w:t>
      </w:r>
      <w:r w:rsidR="004A27C9">
        <w:rPr>
          <w:rFonts w:ascii="Arial" w:hAnsi="Arial" w:cs="Arial"/>
          <w:sz w:val="20"/>
          <w:szCs w:val="20"/>
        </w:rPr>
        <w:t xml:space="preserve">% </w:t>
      </w:r>
      <w:r w:rsidR="00C108FB" w:rsidRPr="007A682B">
        <w:rPr>
          <w:rFonts w:ascii="Arial" w:hAnsi="Arial" w:cs="Arial"/>
          <w:sz w:val="20"/>
          <w:szCs w:val="20"/>
        </w:rPr>
        <w:t>(</w:t>
      </w:r>
      <w:r w:rsidR="00C108FB" w:rsidRPr="00530E82">
        <w:rPr>
          <w:rFonts w:ascii="Arial" w:hAnsi="Arial" w:cs="Arial"/>
          <w:sz w:val="20"/>
          <w:szCs w:val="20"/>
        </w:rPr>
        <w:t>χ</w:t>
      </w:r>
      <w:r w:rsidR="00C108FB">
        <w:rPr>
          <w:rFonts w:ascii="Arial" w:hAnsi="Arial" w:cs="Arial"/>
          <w:sz w:val="20"/>
          <w:szCs w:val="20"/>
          <w:vertAlign w:val="superscript"/>
        </w:rPr>
        <w:t>2</w:t>
      </w:r>
      <w:r w:rsidR="00C108FB">
        <w:rPr>
          <w:rFonts w:ascii="Arial" w:hAnsi="Arial" w:cs="Arial"/>
          <w:sz w:val="20"/>
          <w:szCs w:val="20"/>
        </w:rPr>
        <w:t xml:space="preserve">(2) = 15.357, </w:t>
      </w:r>
      <w:r w:rsidR="00C108FB">
        <w:rPr>
          <w:rFonts w:ascii="Arial" w:hAnsi="Arial" w:cs="Arial"/>
          <w:i/>
          <w:iCs/>
          <w:sz w:val="20"/>
          <w:szCs w:val="20"/>
        </w:rPr>
        <w:t>q</w:t>
      </w:r>
      <w:r w:rsidR="00C108FB">
        <w:rPr>
          <w:rFonts w:ascii="Arial" w:hAnsi="Arial" w:cs="Arial"/>
          <w:sz w:val="20"/>
          <w:szCs w:val="20"/>
        </w:rPr>
        <w:t xml:space="preserve"> = 0.034</w:t>
      </w:r>
      <w:r w:rsidR="00C108FB" w:rsidRPr="007A682B">
        <w:rPr>
          <w:rFonts w:ascii="Arial" w:hAnsi="Arial" w:cs="Arial"/>
          <w:sz w:val="20"/>
          <w:szCs w:val="20"/>
        </w:rPr>
        <w:t>)</w:t>
      </w:r>
      <w:r w:rsidR="00C108FB">
        <w:rPr>
          <w:rFonts w:ascii="Arial" w:hAnsi="Arial" w:cs="Arial"/>
          <w:sz w:val="20"/>
          <w:szCs w:val="20"/>
        </w:rPr>
        <w:t xml:space="preserve"> </w:t>
      </w:r>
      <w:r w:rsidR="004A27C9">
        <w:rPr>
          <w:rFonts w:ascii="Arial" w:hAnsi="Arial" w:cs="Arial"/>
          <w:sz w:val="20"/>
          <w:szCs w:val="20"/>
        </w:rPr>
        <w:t xml:space="preserve">respectively </w:t>
      </w:r>
      <w:r w:rsidR="000E3F08" w:rsidRPr="007A682B">
        <w:rPr>
          <w:rFonts w:ascii="Arial" w:hAnsi="Arial" w:cs="Arial"/>
          <w:sz w:val="20"/>
          <w:szCs w:val="20"/>
        </w:rPr>
        <w:t xml:space="preserve">during the </w:t>
      </w:r>
      <w:r w:rsidR="00C80CBA">
        <w:rPr>
          <w:rFonts w:ascii="Arial" w:hAnsi="Arial" w:cs="Arial"/>
          <w:sz w:val="20"/>
          <w:szCs w:val="20"/>
        </w:rPr>
        <w:t>M</w:t>
      </w:r>
      <w:r w:rsidR="000E3F08" w:rsidRPr="007A682B">
        <w:rPr>
          <w:rFonts w:ascii="Arial" w:hAnsi="Arial" w:cs="Arial"/>
          <w:sz w:val="20"/>
          <w:szCs w:val="20"/>
        </w:rPr>
        <w:t>ale-to-</w:t>
      </w:r>
      <w:r w:rsidR="00C80CBA">
        <w:rPr>
          <w:rFonts w:ascii="Arial" w:hAnsi="Arial" w:cs="Arial"/>
          <w:sz w:val="20"/>
          <w:szCs w:val="20"/>
        </w:rPr>
        <w:t>I</w:t>
      </w:r>
      <w:r w:rsidR="000E3F08" w:rsidRPr="007A682B">
        <w:rPr>
          <w:rFonts w:ascii="Arial" w:hAnsi="Arial" w:cs="Arial"/>
          <w:sz w:val="20"/>
          <w:szCs w:val="20"/>
        </w:rPr>
        <w:t xml:space="preserve">ntermediate transition </w:t>
      </w:r>
      <w:r w:rsidR="00C108FB">
        <w:rPr>
          <w:rFonts w:ascii="Arial" w:hAnsi="Arial" w:cs="Arial"/>
          <w:sz w:val="20"/>
          <w:szCs w:val="20"/>
        </w:rPr>
        <w:t xml:space="preserve">to Female levels (i.e., early </w:t>
      </w:r>
      <w:r w:rsidR="00643A53">
        <w:rPr>
          <w:rFonts w:ascii="Arial" w:hAnsi="Arial" w:cs="Arial"/>
          <w:sz w:val="20"/>
          <w:szCs w:val="20"/>
        </w:rPr>
        <w:t>decrease</w:t>
      </w:r>
      <w:r w:rsidR="00F54B25">
        <w:rPr>
          <w:rFonts w:ascii="Arial" w:hAnsi="Arial" w:cs="Arial"/>
          <w:sz w:val="20"/>
          <w:szCs w:val="20"/>
        </w:rPr>
        <w:t>s</w:t>
      </w:r>
      <w:r w:rsidR="00C108FB">
        <w:rPr>
          <w:rFonts w:ascii="Arial" w:hAnsi="Arial" w:cs="Arial"/>
          <w:sz w:val="20"/>
          <w:szCs w:val="20"/>
        </w:rPr>
        <w:t xml:space="preserve">). </w:t>
      </w:r>
      <w:r w:rsidR="00DA43AA">
        <w:rPr>
          <w:rFonts w:ascii="Arial" w:hAnsi="Arial" w:cs="Arial"/>
          <w:sz w:val="20"/>
          <w:szCs w:val="20"/>
        </w:rPr>
        <w:t xml:space="preserve"> These changes in expression roughly followed </w:t>
      </w:r>
      <w:r w:rsidR="00181D45">
        <w:rPr>
          <w:rFonts w:ascii="Arial" w:hAnsi="Arial" w:cs="Arial"/>
          <w:sz w:val="20"/>
          <w:szCs w:val="20"/>
        </w:rPr>
        <w:t xml:space="preserve">relative </w:t>
      </w:r>
      <w:r w:rsidR="004A27C9" w:rsidRPr="007A682B">
        <w:rPr>
          <w:rFonts w:ascii="Arial" w:hAnsi="Arial" w:cs="Arial"/>
          <w:sz w:val="20"/>
          <w:szCs w:val="20"/>
        </w:rPr>
        <w:t>abundance (</w:t>
      </w:r>
      <w:r w:rsidR="00940979" w:rsidRPr="007A682B">
        <w:rPr>
          <w:rFonts w:ascii="Arial" w:hAnsi="Arial" w:cs="Arial"/>
          <w:i/>
          <w:iCs/>
          <w:sz w:val="20"/>
          <w:szCs w:val="20"/>
        </w:rPr>
        <w:t>npy</w:t>
      </w:r>
      <w:r w:rsidR="009D66E3" w:rsidRPr="007A682B">
        <w:rPr>
          <w:rFonts w:ascii="Arial" w:hAnsi="Arial" w:cs="Arial"/>
          <w:i/>
          <w:iCs/>
          <w:sz w:val="20"/>
          <w:szCs w:val="20"/>
        </w:rPr>
        <w:t>7r</w:t>
      </w:r>
      <w:r w:rsidR="004A27C9">
        <w:rPr>
          <w:rFonts w:ascii="Arial" w:hAnsi="Arial" w:cs="Arial"/>
          <w:i/>
          <w:iCs/>
          <w:sz w:val="20"/>
          <w:szCs w:val="20"/>
        </w:rPr>
        <w:t xml:space="preserve">: </w:t>
      </w:r>
      <w:r w:rsidR="005311A9">
        <w:rPr>
          <w:rFonts w:ascii="Arial" w:hAnsi="Arial" w:cs="Arial"/>
          <w:sz w:val="20"/>
          <w:szCs w:val="20"/>
        </w:rPr>
        <w:t>47</w:t>
      </w:r>
      <w:r w:rsidR="004A27C9">
        <w:rPr>
          <w:rFonts w:ascii="Arial" w:hAnsi="Arial" w:cs="Arial"/>
          <w:i/>
          <w:iCs/>
          <w:sz w:val="20"/>
          <w:szCs w:val="20"/>
        </w:rPr>
        <w:t>%</w:t>
      </w:r>
      <w:r w:rsidR="00DA43AA">
        <w:rPr>
          <w:rFonts w:ascii="Arial" w:hAnsi="Arial" w:cs="Arial"/>
          <w:i/>
          <w:iCs/>
          <w:sz w:val="20"/>
          <w:szCs w:val="20"/>
        </w:rPr>
        <w:t xml:space="preserve"> </w:t>
      </w:r>
      <w:r w:rsidR="00DA43AA" w:rsidRPr="00DA43AA">
        <w:rPr>
          <w:rFonts w:ascii="Arial" w:hAnsi="Arial" w:cs="Arial"/>
          <w:sz w:val="20"/>
          <w:szCs w:val="20"/>
        </w:rPr>
        <w:t>reduction</w:t>
      </w:r>
      <w:r w:rsidR="00DA43AA">
        <w:rPr>
          <w:rFonts w:ascii="Arial" w:hAnsi="Arial" w:cs="Arial"/>
          <w:i/>
          <w:iCs/>
          <w:sz w:val="20"/>
          <w:szCs w:val="20"/>
        </w:rPr>
        <w:t xml:space="preserve">, </w:t>
      </w:r>
      <w:r w:rsidR="004A27C9" w:rsidRPr="00530E82">
        <w:rPr>
          <w:rFonts w:ascii="Arial" w:hAnsi="Arial" w:cs="Arial"/>
          <w:sz w:val="20"/>
          <w:szCs w:val="20"/>
        </w:rPr>
        <w:t>χ</w:t>
      </w:r>
      <w:r w:rsidR="004A27C9">
        <w:rPr>
          <w:rFonts w:ascii="Arial" w:hAnsi="Arial" w:cs="Arial"/>
          <w:sz w:val="20"/>
          <w:szCs w:val="20"/>
          <w:vertAlign w:val="superscript"/>
        </w:rPr>
        <w:t>2</w:t>
      </w:r>
      <w:r w:rsidR="004A27C9">
        <w:rPr>
          <w:rFonts w:ascii="Arial" w:hAnsi="Arial" w:cs="Arial"/>
          <w:sz w:val="20"/>
          <w:szCs w:val="20"/>
        </w:rPr>
        <w:t>(2</w:t>
      </w:r>
      <w:r w:rsidR="004A27C9" w:rsidRPr="007A682B">
        <w:rPr>
          <w:rFonts w:ascii="Arial" w:hAnsi="Arial" w:cs="Arial"/>
          <w:sz w:val="20"/>
          <w:szCs w:val="20"/>
        </w:rPr>
        <w:t>)</w:t>
      </w:r>
      <w:r w:rsidR="00385EE8">
        <w:rPr>
          <w:rFonts w:ascii="Arial" w:hAnsi="Arial" w:cs="Arial"/>
          <w:sz w:val="20"/>
          <w:szCs w:val="20"/>
        </w:rPr>
        <w:t xml:space="preserve"> = 9.</w:t>
      </w:r>
      <w:r w:rsidR="006044D0">
        <w:rPr>
          <w:rFonts w:ascii="Arial" w:hAnsi="Arial" w:cs="Arial"/>
          <w:sz w:val="20"/>
          <w:szCs w:val="20"/>
        </w:rPr>
        <w:t>8</w:t>
      </w:r>
      <w:r w:rsidR="00385EE8">
        <w:rPr>
          <w:rFonts w:ascii="Arial" w:hAnsi="Arial" w:cs="Arial"/>
          <w:sz w:val="20"/>
          <w:szCs w:val="20"/>
        </w:rPr>
        <w:t xml:space="preserve">20, </w:t>
      </w:r>
      <w:r w:rsidR="00385EE8" w:rsidRPr="00385EE8">
        <w:rPr>
          <w:rFonts w:ascii="Arial" w:hAnsi="Arial" w:cs="Arial"/>
          <w:i/>
          <w:iCs/>
          <w:sz w:val="20"/>
          <w:szCs w:val="20"/>
        </w:rPr>
        <w:t>p</w:t>
      </w:r>
      <w:r w:rsidR="00385EE8">
        <w:rPr>
          <w:rFonts w:ascii="Arial" w:hAnsi="Arial" w:cs="Arial"/>
          <w:sz w:val="20"/>
          <w:szCs w:val="20"/>
        </w:rPr>
        <w:t>= 0.007</w:t>
      </w:r>
      <w:r w:rsidR="00DA43AA">
        <w:rPr>
          <w:rFonts w:ascii="Arial" w:hAnsi="Arial" w:cs="Arial"/>
          <w:sz w:val="20"/>
          <w:szCs w:val="20"/>
        </w:rPr>
        <w:t>;</w:t>
      </w:r>
      <w:r w:rsidR="004A27C9">
        <w:rPr>
          <w:rFonts w:ascii="Arial" w:hAnsi="Arial" w:cs="Arial"/>
          <w:sz w:val="20"/>
          <w:szCs w:val="20"/>
        </w:rPr>
        <w:t xml:space="preserve"> </w:t>
      </w:r>
      <w:r w:rsidR="009D66E3" w:rsidRPr="007A682B">
        <w:rPr>
          <w:rFonts w:ascii="Arial" w:hAnsi="Arial" w:cs="Arial"/>
          <w:i/>
          <w:iCs/>
          <w:sz w:val="20"/>
          <w:szCs w:val="20"/>
        </w:rPr>
        <w:t>nmbr</w:t>
      </w:r>
      <w:r w:rsidR="009D66E3" w:rsidRPr="007A682B">
        <w:rPr>
          <w:rFonts w:ascii="Arial" w:hAnsi="Arial" w:cs="Arial"/>
          <w:sz w:val="20"/>
          <w:szCs w:val="20"/>
        </w:rPr>
        <w:t>:</w:t>
      </w:r>
      <w:r w:rsidR="004A27C9">
        <w:rPr>
          <w:rFonts w:ascii="Arial" w:hAnsi="Arial" w:cs="Arial"/>
          <w:sz w:val="20"/>
          <w:szCs w:val="20"/>
        </w:rPr>
        <w:t xml:space="preserve"> </w:t>
      </w:r>
      <w:r w:rsidR="005311A9">
        <w:rPr>
          <w:rFonts w:ascii="Arial" w:hAnsi="Arial" w:cs="Arial"/>
          <w:sz w:val="20"/>
          <w:szCs w:val="20"/>
        </w:rPr>
        <w:t>7</w:t>
      </w:r>
      <w:r w:rsidR="004A27C9">
        <w:rPr>
          <w:rFonts w:ascii="Arial" w:hAnsi="Arial" w:cs="Arial"/>
          <w:sz w:val="20"/>
          <w:szCs w:val="20"/>
        </w:rPr>
        <w:t>%</w:t>
      </w:r>
      <w:r w:rsidR="005311A9">
        <w:rPr>
          <w:rFonts w:ascii="Arial" w:hAnsi="Arial" w:cs="Arial"/>
          <w:sz w:val="20"/>
          <w:szCs w:val="20"/>
        </w:rPr>
        <w:t>,</w:t>
      </w:r>
      <w:r w:rsidR="004A27C9" w:rsidRPr="004A27C9">
        <w:rPr>
          <w:rFonts w:ascii="Arial" w:hAnsi="Arial" w:cs="Arial"/>
          <w:sz w:val="20"/>
          <w:szCs w:val="20"/>
        </w:rPr>
        <w:t xml:space="preserve"> </w:t>
      </w:r>
      <w:r w:rsidR="004A27C9" w:rsidRPr="00530E82">
        <w:rPr>
          <w:rFonts w:ascii="Arial" w:hAnsi="Arial" w:cs="Arial"/>
          <w:sz w:val="20"/>
          <w:szCs w:val="20"/>
        </w:rPr>
        <w:t>χ</w:t>
      </w:r>
      <w:r w:rsidR="004A27C9">
        <w:rPr>
          <w:rFonts w:ascii="Arial" w:hAnsi="Arial" w:cs="Arial"/>
          <w:sz w:val="20"/>
          <w:szCs w:val="20"/>
          <w:vertAlign w:val="superscript"/>
        </w:rPr>
        <w:t>2</w:t>
      </w:r>
      <w:r w:rsidR="004A27C9">
        <w:rPr>
          <w:rFonts w:ascii="Arial" w:hAnsi="Arial" w:cs="Arial"/>
          <w:sz w:val="20"/>
          <w:szCs w:val="20"/>
        </w:rPr>
        <w:t>(2</w:t>
      </w:r>
      <w:r w:rsidR="004A27C9" w:rsidRPr="007A682B">
        <w:rPr>
          <w:rFonts w:ascii="Arial" w:hAnsi="Arial" w:cs="Arial"/>
          <w:sz w:val="20"/>
          <w:szCs w:val="20"/>
        </w:rPr>
        <w:t>)</w:t>
      </w:r>
      <w:r w:rsidR="00385EE8">
        <w:rPr>
          <w:rFonts w:ascii="Arial" w:hAnsi="Arial" w:cs="Arial"/>
          <w:sz w:val="20"/>
          <w:szCs w:val="20"/>
        </w:rPr>
        <w:t xml:space="preserve"> =8.017, </w:t>
      </w:r>
      <w:r w:rsidR="00385EE8">
        <w:rPr>
          <w:rFonts w:ascii="Arial" w:hAnsi="Arial" w:cs="Arial"/>
          <w:i/>
          <w:iCs/>
          <w:sz w:val="20"/>
          <w:szCs w:val="20"/>
        </w:rPr>
        <w:t>p</w:t>
      </w:r>
      <w:r w:rsidR="00385EE8">
        <w:rPr>
          <w:rFonts w:ascii="Arial" w:hAnsi="Arial" w:cs="Arial"/>
          <w:sz w:val="20"/>
          <w:szCs w:val="20"/>
        </w:rPr>
        <w:t xml:space="preserve"> = 0.018</w:t>
      </w:r>
      <w:r w:rsidR="00C108FB">
        <w:rPr>
          <w:rFonts w:ascii="Arial" w:hAnsi="Arial" w:cs="Arial"/>
          <w:sz w:val="20"/>
          <w:szCs w:val="20"/>
        </w:rPr>
        <w:t xml:space="preserve">; </w:t>
      </w:r>
      <w:r w:rsidR="00C108FB" w:rsidRPr="00C108FB">
        <w:rPr>
          <w:rFonts w:ascii="Arial" w:hAnsi="Arial" w:cs="Arial"/>
          <w:sz w:val="20"/>
          <w:szCs w:val="20"/>
          <w:highlight w:val="yellow"/>
        </w:rPr>
        <w:t>Supplementary Fig. 10</w:t>
      </w:r>
      <w:r w:rsidR="00940979" w:rsidRPr="007A682B">
        <w:rPr>
          <w:rFonts w:ascii="Arial" w:hAnsi="Arial" w:cs="Arial"/>
          <w:sz w:val="20"/>
          <w:szCs w:val="20"/>
        </w:rPr>
        <w:t>)</w:t>
      </w:r>
      <w:r w:rsidR="00D770B1" w:rsidRPr="007A682B">
        <w:rPr>
          <w:rFonts w:ascii="Arial" w:hAnsi="Arial" w:cs="Arial"/>
          <w:sz w:val="20"/>
          <w:szCs w:val="20"/>
        </w:rPr>
        <w:t xml:space="preserve">. </w:t>
      </w:r>
      <w:r w:rsidR="00A7700A" w:rsidRPr="00A7700A">
        <w:rPr>
          <w:rFonts w:ascii="Arial" w:hAnsi="Arial" w:cs="Arial"/>
          <w:sz w:val="20"/>
          <w:szCs w:val="20"/>
        </w:rPr>
        <w:t xml:space="preserve">Unlike these patterns, the proportion of </w:t>
      </w:r>
      <w:r w:rsidR="00A7700A" w:rsidRPr="001B16DE">
        <w:rPr>
          <w:rFonts w:ascii="Arial" w:hAnsi="Arial" w:cs="Arial"/>
          <w:i/>
          <w:iCs/>
          <w:sz w:val="20"/>
          <w:szCs w:val="20"/>
        </w:rPr>
        <w:t>cckb</w:t>
      </w:r>
      <w:r w:rsidR="00A7700A" w:rsidRPr="00A7700A">
        <w:rPr>
          <w:rFonts w:ascii="Arial" w:hAnsi="Arial" w:cs="Arial"/>
          <w:sz w:val="20"/>
          <w:szCs w:val="20"/>
        </w:rPr>
        <w:t>-expressing neurons increased 1.4-fold during the Intermediate-to-Female (late) transition (</w:t>
      </w:r>
      <w:r w:rsidR="001B16DE" w:rsidRPr="00530E82">
        <w:rPr>
          <w:rFonts w:ascii="Arial" w:hAnsi="Arial" w:cs="Arial"/>
          <w:sz w:val="20"/>
          <w:szCs w:val="20"/>
        </w:rPr>
        <w:t>χ</w:t>
      </w:r>
      <w:r w:rsidR="001B16DE">
        <w:rPr>
          <w:rFonts w:ascii="Arial" w:hAnsi="Arial" w:cs="Arial"/>
          <w:sz w:val="20"/>
          <w:szCs w:val="20"/>
          <w:vertAlign w:val="superscript"/>
        </w:rPr>
        <w:t>2</w:t>
      </w:r>
      <w:r w:rsidR="00A7700A" w:rsidRPr="00A7700A">
        <w:rPr>
          <w:rFonts w:ascii="Arial" w:hAnsi="Arial" w:cs="Arial"/>
          <w:sz w:val="20"/>
          <w:szCs w:val="20"/>
        </w:rPr>
        <w:t xml:space="preserve">(2) = 7.452, p = 0.024) despite no detectable change in </w:t>
      </w:r>
      <w:r w:rsidR="00A7700A" w:rsidRPr="001B16DE">
        <w:rPr>
          <w:rFonts w:ascii="Arial" w:hAnsi="Arial" w:cs="Arial"/>
          <w:i/>
          <w:iCs/>
          <w:sz w:val="20"/>
          <w:szCs w:val="20"/>
        </w:rPr>
        <w:t>cckb</w:t>
      </w:r>
      <w:r w:rsidR="00A7700A" w:rsidRPr="00A7700A">
        <w:rPr>
          <w:rFonts w:ascii="Arial" w:hAnsi="Arial" w:cs="Arial"/>
          <w:sz w:val="20"/>
          <w:szCs w:val="20"/>
        </w:rPr>
        <w:t xml:space="preserve"> expression (</w:t>
      </w:r>
      <w:r w:rsidR="00A7700A" w:rsidRPr="00530E82">
        <w:rPr>
          <w:rFonts w:ascii="Arial" w:hAnsi="Arial" w:cs="Arial"/>
          <w:sz w:val="20"/>
          <w:szCs w:val="20"/>
        </w:rPr>
        <w:t>χ</w:t>
      </w:r>
      <w:r w:rsidR="00A7700A">
        <w:rPr>
          <w:rFonts w:ascii="Arial" w:hAnsi="Arial" w:cs="Arial"/>
          <w:sz w:val="20"/>
          <w:szCs w:val="20"/>
          <w:vertAlign w:val="superscript"/>
        </w:rPr>
        <w:t>2</w:t>
      </w:r>
      <w:r w:rsidR="00A7700A" w:rsidRPr="00A7700A">
        <w:rPr>
          <w:rFonts w:ascii="Arial" w:hAnsi="Arial" w:cs="Arial"/>
          <w:sz w:val="20"/>
          <w:szCs w:val="20"/>
        </w:rPr>
        <w:t xml:space="preserve"> (2) = 2.472, q = 1.000, </w:t>
      </w:r>
      <w:r w:rsidR="00A7700A" w:rsidRPr="00A7700A">
        <w:rPr>
          <w:rFonts w:ascii="Arial" w:hAnsi="Arial" w:cs="Arial"/>
          <w:sz w:val="20"/>
          <w:szCs w:val="20"/>
          <w:highlight w:val="yellow"/>
        </w:rPr>
        <w:t>Fig. 6C, Appendix S1</w:t>
      </w:r>
      <w:r w:rsidR="00A7700A" w:rsidRPr="00A7700A">
        <w:rPr>
          <w:rFonts w:ascii="Arial" w:hAnsi="Arial" w:cs="Arial"/>
          <w:sz w:val="20"/>
          <w:szCs w:val="20"/>
        </w:rPr>
        <w:t xml:space="preserve">). This suggests the population </w:t>
      </w:r>
      <w:r w:rsidR="00A7700A" w:rsidRPr="001B16DE">
        <w:rPr>
          <w:rFonts w:ascii="Arial" w:hAnsi="Arial" w:cs="Arial"/>
          <w:i/>
          <w:iCs/>
          <w:sz w:val="20"/>
          <w:szCs w:val="20"/>
        </w:rPr>
        <w:t>cckb</w:t>
      </w:r>
      <w:r w:rsidR="00A7700A" w:rsidRPr="00A7700A">
        <w:rPr>
          <w:rFonts w:ascii="Arial" w:hAnsi="Arial" w:cs="Arial"/>
          <w:sz w:val="20"/>
          <w:szCs w:val="20"/>
        </w:rPr>
        <w:t>+ neurons might remodel through a mechanism distinct from the other candidate neuroendocrine populations.</w:t>
      </w:r>
    </w:p>
    <w:p w14:paraId="1912E103" w14:textId="0C6A0EEA" w:rsidR="001B16DE" w:rsidRDefault="001B16DE" w:rsidP="004816FA">
      <w:pPr>
        <w:rPr>
          <w:rFonts w:ascii="Arial" w:hAnsi="Arial" w:cs="Arial"/>
          <w:sz w:val="20"/>
          <w:szCs w:val="20"/>
        </w:rPr>
      </w:pPr>
      <w:r>
        <w:rPr>
          <w:rFonts w:ascii="Arial" w:hAnsi="Arial" w:cs="Arial"/>
          <w:sz w:val="20"/>
          <w:szCs w:val="20"/>
        </w:rPr>
        <w:tab/>
      </w:r>
      <w:commentRangeStart w:id="11"/>
      <w:commentRangeStart w:id="12"/>
      <w:r w:rsidRPr="001B16DE">
        <w:rPr>
          <w:rFonts w:ascii="Arial" w:hAnsi="Arial" w:cs="Arial"/>
          <w:sz w:val="20"/>
          <w:szCs w:val="20"/>
        </w:rPr>
        <w:t xml:space="preserve">Importantly, these marker-defined neuronal populations are not necessarily mutually exclusive, as individual neurons may express multiple receptors or neuropeptides. Indeed, </w:t>
      </w:r>
      <w:r w:rsidRPr="001B16DE">
        <w:rPr>
          <w:rFonts w:ascii="Arial" w:hAnsi="Arial" w:cs="Arial"/>
          <w:sz w:val="20"/>
          <w:szCs w:val="20"/>
          <w:highlight w:val="yellow"/>
        </w:rPr>
        <w:t xml:space="preserve">xx [Gabe: describe the extent of overlap among </w:t>
      </w:r>
      <w:r w:rsidRPr="001B16DE">
        <w:rPr>
          <w:rFonts w:ascii="Arial" w:hAnsi="Arial" w:cs="Arial"/>
          <w:i/>
          <w:iCs/>
          <w:sz w:val="20"/>
          <w:szCs w:val="20"/>
          <w:highlight w:val="yellow"/>
        </w:rPr>
        <w:t>drd3</w:t>
      </w:r>
      <w:r w:rsidRPr="001B16DE">
        <w:rPr>
          <w:rFonts w:ascii="Arial" w:hAnsi="Arial" w:cs="Arial"/>
          <w:sz w:val="20"/>
          <w:szCs w:val="20"/>
          <w:highlight w:val="yellow"/>
        </w:rPr>
        <w:t xml:space="preserve">+, </w:t>
      </w:r>
      <w:r w:rsidRPr="001B16DE">
        <w:rPr>
          <w:rFonts w:ascii="Arial" w:hAnsi="Arial" w:cs="Arial"/>
          <w:i/>
          <w:iCs/>
          <w:sz w:val="20"/>
          <w:szCs w:val="20"/>
          <w:highlight w:val="yellow"/>
        </w:rPr>
        <w:t>tacr3a</w:t>
      </w:r>
      <w:r w:rsidRPr="001B16DE">
        <w:rPr>
          <w:rFonts w:ascii="Arial" w:hAnsi="Arial" w:cs="Arial"/>
          <w:sz w:val="20"/>
          <w:szCs w:val="20"/>
          <w:highlight w:val="yellow"/>
        </w:rPr>
        <w:t xml:space="preserve">+, </w:t>
      </w:r>
      <w:r w:rsidRPr="001B16DE">
        <w:rPr>
          <w:rFonts w:ascii="Arial" w:hAnsi="Arial" w:cs="Arial"/>
          <w:i/>
          <w:iCs/>
          <w:sz w:val="20"/>
          <w:szCs w:val="20"/>
          <w:highlight w:val="yellow"/>
        </w:rPr>
        <w:t>npy7r</w:t>
      </w:r>
      <w:r w:rsidRPr="001B16DE">
        <w:rPr>
          <w:rFonts w:ascii="Arial" w:hAnsi="Arial" w:cs="Arial"/>
          <w:sz w:val="20"/>
          <w:szCs w:val="20"/>
          <w:highlight w:val="yellow"/>
        </w:rPr>
        <w:t xml:space="preserve">+, </w:t>
      </w:r>
      <w:r w:rsidRPr="001B16DE">
        <w:rPr>
          <w:rFonts w:ascii="Arial" w:hAnsi="Arial" w:cs="Arial"/>
          <w:i/>
          <w:iCs/>
          <w:sz w:val="20"/>
          <w:szCs w:val="20"/>
          <w:highlight w:val="yellow"/>
        </w:rPr>
        <w:t>nmbr</w:t>
      </w:r>
      <w:r w:rsidRPr="001B16DE">
        <w:rPr>
          <w:rFonts w:ascii="Arial" w:hAnsi="Arial" w:cs="Arial"/>
          <w:sz w:val="20"/>
          <w:szCs w:val="20"/>
          <w:highlight w:val="yellow"/>
        </w:rPr>
        <w:t xml:space="preserve">+, and </w:t>
      </w:r>
      <w:r w:rsidRPr="001B16DE">
        <w:rPr>
          <w:rFonts w:ascii="Arial" w:hAnsi="Arial" w:cs="Arial"/>
          <w:i/>
          <w:iCs/>
          <w:sz w:val="20"/>
          <w:szCs w:val="20"/>
          <w:highlight w:val="yellow"/>
        </w:rPr>
        <w:t>cckb</w:t>
      </w:r>
      <w:r w:rsidRPr="001B16DE">
        <w:rPr>
          <w:rFonts w:ascii="Arial" w:hAnsi="Arial" w:cs="Arial"/>
          <w:sz w:val="20"/>
          <w:szCs w:val="20"/>
          <w:highlight w:val="yellow"/>
        </w:rPr>
        <w:t>+ neurons, including which markers are commonly coexpressed and whether their overlap changes across sex-change phases; include figure reference if appropriate</w:t>
      </w:r>
      <w:r w:rsidRPr="001B16DE">
        <w:rPr>
          <w:rFonts w:ascii="Arial" w:hAnsi="Arial" w:cs="Arial"/>
          <w:sz w:val="20"/>
          <w:szCs w:val="20"/>
        </w:rPr>
        <w:t>]. Thus, changes in the relative abundance of neurons expressing individual markers should not be interpreted as changes in the sizes of entirely distinct neuronal populations. Rather, they may reflect overlapping changes in the molecular identities of neurons within 6_POA_Mixed.</w:t>
      </w:r>
      <w:commentRangeEnd w:id="11"/>
      <w:r w:rsidR="005A3828">
        <w:rPr>
          <w:rStyle w:val="CommentReference"/>
          <w:rFonts w:ascii="Arial" w:hAnsi="Arial" w:cs="Arial"/>
          <w:sz w:val="20"/>
          <w:szCs w:val="20"/>
        </w:rPr>
        <w:commentReference w:id="11"/>
      </w:r>
      <w:commentRangeEnd w:id="12"/>
      <w:r w:rsidR="008C795A">
        <w:rPr>
          <w:rStyle w:val="CommentReference"/>
          <w:rFonts w:ascii="Arial" w:hAnsi="Arial" w:cs="Arial"/>
          <w:sz w:val="20"/>
          <w:szCs w:val="20"/>
        </w:rPr>
        <w:commentReference w:id="12"/>
      </w:r>
    </w:p>
    <w:p w14:paraId="57281F1B" w14:textId="2ED0CA5B" w:rsidR="00E55315" w:rsidRPr="007A682B" w:rsidRDefault="0077473A" w:rsidP="004816FA">
      <w:pPr>
        <w:rPr>
          <w:rFonts w:ascii="Arial" w:hAnsi="Arial" w:cs="Arial"/>
          <w:sz w:val="20"/>
          <w:szCs w:val="20"/>
        </w:rPr>
      </w:pPr>
      <w:r w:rsidRPr="007A682B">
        <w:rPr>
          <w:rFonts w:ascii="Arial" w:hAnsi="Arial" w:cs="Arial"/>
          <w:sz w:val="20"/>
          <w:szCs w:val="20"/>
        </w:rPr>
        <w:tab/>
      </w:r>
      <w:r w:rsidR="00D231FF" w:rsidRPr="007A682B">
        <w:rPr>
          <w:rFonts w:ascii="Arial" w:hAnsi="Arial" w:cs="Arial"/>
          <w:sz w:val="20"/>
          <w:szCs w:val="20"/>
        </w:rPr>
        <w:t xml:space="preserve">For the cell types that increased </w:t>
      </w:r>
      <w:r w:rsidR="005F52F0">
        <w:rPr>
          <w:rFonts w:ascii="Arial" w:hAnsi="Arial" w:cs="Arial"/>
          <w:sz w:val="20"/>
          <w:szCs w:val="20"/>
        </w:rPr>
        <w:t xml:space="preserve">in proportion </w:t>
      </w:r>
      <w:r w:rsidR="00D231FF" w:rsidRPr="007A682B">
        <w:rPr>
          <w:rFonts w:ascii="Arial" w:hAnsi="Arial" w:cs="Arial"/>
          <w:sz w:val="20"/>
          <w:szCs w:val="20"/>
        </w:rPr>
        <w:t xml:space="preserve">during sex change, we </w:t>
      </w:r>
      <w:r w:rsidR="00D770B1" w:rsidRPr="007A682B">
        <w:rPr>
          <w:rFonts w:ascii="Arial" w:hAnsi="Arial" w:cs="Arial"/>
          <w:sz w:val="20"/>
          <w:szCs w:val="20"/>
        </w:rPr>
        <w:t>next</w:t>
      </w:r>
      <w:r w:rsidR="00D231FF" w:rsidRPr="007A682B">
        <w:rPr>
          <w:rFonts w:ascii="Arial" w:hAnsi="Arial" w:cs="Arial"/>
          <w:sz w:val="20"/>
          <w:szCs w:val="20"/>
        </w:rPr>
        <w:t xml:space="preserve"> </w:t>
      </w:r>
      <w:r w:rsidR="00C14CF5" w:rsidRPr="007A682B">
        <w:rPr>
          <w:rFonts w:ascii="Arial" w:hAnsi="Arial" w:cs="Arial"/>
          <w:sz w:val="20"/>
          <w:szCs w:val="20"/>
        </w:rPr>
        <w:t>compared the predicted maturity of marker-positive cells across phases to determine whether these changes were more consistent with incorporation of newly generated neurons or transcriptional remodeling of preexisting neurons.</w:t>
      </w:r>
      <w:r w:rsidR="00E55315" w:rsidRPr="007A682B">
        <w:rPr>
          <w:rFonts w:ascii="Arial" w:hAnsi="Arial" w:cs="Arial"/>
          <w:sz w:val="20"/>
          <w:szCs w:val="20"/>
        </w:rPr>
        <w:t xml:space="preserve"> Neither </w:t>
      </w:r>
      <w:r w:rsidR="00E55315" w:rsidRPr="007A682B">
        <w:rPr>
          <w:rFonts w:ascii="Arial" w:hAnsi="Arial" w:cs="Arial"/>
          <w:i/>
          <w:iCs/>
          <w:sz w:val="20"/>
          <w:szCs w:val="20"/>
        </w:rPr>
        <w:t>drd3</w:t>
      </w:r>
      <w:r w:rsidR="00EF2E87" w:rsidRPr="007A682B">
        <w:rPr>
          <w:rFonts w:ascii="Arial" w:hAnsi="Arial" w:cs="Arial"/>
          <w:sz w:val="20"/>
          <w:szCs w:val="20"/>
        </w:rPr>
        <w:t xml:space="preserve"> </w:t>
      </w:r>
      <w:r w:rsidR="00D2074E" w:rsidRPr="007A682B">
        <w:rPr>
          <w:rFonts w:ascii="Arial" w:hAnsi="Arial" w:cs="Arial"/>
          <w:sz w:val="20"/>
          <w:szCs w:val="20"/>
        </w:rPr>
        <w:t>(</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1.612, </w:t>
      </w:r>
      <w:r w:rsidR="00385EE8">
        <w:rPr>
          <w:rFonts w:ascii="Arial" w:hAnsi="Arial" w:cs="Arial"/>
          <w:i/>
          <w:iCs/>
          <w:sz w:val="20"/>
          <w:szCs w:val="20"/>
        </w:rPr>
        <w:t>p</w:t>
      </w:r>
      <w:r w:rsidR="00385EE8">
        <w:rPr>
          <w:rFonts w:ascii="Arial" w:hAnsi="Arial" w:cs="Arial"/>
          <w:sz w:val="20"/>
          <w:szCs w:val="20"/>
        </w:rPr>
        <w:t xml:space="preserve"> = 0.447</w:t>
      </w:r>
      <w:r w:rsidR="00D2074E" w:rsidRPr="007A682B">
        <w:rPr>
          <w:rFonts w:ascii="Arial" w:hAnsi="Arial" w:cs="Arial"/>
          <w:sz w:val="20"/>
          <w:szCs w:val="20"/>
        </w:rPr>
        <w:t>)</w:t>
      </w:r>
      <w:r w:rsidR="00DD6424">
        <w:rPr>
          <w:rFonts w:ascii="Arial" w:hAnsi="Arial" w:cs="Arial"/>
          <w:sz w:val="20"/>
          <w:szCs w:val="20"/>
        </w:rPr>
        <w:t xml:space="preserve"> </w:t>
      </w:r>
      <w:r w:rsidR="00E55315" w:rsidRPr="007A682B">
        <w:rPr>
          <w:rFonts w:ascii="Arial" w:hAnsi="Arial" w:cs="Arial"/>
          <w:sz w:val="20"/>
          <w:szCs w:val="20"/>
        </w:rPr>
        <w:t xml:space="preserve">nor </w:t>
      </w:r>
      <w:r w:rsidR="00E55315" w:rsidRPr="007A682B">
        <w:rPr>
          <w:rFonts w:ascii="Arial" w:hAnsi="Arial" w:cs="Arial"/>
          <w:i/>
          <w:iCs/>
          <w:sz w:val="20"/>
          <w:szCs w:val="20"/>
        </w:rPr>
        <w:t>tacr3a</w:t>
      </w:r>
      <w:r w:rsidR="00E55315" w:rsidRPr="007A682B">
        <w:rPr>
          <w:rFonts w:ascii="Arial" w:hAnsi="Arial" w:cs="Arial"/>
          <w:sz w:val="20"/>
          <w:szCs w:val="20"/>
        </w:rPr>
        <w:t>-expressing neurons</w:t>
      </w:r>
      <w:r w:rsidR="00EF2E87" w:rsidRPr="007A682B">
        <w:rPr>
          <w:rFonts w:ascii="Arial" w:hAnsi="Arial" w:cs="Arial"/>
          <w:sz w:val="20"/>
          <w:szCs w:val="20"/>
        </w:rPr>
        <w:t xml:space="preserve"> (</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0.903, </w:t>
      </w:r>
      <w:r w:rsidR="00385EE8">
        <w:rPr>
          <w:rFonts w:ascii="Arial" w:hAnsi="Arial" w:cs="Arial"/>
          <w:i/>
          <w:iCs/>
          <w:sz w:val="20"/>
          <w:szCs w:val="20"/>
        </w:rPr>
        <w:t>p</w:t>
      </w:r>
      <w:r w:rsidR="00385EE8">
        <w:rPr>
          <w:rFonts w:ascii="Arial" w:hAnsi="Arial" w:cs="Arial"/>
          <w:sz w:val="20"/>
          <w:szCs w:val="20"/>
        </w:rPr>
        <w:t xml:space="preserve"> = 0.637</w:t>
      </w:r>
      <w:r w:rsidR="00EF2E87" w:rsidRPr="007A682B">
        <w:rPr>
          <w:rFonts w:ascii="Arial" w:hAnsi="Arial" w:cs="Arial"/>
          <w:sz w:val="20"/>
          <w:szCs w:val="20"/>
        </w:rPr>
        <w:t>)</w:t>
      </w:r>
      <w:r w:rsidR="00E55315" w:rsidRPr="007A682B">
        <w:rPr>
          <w:rFonts w:ascii="Arial" w:hAnsi="Arial" w:cs="Arial"/>
          <w:sz w:val="20"/>
          <w:szCs w:val="20"/>
        </w:rPr>
        <w:t xml:space="preserve"> differed in maturity </w:t>
      </w:r>
      <w:r w:rsidR="00D770B1" w:rsidRPr="007A682B">
        <w:rPr>
          <w:rFonts w:ascii="Arial" w:hAnsi="Arial" w:cs="Arial"/>
          <w:sz w:val="20"/>
          <w:szCs w:val="20"/>
        </w:rPr>
        <w:t>by phase (</w:t>
      </w:r>
      <w:r w:rsidR="00E55315" w:rsidRPr="007A682B">
        <w:rPr>
          <w:rFonts w:ascii="Arial" w:hAnsi="Arial" w:cs="Arial"/>
          <w:sz w:val="20"/>
          <w:szCs w:val="20"/>
          <w:highlight w:val="yellow"/>
        </w:rPr>
        <w:t>Fig. 6A,</w:t>
      </w:r>
      <w:r w:rsidR="00A802D8" w:rsidRPr="007A682B">
        <w:rPr>
          <w:rFonts w:ascii="Arial" w:hAnsi="Arial" w:cs="Arial"/>
          <w:sz w:val="20"/>
          <w:szCs w:val="20"/>
          <w:highlight w:val="yellow"/>
        </w:rPr>
        <w:t xml:space="preserve"> </w:t>
      </w:r>
      <w:r w:rsidR="00E55315" w:rsidRPr="007A682B">
        <w:rPr>
          <w:rFonts w:ascii="Arial" w:hAnsi="Arial" w:cs="Arial"/>
          <w:sz w:val="20"/>
          <w:szCs w:val="20"/>
          <w:highlight w:val="yellow"/>
        </w:rPr>
        <w:t>B</w:t>
      </w:r>
      <w:r w:rsidR="00BC1A9E" w:rsidRPr="007A682B">
        <w:rPr>
          <w:rFonts w:ascii="Arial" w:hAnsi="Arial" w:cs="Arial"/>
          <w:sz w:val="20"/>
          <w:szCs w:val="20"/>
        </w:rPr>
        <w:t>, Appendix S1</w:t>
      </w:r>
      <w:r w:rsidR="00E55315" w:rsidRPr="007A682B">
        <w:rPr>
          <w:rFonts w:ascii="Arial" w:hAnsi="Arial" w:cs="Arial"/>
          <w:sz w:val="20"/>
          <w:szCs w:val="20"/>
        </w:rPr>
        <w:t>)</w:t>
      </w:r>
      <w:r w:rsidR="005F52F0">
        <w:rPr>
          <w:rFonts w:ascii="Arial" w:hAnsi="Arial" w:cs="Arial"/>
          <w:sz w:val="20"/>
          <w:szCs w:val="20"/>
        </w:rPr>
        <w:t xml:space="preserve">. </w:t>
      </w:r>
      <w:r w:rsidR="005F52F0" w:rsidRPr="005F52F0">
        <w:rPr>
          <w:rFonts w:ascii="Arial" w:hAnsi="Arial" w:cs="Arial"/>
          <w:sz w:val="20"/>
          <w:szCs w:val="20"/>
        </w:rPr>
        <w:t>These findings are consistent with changes in gene expression within preexisting neurons, although incorporation of newly generated neurons cannot be excluded.</w:t>
      </w:r>
    </w:p>
    <w:p w14:paraId="60729ECB" w14:textId="200BE5EE" w:rsidR="00E55315" w:rsidRPr="007A682B" w:rsidRDefault="00E55315" w:rsidP="004816FA">
      <w:pPr>
        <w:rPr>
          <w:rFonts w:ascii="Arial" w:hAnsi="Arial" w:cs="Arial"/>
          <w:sz w:val="20"/>
          <w:szCs w:val="20"/>
        </w:rPr>
      </w:pPr>
      <w:r w:rsidRPr="007A682B">
        <w:rPr>
          <w:rFonts w:ascii="Arial" w:hAnsi="Arial" w:cs="Arial"/>
          <w:sz w:val="20"/>
          <w:szCs w:val="20"/>
        </w:rPr>
        <w:tab/>
      </w:r>
      <w:r w:rsidR="00120EF9" w:rsidRPr="007A682B">
        <w:rPr>
          <w:rFonts w:ascii="Arial" w:hAnsi="Arial" w:cs="Arial"/>
          <w:sz w:val="20"/>
          <w:szCs w:val="20"/>
        </w:rPr>
        <w:t>By</w:t>
      </w:r>
      <w:r w:rsidRPr="007A682B">
        <w:rPr>
          <w:rFonts w:ascii="Arial" w:hAnsi="Arial" w:cs="Arial"/>
          <w:sz w:val="20"/>
          <w:szCs w:val="20"/>
        </w:rPr>
        <w:t xml:space="preserve"> contrast, </w:t>
      </w:r>
      <w:r w:rsidRPr="007A682B">
        <w:rPr>
          <w:rFonts w:ascii="Arial" w:hAnsi="Arial" w:cs="Arial"/>
          <w:i/>
          <w:iCs/>
          <w:sz w:val="20"/>
          <w:szCs w:val="20"/>
        </w:rPr>
        <w:t>cckb</w:t>
      </w:r>
      <w:r w:rsidR="00120EF9" w:rsidRPr="007A682B">
        <w:rPr>
          <w:rFonts w:ascii="Arial" w:hAnsi="Arial" w:cs="Arial"/>
          <w:sz w:val="20"/>
          <w:szCs w:val="20"/>
        </w:rPr>
        <w:t>+</w:t>
      </w:r>
      <w:r w:rsidRPr="007A682B">
        <w:rPr>
          <w:rFonts w:ascii="Arial" w:hAnsi="Arial" w:cs="Arial"/>
          <w:sz w:val="20"/>
          <w:szCs w:val="20"/>
        </w:rPr>
        <w:t xml:space="preserve"> neurons</w:t>
      </w:r>
      <w:r w:rsidR="00D2074E" w:rsidRPr="007A682B">
        <w:rPr>
          <w:rFonts w:ascii="Arial" w:hAnsi="Arial" w:cs="Arial"/>
          <w:sz w:val="20"/>
          <w:szCs w:val="20"/>
        </w:rPr>
        <w:t xml:space="preserve"> </w:t>
      </w:r>
      <w:r w:rsidRPr="007A682B">
        <w:rPr>
          <w:rFonts w:ascii="Arial" w:hAnsi="Arial" w:cs="Arial"/>
          <w:sz w:val="20"/>
          <w:szCs w:val="20"/>
        </w:rPr>
        <w:t xml:space="preserve">were significantly less mature </w:t>
      </w:r>
      <w:r w:rsidR="00BE65FB">
        <w:rPr>
          <w:rFonts w:ascii="Arial" w:hAnsi="Arial" w:cs="Arial"/>
          <w:sz w:val="20"/>
          <w:szCs w:val="20"/>
        </w:rPr>
        <w:t>in</w:t>
      </w:r>
      <w:r w:rsidR="005F52F0">
        <w:rPr>
          <w:rFonts w:ascii="Arial" w:hAnsi="Arial" w:cs="Arial"/>
          <w:sz w:val="20"/>
          <w:szCs w:val="20"/>
        </w:rPr>
        <w:t xml:space="preserve"> I</w:t>
      </w:r>
      <w:r w:rsidRPr="007A682B">
        <w:rPr>
          <w:rFonts w:ascii="Arial" w:hAnsi="Arial" w:cs="Arial"/>
          <w:sz w:val="20"/>
          <w:szCs w:val="20"/>
        </w:rPr>
        <w:t xml:space="preserve">ntermediates than in </w:t>
      </w:r>
      <w:r w:rsidR="005F52F0">
        <w:rPr>
          <w:rFonts w:ascii="Arial" w:hAnsi="Arial" w:cs="Arial"/>
          <w:sz w:val="20"/>
          <w:szCs w:val="20"/>
        </w:rPr>
        <w:t>F</w:t>
      </w:r>
      <w:r w:rsidRPr="007A682B">
        <w:rPr>
          <w:rFonts w:ascii="Arial" w:hAnsi="Arial" w:cs="Arial"/>
          <w:sz w:val="20"/>
          <w:szCs w:val="20"/>
        </w:rPr>
        <w:t>emales (</w:t>
      </w:r>
      <w:r w:rsidR="00F54B25" w:rsidRPr="00530E82">
        <w:rPr>
          <w:rFonts w:ascii="Arial" w:hAnsi="Arial" w:cs="Arial"/>
          <w:sz w:val="20"/>
          <w:szCs w:val="20"/>
        </w:rPr>
        <w:t>χ</w:t>
      </w:r>
      <w:r w:rsidR="00F54B25">
        <w:rPr>
          <w:rFonts w:ascii="Arial" w:hAnsi="Arial" w:cs="Arial"/>
          <w:sz w:val="20"/>
          <w:szCs w:val="20"/>
          <w:vertAlign w:val="superscript"/>
        </w:rPr>
        <w:t>2</w:t>
      </w:r>
      <w:r w:rsidR="00F54B25">
        <w:rPr>
          <w:rFonts w:ascii="Arial" w:hAnsi="Arial" w:cs="Arial"/>
          <w:sz w:val="20"/>
          <w:szCs w:val="20"/>
        </w:rPr>
        <w:t>(2</w:t>
      </w:r>
      <w:r w:rsidR="00F54B25" w:rsidRPr="007A682B">
        <w:rPr>
          <w:rFonts w:ascii="Arial" w:hAnsi="Arial" w:cs="Arial"/>
          <w:sz w:val="20"/>
          <w:szCs w:val="20"/>
        </w:rPr>
        <w:t>)</w:t>
      </w:r>
      <w:r w:rsidR="00F54B25">
        <w:rPr>
          <w:rFonts w:ascii="Arial" w:hAnsi="Arial" w:cs="Arial"/>
          <w:sz w:val="20"/>
          <w:szCs w:val="20"/>
        </w:rPr>
        <w:t xml:space="preserve"> = 11.722, </w:t>
      </w:r>
      <w:r w:rsidR="00F54B25">
        <w:rPr>
          <w:rFonts w:ascii="Arial" w:hAnsi="Arial" w:cs="Arial"/>
          <w:i/>
          <w:iCs/>
          <w:sz w:val="20"/>
          <w:szCs w:val="20"/>
        </w:rPr>
        <w:t>p</w:t>
      </w:r>
      <w:r w:rsidR="00F54B25">
        <w:rPr>
          <w:rFonts w:ascii="Arial" w:hAnsi="Arial" w:cs="Arial"/>
          <w:sz w:val="20"/>
          <w:szCs w:val="20"/>
        </w:rPr>
        <w:t xml:space="preserve"> = 0.003; </w:t>
      </w:r>
      <w:r w:rsidRPr="007A682B">
        <w:rPr>
          <w:rFonts w:ascii="Arial" w:hAnsi="Arial" w:cs="Arial"/>
          <w:sz w:val="20"/>
          <w:szCs w:val="20"/>
          <w:highlight w:val="yellow"/>
        </w:rPr>
        <w:t>Fig. 6C</w:t>
      </w:r>
      <w:r w:rsidR="00BC1A9E" w:rsidRPr="007A682B">
        <w:rPr>
          <w:rFonts w:ascii="Arial" w:hAnsi="Arial" w:cs="Arial"/>
          <w:sz w:val="20"/>
          <w:szCs w:val="20"/>
        </w:rPr>
        <w:t>, Appendix S1</w:t>
      </w:r>
      <w:r w:rsidRPr="007A682B">
        <w:rPr>
          <w:rFonts w:ascii="Arial" w:hAnsi="Arial" w:cs="Arial"/>
          <w:sz w:val="20"/>
          <w:szCs w:val="20"/>
        </w:rPr>
        <w:t xml:space="preserve">), consistent with </w:t>
      </w:r>
      <w:r w:rsidR="00E34A71" w:rsidRPr="007A682B">
        <w:rPr>
          <w:rFonts w:ascii="Arial" w:hAnsi="Arial" w:cs="Arial"/>
          <w:sz w:val="20"/>
          <w:szCs w:val="20"/>
        </w:rPr>
        <w:t xml:space="preserve">progressive maturation of newly generated neurons </w:t>
      </w:r>
      <w:r w:rsidRPr="007A682B">
        <w:rPr>
          <w:rFonts w:ascii="Arial" w:hAnsi="Arial" w:cs="Arial"/>
          <w:sz w:val="20"/>
          <w:szCs w:val="20"/>
        </w:rPr>
        <w:t xml:space="preserve">during the </w:t>
      </w:r>
      <w:r w:rsidR="005F52F0">
        <w:rPr>
          <w:rFonts w:ascii="Arial" w:hAnsi="Arial" w:cs="Arial"/>
          <w:sz w:val="20"/>
          <w:szCs w:val="20"/>
        </w:rPr>
        <w:t>I</w:t>
      </w:r>
      <w:r w:rsidRPr="007A682B">
        <w:rPr>
          <w:rFonts w:ascii="Arial" w:hAnsi="Arial" w:cs="Arial"/>
          <w:sz w:val="20"/>
          <w:szCs w:val="20"/>
        </w:rPr>
        <w:t>ntermediate-to-</w:t>
      </w:r>
      <w:r w:rsidR="005F52F0">
        <w:rPr>
          <w:rFonts w:ascii="Arial" w:hAnsi="Arial" w:cs="Arial"/>
          <w:sz w:val="20"/>
          <w:szCs w:val="20"/>
        </w:rPr>
        <w:t>F</w:t>
      </w:r>
      <w:r w:rsidRPr="007A682B">
        <w:rPr>
          <w:rFonts w:ascii="Arial" w:hAnsi="Arial" w:cs="Arial"/>
          <w:sz w:val="20"/>
          <w:szCs w:val="20"/>
        </w:rPr>
        <w:t xml:space="preserve">emale transition. </w:t>
      </w:r>
      <w:r w:rsidR="00181D45" w:rsidRPr="00181D45">
        <w:rPr>
          <w:rFonts w:ascii="Arial" w:hAnsi="Arial" w:cs="Arial"/>
          <w:sz w:val="20"/>
          <w:szCs w:val="20"/>
        </w:rPr>
        <w:t xml:space="preserve">Together, the increase in relative abundance of </w:t>
      </w:r>
      <w:r w:rsidR="00181D45" w:rsidRPr="00181D45">
        <w:rPr>
          <w:rFonts w:ascii="Arial" w:hAnsi="Arial" w:cs="Arial"/>
          <w:i/>
          <w:iCs/>
          <w:sz w:val="20"/>
          <w:szCs w:val="20"/>
        </w:rPr>
        <w:t>cckb</w:t>
      </w:r>
      <w:r w:rsidR="00181D45" w:rsidRPr="00181D45">
        <w:rPr>
          <w:rFonts w:ascii="Arial" w:hAnsi="Arial" w:cs="Arial"/>
          <w:sz w:val="20"/>
          <w:szCs w:val="20"/>
        </w:rPr>
        <w:t>+ neurons and their lower inferred maturity in Intermediates suggest that this population may incorporate newly generated neurons during sex change.</w:t>
      </w:r>
    </w:p>
    <w:p w14:paraId="46815C40" w14:textId="77777777" w:rsidR="00E939CE" w:rsidRPr="007A682B" w:rsidRDefault="00E939CE" w:rsidP="004816FA">
      <w:pPr>
        <w:rPr>
          <w:rFonts w:ascii="Arial" w:hAnsi="Arial" w:cs="Arial"/>
          <w:sz w:val="20"/>
          <w:szCs w:val="20"/>
        </w:rPr>
      </w:pPr>
    </w:p>
    <w:p w14:paraId="3AFA79B9" w14:textId="234CD1D9" w:rsidR="00E939CE" w:rsidRPr="007A682B" w:rsidRDefault="005263E4" w:rsidP="00E939CE">
      <w:pPr>
        <w:rPr>
          <w:rFonts w:ascii="Arial" w:hAnsi="Arial" w:cs="Arial"/>
          <w:b/>
          <w:bCs/>
          <w:sz w:val="20"/>
          <w:szCs w:val="20"/>
        </w:rPr>
      </w:pPr>
      <w:r w:rsidRPr="007A682B">
        <w:rPr>
          <w:rFonts w:ascii="Arial" w:hAnsi="Arial" w:cs="Arial"/>
          <w:b/>
          <w:bCs/>
          <w:sz w:val="20"/>
          <w:szCs w:val="20"/>
        </w:rPr>
        <w:t xml:space="preserve">Gene Regulatory Changes Underlying Transcriptomic Sex Change </w:t>
      </w:r>
    </w:p>
    <w:p w14:paraId="46291778" w14:textId="5326D9A0" w:rsidR="00CC0E7C" w:rsidRPr="007A682B" w:rsidRDefault="00D770B1" w:rsidP="007D232F">
      <w:pPr>
        <w:ind w:firstLine="720"/>
        <w:rPr>
          <w:rFonts w:ascii="Arial" w:hAnsi="Arial" w:cs="Arial"/>
          <w:sz w:val="20"/>
          <w:szCs w:val="20"/>
        </w:rPr>
      </w:pPr>
      <w:r w:rsidRPr="007A682B">
        <w:rPr>
          <w:rFonts w:ascii="Arial" w:hAnsi="Arial" w:cs="Arial"/>
          <w:sz w:val="20"/>
          <w:szCs w:val="20"/>
        </w:rPr>
        <w:t>Given the transcriptional changes in 1_RGC and 6_POA_Mixed identified above, we next sought t</w:t>
      </w:r>
      <w:r w:rsidR="00E939CE" w:rsidRPr="007A682B">
        <w:rPr>
          <w:rFonts w:ascii="Arial" w:hAnsi="Arial" w:cs="Arial"/>
          <w:sz w:val="20"/>
          <w:szCs w:val="20"/>
        </w:rPr>
        <w:t xml:space="preserve">o identify candidate TF regulators </w:t>
      </w:r>
      <w:r w:rsidRPr="007A682B">
        <w:rPr>
          <w:rFonts w:ascii="Arial" w:hAnsi="Arial" w:cs="Arial"/>
          <w:sz w:val="20"/>
          <w:szCs w:val="20"/>
        </w:rPr>
        <w:t>underlying them. To do this</w:t>
      </w:r>
      <w:r w:rsidR="00E939CE" w:rsidRPr="007A682B">
        <w:rPr>
          <w:rFonts w:ascii="Arial" w:hAnsi="Arial" w:cs="Arial"/>
          <w:sz w:val="20"/>
          <w:szCs w:val="20"/>
        </w:rPr>
        <w:t>, we integrated differential gene expression with chromatin accessibility, TF-binding motifs, and TF–target expression correlations. We first identified accessibility-supported target genes whose expression covaried with an associated ATAC peak and then identified candidate regulators with binding motifs in those regions whose expression correlated with target-gene expression across individuals</w:t>
      </w:r>
      <w:r w:rsidRPr="007A682B">
        <w:rPr>
          <w:rFonts w:ascii="Arial" w:hAnsi="Arial" w:cs="Arial"/>
          <w:sz w:val="20"/>
          <w:szCs w:val="20"/>
        </w:rPr>
        <w:t xml:space="preserve">. </w:t>
      </w:r>
      <w:r w:rsidR="00E939CE" w:rsidRPr="007A682B">
        <w:rPr>
          <w:rFonts w:ascii="Arial" w:hAnsi="Arial" w:cs="Arial"/>
          <w:sz w:val="20"/>
          <w:szCs w:val="20"/>
        </w:rPr>
        <w:t>This analysis revealed distinct regulatory networks in the two populations. 1_RGC formed an extensive interconnected network of accessibility-supported TF–target relationships</w:t>
      </w:r>
      <w:r w:rsidR="00215E72" w:rsidRPr="007A682B">
        <w:rPr>
          <w:rFonts w:ascii="Arial" w:hAnsi="Arial" w:cs="Arial"/>
          <w:sz w:val="20"/>
          <w:szCs w:val="20"/>
        </w:rPr>
        <w:t xml:space="preserve"> (</w:t>
      </w:r>
      <w:r w:rsidR="00913D54" w:rsidRPr="00913D54">
        <w:rPr>
          <w:rFonts w:ascii="Arial" w:hAnsi="Arial" w:cs="Arial"/>
          <w:sz w:val="20"/>
          <w:szCs w:val="20"/>
          <w:highlight w:val="yellow"/>
        </w:rPr>
        <w:t>Appendix S13</w:t>
      </w:r>
      <w:r w:rsidR="00215E72" w:rsidRPr="007A682B">
        <w:rPr>
          <w:rFonts w:ascii="Arial" w:hAnsi="Arial" w:cs="Arial"/>
          <w:sz w:val="20"/>
          <w:szCs w:val="20"/>
        </w:rPr>
        <w:t>)</w:t>
      </w:r>
      <w:r w:rsidR="00E939CE" w:rsidRPr="007A682B">
        <w:rPr>
          <w:rFonts w:ascii="Arial" w:hAnsi="Arial" w:cs="Arial"/>
          <w:sz w:val="20"/>
          <w:szCs w:val="20"/>
        </w:rPr>
        <w:t>, whereas 6_POA_Mixed contained a more restricted set of accessibility-coupled modules</w:t>
      </w:r>
      <w:r w:rsidR="00215E72" w:rsidRPr="007A682B">
        <w:rPr>
          <w:rFonts w:ascii="Arial" w:hAnsi="Arial" w:cs="Arial"/>
          <w:sz w:val="20"/>
          <w:szCs w:val="20"/>
        </w:rPr>
        <w:t xml:space="preserve"> (</w:t>
      </w:r>
      <w:r w:rsidR="00913D54">
        <w:rPr>
          <w:rFonts w:ascii="Arial" w:hAnsi="Arial" w:cs="Arial"/>
          <w:sz w:val="20"/>
          <w:szCs w:val="20"/>
          <w:highlight w:val="yellow"/>
        </w:rPr>
        <w:t>Appendix S14</w:t>
      </w:r>
      <w:r w:rsidR="00215E72" w:rsidRPr="007A682B">
        <w:rPr>
          <w:rFonts w:ascii="Arial" w:hAnsi="Arial" w:cs="Arial"/>
          <w:sz w:val="20"/>
          <w:szCs w:val="20"/>
        </w:rPr>
        <w:t>)</w:t>
      </w:r>
      <w:r w:rsidR="00E939CE" w:rsidRPr="007A682B">
        <w:rPr>
          <w:rFonts w:ascii="Arial" w:hAnsi="Arial" w:cs="Arial"/>
          <w:sz w:val="20"/>
          <w:szCs w:val="20"/>
        </w:rPr>
        <w:t xml:space="preserve">. We therefore additionally examined </w:t>
      </w:r>
      <w:r w:rsidR="005263E4" w:rsidRPr="007A682B">
        <w:rPr>
          <w:rFonts w:ascii="Arial" w:hAnsi="Arial" w:cs="Arial"/>
          <w:sz w:val="20"/>
          <w:szCs w:val="20"/>
        </w:rPr>
        <w:t>6_POA_Mixed</w:t>
      </w:r>
      <w:r w:rsidR="00E939CE" w:rsidRPr="007A682B">
        <w:rPr>
          <w:rFonts w:ascii="Arial" w:hAnsi="Arial" w:cs="Arial"/>
          <w:sz w:val="20"/>
          <w:szCs w:val="20"/>
        </w:rPr>
        <w:t xml:space="preserve"> DEGs whose expression was not correlated with local chromatin accessibility, asking whether their expression instead covaried with candidate TFs whose motifs occurred within chromatin that remained accessible across individuals (</w:t>
      </w:r>
      <w:r w:rsidR="00E939CE" w:rsidRPr="007A682B">
        <w:rPr>
          <w:rFonts w:ascii="Arial" w:hAnsi="Arial" w:cs="Arial"/>
          <w:sz w:val="20"/>
          <w:szCs w:val="20"/>
          <w:highlight w:val="yellow"/>
        </w:rPr>
        <w:t>Fig.</w:t>
      </w:r>
      <w:r w:rsidR="00376C7F" w:rsidRPr="007A682B">
        <w:rPr>
          <w:rFonts w:ascii="Arial" w:hAnsi="Arial" w:cs="Arial"/>
          <w:sz w:val="20"/>
          <w:szCs w:val="20"/>
          <w:highlight w:val="yellow"/>
        </w:rPr>
        <w:t xml:space="preserve"> S11 A,B</w:t>
      </w:r>
      <w:r w:rsidR="003C65F0" w:rsidRPr="007A682B">
        <w:rPr>
          <w:rFonts w:ascii="Arial" w:hAnsi="Arial" w:cs="Arial"/>
          <w:sz w:val="20"/>
          <w:szCs w:val="20"/>
        </w:rPr>
        <w:t>)</w:t>
      </w:r>
      <w:r w:rsidR="00E939CE" w:rsidRPr="007A682B">
        <w:rPr>
          <w:rFonts w:ascii="Arial" w:hAnsi="Arial" w:cs="Arial"/>
          <w:sz w:val="20"/>
          <w:szCs w:val="20"/>
        </w:rPr>
        <w:t>.</w:t>
      </w:r>
    </w:p>
    <w:p w14:paraId="7F68E6E2" w14:textId="77777777" w:rsidR="00CC0E7C" w:rsidRPr="007A682B" w:rsidRDefault="00CC0E7C" w:rsidP="007D232F">
      <w:pPr>
        <w:ind w:firstLine="720"/>
        <w:rPr>
          <w:rFonts w:ascii="Arial" w:hAnsi="Arial" w:cs="Arial"/>
          <w:sz w:val="20"/>
          <w:szCs w:val="20"/>
        </w:rPr>
      </w:pPr>
    </w:p>
    <w:p w14:paraId="028CDAFD" w14:textId="2C48C98D" w:rsidR="00CC0E7C" w:rsidRPr="007A682B" w:rsidRDefault="00CC0E7C" w:rsidP="00CC0E7C">
      <w:pPr>
        <w:rPr>
          <w:rFonts w:ascii="Arial" w:hAnsi="Arial" w:cs="Arial"/>
          <w:sz w:val="20"/>
          <w:szCs w:val="20"/>
        </w:rPr>
      </w:pPr>
      <w:r w:rsidRPr="007A682B">
        <w:rPr>
          <w:rFonts w:ascii="Arial" w:hAnsi="Arial" w:cs="Arial"/>
          <w:sz w:val="20"/>
          <w:szCs w:val="20"/>
          <w:u w:val="single"/>
        </w:rPr>
        <w:t>The 1_RGC regulatory network links neurogenic pathways with aromatase expression</w:t>
      </w:r>
    </w:p>
    <w:p w14:paraId="5FC8DB7D" w14:textId="2FD7A755" w:rsidR="00D770B1" w:rsidRPr="007A682B" w:rsidRDefault="00D770B1" w:rsidP="007D232F">
      <w:pPr>
        <w:ind w:firstLine="720"/>
        <w:rPr>
          <w:rFonts w:ascii="Arial" w:hAnsi="Arial" w:cs="Arial"/>
          <w:sz w:val="20"/>
          <w:szCs w:val="20"/>
        </w:rPr>
      </w:pPr>
      <w:r w:rsidRPr="007A682B">
        <w:rPr>
          <w:rFonts w:ascii="Arial" w:hAnsi="Arial" w:cs="Arial"/>
          <w:sz w:val="20"/>
          <w:szCs w:val="20"/>
        </w:rPr>
        <w:t>Analysis of 1_RGC’s GRN revealed highly interconnected network organized around several candidate TF hubs (</w:t>
      </w:r>
      <w:r w:rsidRPr="007A682B">
        <w:rPr>
          <w:rFonts w:ascii="Arial" w:hAnsi="Arial" w:cs="Arial"/>
          <w:sz w:val="20"/>
          <w:szCs w:val="20"/>
          <w:highlight w:val="yellow"/>
        </w:rPr>
        <w:t xml:space="preserve">Fig. </w:t>
      </w:r>
      <w:r w:rsidR="00376C7F" w:rsidRPr="007A682B">
        <w:rPr>
          <w:rFonts w:ascii="Arial" w:hAnsi="Arial" w:cs="Arial"/>
          <w:sz w:val="20"/>
          <w:szCs w:val="20"/>
          <w:highlight w:val="yellow"/>
        </w:rPr>
        <w:t>S11A</w:t>
      </w:r>
      <w:r w:rsidRPr="007A682B">
        <w:rPr>
          <w:rFonts w:ascii="Arial" w:hAnsi="Arial" w:cs="Arial"/>
          <w:sz w:val="20"/>
          <w:szCs w:val="20"/>
        </w:rPr>
        <w:t xml:space="preserve">). Of note, </w:t>
      </w:r>
      <w:r w:rsidRPr="007A682B">
        <w:rPr>
          <w:rFonts w:ascii="Arial" w:hAnsi="Arial" w:cs="Arial"/>
          <w:i/>
          <w:iCs/>
          <w:sz w:val="20"/>
          <w:szCs w:val="20"/>
        </w:rPr>
        <w:t>gli1</w:t>
      </w:r>
      <w:r w:rsidRPr="007A682B">
        <w:rPr>
          <w:rFonts w:ascii="Arial" w:hAnsi="Arial" w:cs="Arial"/>
          <w:sz w:val="20"/>
          <w:szCs w:val="20"/>
        </w:rPr>
        <w:t xml:space="preserve"> occupied a central position and was associated with multiple accessibility-supported targets, including strong positive relationships with the notch signaling pathway member </w:t>
      </w:r>
      <w:r w:rsidRPr="007A682B">
        <w:rPr>
          <w:rFonts w:ascii="Arial" w:hAnsi="Arial" w:cs="Arial"/>
          <w:i/>
          <w:iCs/>
          <w:sz w:val="20"/>
          <w:szCs w:val="20"/>
        </w:rPr>
        <w:t>ccdc85cb</w:t>
      </w:r>
      <w:r w:rsidR="00120EF9" w:rsidRPr="007A682B">
        <w:rPr>
          <w:rFonts w:ascii="Arial" w:hAnsi="Arial" w:cs="Arial"/>
          <w:sz w:val="20"/>
          <w:szCs w:val="20"/>
        </w:rPr>
        <w:t xml:space="preserve"> </w:t>
      </w:r>
      <w:r w:rsidR="00120EF9"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{"citationID":"buenUS7S","properties":{"unsorted":false,"formattedCitation":"(40)","plainCitation":"(40)","noteIndex":0},"citationItems":[{"id":6594,"uris":["http://zotero.org/users/11313215/items/RLHTSB58"],"itemData":{"id":6594,"type":"article-journal","abstract":"Polarity proteins regulate the proliferation and differentiation of neural progenitors to generate neurons during brain development through multiple signaling pathways. However, how cell polarity couples the signaling pathways remains unclear. Here, we show that coiled-coil domain-containing protein 85c (Ccdc85c) interacts with the polarity protein Par3 to regulate the proliferation of radial glial cells (RGCs) via phase separation coupled to percolation (PSCP). We find that the interaction with Ccdc85c relieves the intramolecular auto-inhibition of Par3, which leads to PSCP of Par3. Downregulation of Ccdc85c causes RGC differentiation. Importantly, the open conformation of Par3 facilitates the recruitment of the Notch regulator Numb to the Par3 condensates, which might prevent the attenuation of Notch activity to maintain RGC proliferation. Furthermore, ectopic activation of Notch signaling rescues RGC proliferation defects caused by the downregulation of Ccdc85c. These results suggest that Ccdc85c-mediated PSCP of Par3 regulates Notch signaling to control RGC proliferation during brain development.","container-title":"Cell Reports","DOI":"10.1016/j.celrep.2023.112677","ISSN":"2211-1247","issue":"7","journalAbbreviation":"Cell Rep","language":"eng","page":"112677","PMID":"37352102","source":"PubMed","title":"Ccdc85c-Par3 condensates couple cell polarity with Notch to control neural progenitor proliferation","volume":"42","author":[{"family":"Xu","given":"Jiawen"},{"family":"Deng","given":"Xin"},{"family":"Gu","given":"Aihong"},{"family":"Cai","given":"Yuqun"},{"family":"Huang","given":"Yunyun"},{"family":"Zhang","given":"Wen"},{"family":"Zhang","given":"Yiqing"},{"family":"Wen","given":"Wenyu"},{"family":"Xie","given":"Yunli"}],"issued":{"date-parts":[["2023",7,25]]}}}],"schema":"https://github.com/citation-style-language/schema/raw/master/csl-citation.json"} </w:instrText>
      </w:r>
      <w:r w:rsidR="00120EF9" w:rsidRPr="007A682B">
        <w:rPr>
          <w:rFonts w:ascii="Arial" w:hAnsi="Arial" w:cs="Arial"/>
          <w:sz w:val="20"/>
          <w:szCs w:val="20"/>
        </w:rPr>
        <w:fldChar w:fldCharType="separate"/>
      </w:r>
      <w:r w:rsidR="00304DDF">
        <w:rPr>
          <w:rFonts w:ascii="Arial" w:hAnsi="Arial" w:cs="Arial"/>
          <w:sz w:val="20"/>
          <w:szCs w:val="20"/>
        </w:rPr>
        <w:t>(40)</w:t>
      </w:r>
      <w:r w:rsidR="00120EF9"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i/>
          <w:iCs/>
          <w:sz w:val="20"/>
          <w:szCs w:val="20"/>
        </w:rPr>
        <w:t>, dab1b</w:t>
      </w:r>
      <w:r w:rsidRPr="007A682B">
        <w:rPr>
          <w:rFonts w:ascii="Arial" w:hAnsi="Arial" w:cs="Arial"/>
          <w:sz w:val="20"/>
          <w:szCs w:val="20"/>
        </w:rPr>
        <w:t xml:space="preserve"> which is important for neuronal migration</w:t>
      </w:r>
      <w:r w:rsidR="009112E5" w:rsidRPr="007A682B">
        <w:rPr>
          <w:rFonts w:ascii="Arial" w:hAnsi="Arial" w:cs="Arial"/>
          <w:sz w:val="20"/>
          <w:szCs w:val="20"/>
        </w:rPr>
        <w:t xml:space="preserve"> via reelin signaling </w:t>
      </w:r>
      <w:r w:rsidR="009112E5"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{"citationID":"SCFWqLgP","properties":{"unsorted":false,"formattedCitation":"(41)","plainCitation":"(41)","noteIndex":0},"citationItems":[{"id":6597,"uris":["http://zotero.org/users/11313215/items/DILVCJGI"],"itemData":{"id":6597,"type":"article-journal","abstract":"The multilayered mammalian neocortex develops by the coordinated immigration and differentiation of cells that are produced at distant sites. Correct layering requires an extracellular protein, Reelin (Reln), an intracellular signaling molecule, Disabled-1 (Dab1), and an E3 ubiquitin ligase, Cullin-5 (Cul5). Reln activates Dab1, which is then degraded by Cul5. Here we test whether Cul5 regulates neuron layering by affecting Dab1 stability or other mechanisms. We find that a stabilized mutant Dab1, which resists Cul5-dependent degradation, causes a similar phenotype to Cul5 deficiency. Moreover, Cul5 has no effect when Dab1 is absent. The effects of Cul5 and Dab1 are cell autonomous, and Cul5 regulates movement of early as well as late cortical neurons. Removing Cul5 increases the speed at which neurons migrate through the cortical plate by reducing the time spent stationary and increasing the speed of individual steps. These results show that Cul5 regulates neuron layering by stimulating Dab1 degradation and that Cul5 controls migration speed and stopping point, and they demonstrate the importance of negative feedback in signaling during cortical development.","container-title":"Journal of Neuroscience","DOI":"10.1523/JNEUROSCI.0035-10.2010","ISSN":"0270-6474, 1529-2401","issue":"16","journalAbbreviation":"J. Neurosci.","language":"en","license":"Copyright © 2010 the authors 0270-6474/10/305668-09$15.00/0","page":"5668-5676","PMID":"20410119","publisher":"Society for Neuroscience","section":"Articles","source":"www.jneurosci.org","title":"Cullin 5 Regulates Cortical Layering by Modulating the Speed and Duration of Dab1-Dependent Neuronal Migration","volume":"30","author":[{"family":"Simó","given":"Sergi"},{"family":"Jossin","given":"Yves"},{"family":"Cooper","given":"Jonathan A."}],"issued":{"date-parts":[["2010",4,21]]}}}],"schema":"https://github.com/citation-style-language/schema/raw/master/csl-citation.json"} </w:instrText>
      </w:r>
      <w:r w:rsidR="009112E5" w:rsidRPr="007A682B">
        <w:rPr>
          <w:rFonts w:ascii="Arial" w:hAnsi="Arial" w:cs="Arial"/>
          <w:sz w:val="20"/>
          <w:szCs w:val="20"/>
        </w:rPr>
        <w:fldChar w:fldCharType="separate"/>
      </w:r>
      <w:r w:rsidR="00304DDF">
        <w:rPr>
          <w:rFonts w:ascii="Arial" w:hAnsi="Arial" w:cs="Arial"/>
          <w:noProof/>
          <w:sz w:val="20"/>
          <w:szCs w:val="20"/>
        </w:rPr>
        <w:t>(41)</w:t>
      </w:r>
      <w:r w:rsidR="009112E5" w:rsidRPr="007A682B">
        <w:rPr>
          <w:rFonts w:ascii="Arial" w:hAnsi="Arial" w:cs="Arial"/>
          <w:sz w:val="20"/>
          <w:szCs w:val="20"/>
        </w:rPr>
        <w:fldChar w:fldCharType="end"/>
      </w:r>
      <w:r w:rsidRPr="007A682B">
        <w:rPr>
          <w:rFonts w:ascii="Arial" w:hAnsi="Arial" w:cs="Arial"/>
          <w:sz w:val="20"/>
          <w:szCs w:val="20"/>
        </w:rPr>
        <w:t xml:space="preserve">, and </w:t>
      </w:r>
      <w:r w:rsidRPr="007A682B">
        <w:rPr>
          <w:rFonts w:ascii="Arial" w:hAnsi="Arial" w:cs="Arial"/>
          <w:i/>
          <w:iCs/>
          <w:sz w:val="20"/>
          <w:szCs w:val="20"/>
        </w:rPr>
        <w:t xml:space="preserve">pknox2, </w:t>
      </w:r>
      <w:r w:rsidRPr="007A682B">
        <w:rPr>
          <w:rFonts w:ascii="Arial" w:hAnsi="Arial" w:cs="Arial"/>
          <w:sz w:val="20"/>
          <w:szCs w:val="20"/>
        </w:rPr>
        <w:t xml:space="preserve">a homeobox transcription factor known to play roles in </w:t>
      </w:r>
      <w:r w:rsidR="009112E5" w:rsidRPr="007A682B">
        <w:rPr>
          <w:rFonts w:ascii="Arial" w:hAnsi="Arial" w:cs="Arial"/>
          <w:sz w:val="20"/>
          <w:szCs w:val="20"/>
        </w:rPr>
        <w:t>cell</w:t>
      </w:r>
      <w:r w:rsidRPr="007A682B">
        <w:rPr>
          <w:rFonts w:ascii="Arial" w:hAnsi="Arial" w:cs="Arial"/>
          <w:sz w:val="20"/>
          <w:szCs w:val="20"/>
        </w:rPr>
        <w:t xml:space="preserve"> differentiation </w:t>
      </w:r>
      <w:r w:rsidR="009112E5"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{"citationID":"RSoQdNwG","properties":{"unsorted":false,"formattedCitation":"(42)","plainCitation":"(42)","noteIndex":0},"citationItems":[{"id":6600,"uris":["http://zotero.org/users/11313215/items/PCAIATWQ"],"itemData":{"id":6600,"type":"article-journal","abstract":"Human pluripotent stem cells (hPSCs) provide powerful models for studying cellular differentiations and unlimited sources of cells for regenerative medicine. However, a comprehensive single-cell level differentiation roadmap for hPSCs has not been achieved.","container-title":"Genome Biology","DOI":"10.1186/s13059-018-1426-0","ISSN":"1474-760X","issue":"1","journalAbbreviation":"Genome Biol","language":"en","page":"47","source":"Springer Link","title":"Mapping human pluripotent stem cell differentiation pathways using high throughput single-cell RNA-sequencing","volume":"19","author":[{"family":"Han","given":"Xiaoping"},{"family":"Chen","given":"Haide"},{"family":"Huang","given":"Daosheng"},{"family":"Chen","given":"Huidong"},{"family":"Fei","given":"Lijiang"},{"family":"Cheng","given":"Chen"},{"family":"Huang","given":"He"},{"family":"Yuan","given":"Guo-Cheng"},{"family":"Guo","given":"Guoji"}],"issued":{"date-parts":[["2018",4,5]]}}}],"schema":"https://github.com/citation-style-language/schema/raw/master/csl-citation.json"} </w:instrText>
      </w:r>
      <w:r w:rsidR="009112E5" w:rsidRPr="007A682B">
        <w:rPr>
          <w:rFonts w:ascii="Arial" w:hAnsi="Arial" w:cs="Arial"/>
          <w:sz w:val="20"/>
          <w:szCs w:val="20"/>
        </w:rPr>
        <w:fldChar w:fldCharType="separate"/>
      </w:r>
      <w:r w:rsidR="00304DDF">
        <w:rPr>
          <w:rFonts w:ascii="Arial" w:hAnsi="Arial" w:cs="Arial"/>
          <w:noProof/>
          <w:sz w:val="20"/>
          <w:szCs w:val="20"/>
        </w:rPr>
        <w:t>(42)</w:t>
      </w:r>
      <w:r w:rsidR="009112E5"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i/>
          <w:iCs/>
          <w:sz w:val="20"/>
          <w:szCs w:val="20"/>
        </w:rPr>
        <w:t xml:space="preserve">gli1 </w:t>
      </w:r>
      <w:r w:rsidRPr="007A682B">
        <w:rPr>
          <w:rFonts w:ascii="Arial" w:hAnsi="Arial" w:cs="Arial"/>
          <w:sz w:val="20"/>
          <w:szCs w:val="20"/>
        </w:rPr>
        <w:t>itself received positive inputs from several transcription factors known to control neurogenesis</w:t>
      </w:r>
      <w:r w:rsidR="006E17C5" w:rsidRPr="007A682B">
        <w:rPr>
          <w:rFonts w:ascii="Arial" w:hAnsi="Arial" w:cs="Arial"/>
          <w:sz w:val="20"/>
          <w:szCs w:val="20"/>
        </w:rPr>
        <w:t xml:space="preserve"> and stem cell differentiation</w:t>
      </w:r>
      <w:r w:rsidRPr="007A682B">
        <w:rPr>
          <w:rFonts w:ascii="Arial" w:hAnsi="Arial" w:cs="Arial"/>
          <w:sz w:val="20"/>
          <w:szCs w:val="20"/>
        </w:rPr>
        <w:t xml:space="preserve">, notably </w:t>
      </w:r>
      <w:r w:rsidRPr="007A682B">
        <w:rPr>
          <w:rFonts w:ascii="Arial" w:hAnsi="Arial" w:cs="Arial"/>
          <w:i/>
          <w:iCs/>
          <w:sz w:val="20"/>
          <w:szCs w:val="20"/>
        </w:rPr>
        <w:t xml:space="preserve">uncx </w:t>
      </w:r>
      <w:r w:rsidR="009112E5"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{"citationID":"afj3A1V9","properties":{"unsorted":false,"formattedCitation":"(43)","plainCitation":"(43)","noteIndex":0},"citationItems":[{"id":6602,"uris":["http://zotero.org/users/11313215/items/WH284AHW"],"itemData":{"id":6602,"type":"article-journal","abstract":"Uncx (Phd1, Chx4) is a paired homeobox transcription factor gene. It and its probable functional partners, Tle co-repressors, were expressed by neurally-fated basal progenitor cells and olfactory sensory neurons of the olfactory epithelium. Uncx expression was rare in olfactory epithelia of Ascl1−/− mice, but common in Neurog1−/− mice. In Uncx−/− mice olfactory progenitor cell proliferation, progenitor cell number, olfactory sensory neuron survival, and Umodl1 and Kcnc4 mRNAs were reduced. Evidence of sensory neuron activity and functional connections to the olfactory bulb argue that decreased neuronal survival was not due to loss of trophic support or activity-dependent mechanisms. These data suggest that UNCX acts downstream of neural determination factors to broadly control transcriptional mechanisms used by neural progenitor cells to specify neural phenotypes.","container-title":"Molecular and Cellular Neuroscience","DOI":"10.1016/j.mcn.2010.07.013","ISSN":"1044-7431","issue":"4","journalAbbreviation":"Molecular and Cellular Neuroscience","page":"398-407","source":"ScienceDirect","title":"Uncx regulates proliferation of neural progenitor cells and neuronal survival in the olfactory epithelium","volume":"45","author":[{"family":"Sammeta","given":"Neeraja"},{"family":"Hardin","given":"Debra L."},{"family":"McClintock","given":"Timothy S."}],"issued":{"date-parts":[["2010",12,1]]}}}],"schema":"https://github.com/citation-style-language/schema/raw/master/csl-citation.json"} </w:instrText>
      </w:r>
      <w:r w:rsidR="009112E5" w:rsidRPr="007A682B">
        <w:rPr>
          <w:rFonts w:ascii="Arial" w:hAnsi="Arial" w:cs="Arial"/>
          <w:sz w:val="20"/>
          <w:szCs w:val="20"/>
        </w:rPr>
        <w:fldChar w:fldCharType="separate"/>
      </w:r>
      <w:r w:rsidR="00304DDF">
        <w:rPr>
          <w:rFonts w:ascii="Arial" w:hAnsi="Arial" w:cs="Arial"/>
          <w:noProof/>
          <w:sz w:val="20"/>
          <w:szCs w:val="20"/>
        </w:rPr>
        <w:t>(43)</w:t>
      </w:r>
      <w:r w:rsidR="009112E5" w:rsidRPr="007A682B">
        <w:rPr>
          <w:rFonts w:ascii="Arial" w:hAnsi="Arial" w:cs="Arial"/>
          <w:sz w:val="20"/>
          <w:szCs w:val="20"/>
        </w:rPr>
        <w:fldChar w:fldCharType="end"/>
      </w:r>
      <w:r w:rsidRPr="007A682B">
        <w:rPr>
          <w:rFonts w:ascii="Arial" w:hAnsi="Arial" w:cs="Arial"/>
          <w:sz w:val="20"/>
          <w:szCs w:val="20"/>
        </w:rPr>
        <w:t xml:space="preserve"> and </w:t>
      </w:r>
      <w:r w:rsidRPr="007A682B">
        <w:rPr>
          <w:rFonts w:ascii="Arial" w:hAnsi="Arial" w:cs="Arial"/>
          <w:i/>
          <w:iCs/>
          <w:sz w:val="20"/>
          <w:szCs w:val="20"/>
        </w:rPr>
        <w:t>zic3</w:t>
      </w:r>
      <w:r w:rsidR="00C223B0">
        <w:rPr>
          <w:rFonts w:ascii="Arial" w:hAnsi="Arial" w:cs="Arial"/>
          <w:i/>
          <w:iCs/>
          <w:sz w:val="20"/>
          <w:szCs w:val="20"/>
        </w:rPr>
        <w:t xml:space="preserve"> </w:t>
      </w:r>
      <w:r w:rsidR="006E17C5" w:rsidRPr="007A682B">
        <w:rPr>
          <w:rFonts w:ascii="Arial" w:hAnsi="Arial" w:cs="Arial"/>
          <w:i/>
          <w:iCs/>
          <w:sz w:val="20"/>
          <w:szCs w:val="20"/>
        </w:rPr>
        <w:fldChar w:fldCharType="begin"/>
      </w:r>
      <w:r w:rsidR="00304DDF">
        <w:rPr>
          <w:rFonts w:ascii="Arial" w:hAnsi="Arial" w:cs="Arial"/>
          <w:i/>
          <w:iCs/>
          <w:sz w:val="20"/>
          <w:szCs w:val="20"/>
        </w:rPr>
        <w:instrText xml:space="preserve"> ADDIN ZOTERO_ITEM CSL_CITATION {"citationID":"M4xVBlql","properties":{"unsorted":false,"formattedCitation":"(44, 45)","plainCitation":"(44, 45)","noteIndex":0},"citationItems":[{"id":6615,"uris":["http://zotero.org/users/11313215/items/FQL45VKG"],"itemData":{"id":6615,"type":"article-journal","abstract":"More than a decade has passed since Zic family zinc finger proteins were discovered to be transcription factors controlling neuroectodermal differentiation (neural induction) in Xenopus laevis embryos. Although BMP-signal blocking has been shown to be a major upregulator of Zic genes in neuroectodermal differentiation, recent studies have revealed that FGF signaling and intracellular calcium elevation are also involved in regulating the expression of Zic genes. Different regulatory mechanisms have been found for the Zic1 and Zic3 genes, raising the possibility that functional synergism between them partly accounts for the integration of BMP-signal blocking and FGF signaling in neuroectodermal differentiation. Furthermore, mammalian Zic1 and Zic3 have been found to be neural-cell-fate-inducing and pluripotency-maintaining factors, respectively, leading us to the intriguing question of whether the mechanism underlying amphibian neuroectodermal differentiation is applicable to mammals. Comprehensive understanding of the Zic family genes is therefore essential for the study of the neuroectodermal differentiation and stem cell biology.","container-title":"Neurochemical Research","DOI":"10.1007/s11064-011-0422-5","ISSN":"1573-6903","issue":"7","journalAbbreviation":"Neurochem Res","language":"en","page":"1286-1292","source":"Springer Link","title":"Role of BMP, FGF, Calcium Signaling, and Zic Proteins in Vertebrate Neuroectodermal Differentiation","volume":"36","author":[{"family":"Aruga","given":"Jun"},{"family":"Mikoshiba","given":"Katsuhiko"}],"issued":{"date-parts":[["2011",7,1]]}}},{"id":3671,"uris":["http://zotero.org/users/11313215/items/DXPWP9XP"],"itemData":{"id":3671,"type":"article-journal","abstract":"The medial telencephalon is a source of neurons that follow distinct tangential trajectories of migration to various structures such as the cerebral cortex, striatum, and olfactory bulb. In the present study, we characterized the forebrain anomalies in Zic1/Zic3 compound mutant mice. Zic1 and Zic3 were strongly expressed in the medial structures, including the septum, medial cerebral cortex, and choroid plexus. Mice homozygous for the Zic1 mutant allele together with the null Zic3 allele showed medial forebrain defects, which were not obvious in either Zic1 or Zic3 single mutants. Absence of both Zic1 and Zic3 caused hypoplasia of the hippocampus, septum, and olfactory bulb. Analysis of the cell cycle revealed that the cell cycle exit rate was increased in the septa of double mutants. Misexpression of Zic3 in the ventricular layer of the cerebral cortex inhibited neuronal differentiation. These results indicated that both Zic1 and Zic3 function in maintaining neural precursor cells in an undifferentiated state. The functions of these genes may be essential to increasing neural cell numbers regionally in the medial telencephalon and to proper mediolateral patterning of the telencephalon.","container-title":"The Journal of Neuroscience: The Official Journal of the Society for Neuroscience","DOI":"10.1523/JNEUROSCI.4046-06.2007","ISSN":"1529-2401","issue":"20","journalAbbreviation":"J Neurosci","language":"eng","page":"5461-5473","PMID":"17507568","PMCID":"PMC6672357","source":"PubMed","title":"Zic1 and Zic3 regulate medial forebrain development through expansion of neuronal progenitors","volume":"27","author":[{"family":"Inoue","given":"Takashi"},{"family":"Ota","given":"Maya"},{"family":"Ogawa","given":"Miyuki"},{"family":"Mikoshiba","given":"Katsuhiko"},{"family":"Aruga","given":"Jun"}],"issued":{"date-parts":[["2007",5,16]]}}}],"schema":"https://github.com/citation-style-language/schema/raw/master/csl-citation.json"} </w:instrText>
      </w:r>
      <w:r w:rsidR="006E17C5" w:rsidRPr="007A682B">
        <w:rPr>
          <w:rFonts w:ascii="Arial" w:hAnsi="Arial" w:cs="Arial"/>
          <w:i/>
          <w:iCs/>
          <w:sz w:val="20"/>
          <w:szCs w:val="20"/>
        </w:rPr>
        <w:fldChar w:fldCharType="separate"/>
      </w:r>
      <w:r w:rsidR="00304DDF">
        <w:rPr>
          <w:rFonts w:ascii="Arial" w:hAnsi="Arial" w:cs="Arial"/>
          <w:noProof/>
          <w:sz w:val="20"/>
          <w:szCs w:val="20"/>
        </w:rPr>
        <w:t>(44, 45)</w:t>
      </w:r>
      <w:r w:rsidR="006E17C5" w:rsidRPr="007A682B">
        <w:rPr>
          <w:rFonts w:ascii="Arial" w:hAnsi="Arial" w:cs="Arial"/>
          <w:i/>
          <w:iCs/>
          <w:sz w:val="20"/>
          <w:szCs w:val="20"/>
        </w:rPr>
        <w:fldChar w:fldCharType="end"/>
      </w:r>
      <w:r w:rsidRPr="007A682B">
        <w:rPr>
          <w:rFonts w:ascii="Arial" w:hAnsi="Arial" w:cs="Arial"/>
          <w:i/>
          <w:iCs/>
          <w:sz w:val="20"/>
          <w:szCs w:val="20"/>
        </w:rPr>
        <w:t xml:space="preserve">, </w:t>
      </w:r>
      <w:r w:rsidRPr="007A682B">
        <w:rPr>
          <w:rFonts w:ascii="Arial" w:hAnsi="Arial" w:cs="Arial"/>
          <w:sz w:val="20"/>
          <w:szCs w:val="20"/>
        </w:rPr>
        <w:t xml:space="preserve">and a negative input from </w:t>
      </w:r>
      <w:r w:rsidRPr="007A682B">
        <w:rPr>
          <w:rFonts w:ascii="Arial" w:hAnsi="Arial" w:cs="Arial"/>
          <w:i/>
          <w:iCs/>
          <w:sz w:val="20"/>
          <w:szCs w:val="20"/>
        </w:rPr>
        <w:t>nfia</w:t>
      </w:r>
      <w:r w:rsidRPr="007A682B">
        <w:rPr>
          <w:rFonts w:ascii="Arial" w:hAnsi="Arial" w:cs="Arial"/>
          <w:sz w:val="20"/>
          <w:szCs w:val="20"/>
        </w:rPr>
        <w:t xml:space="preserve">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{"citationID":"yL2IQ4mW","properties":{"unsorted":false,"formattedCitation":"(46)","plainCitation":"(46)","noteIndex":0},"citationItems":[{"id":2653,"uris":["http://zotero.org/users/11313215/items/S2XWVMWT"],"itemData":{"id":2653,"type":"article-journal","abstract":"Olfactory receptor (OR) choice represents an example of genetically hardwired stochasticity, where every olfactory neuron expresses one out of ~2000 OR alleles in the mouse genome in a probabilistic, yet stereotypic fashion. Here, we propose that topographic restrictions in OR expression are established in neuronal progenitors by two opposing forces: polygenic transcription and genomic silencing, both of which are influenced by dorsoventral gradients of transcription factors NFIA, B, and X. Polygenic transcription of OR genes may define spatially constrained OR repertoires, among which one OR allele is selected for singular expression later in development. Heterochromatin assembly and genomic compartmentalization of OR alleles also vary across the axes of the olfactory epithelium and may preferentially eliminate ectopically expressed ORs with more dorsal expression destinations from this ‘privileged’ repertoire. Our experiments identify early transcription as a potential ‘epigenetic’ contributor to future developmental patterning and reveal how two spatially responsive probabilistic processes may act in concert to establish deterministic, precise, and reproducible territories of stochastic gene expression.","container-title":"eLife","DOI":"10.7554/eLife.87445","ISSN":"2050-084X","page":"RP87445","publisher":"eLife Sciences Publications, Ltd","source":"eLife","title":"Opposing, spatially-determined epigenetic forces impose restrictions on stochastic olfactory receptor choice","volume":"12","author":[{"family":"Bashkirova","given":"Elizaveta V"},{"family":"Klimpert","given":"Nell"},{"family":"Monahan","given":"Kevin"},{"family":"Campbell","given":"Christine E"},{"family":"Osinski","given":"Jason"},{"family":"Tan","given":"Longzhi"},{"family":"Schieren","given":"Ira"},{"family":"Pourmorady","given":"Ariel"},{"family":"Stecky","given":"Beka"},{"family":"Barnea","given":"Gilad"},{"family":"Xie","given":"Xiaoliang Sunney"},{"family":"Abdus-Saboor","given":"Ishmail"},{"family":"Shykind","given":"Benjamin M"},{"family":"Marlin","given":"Bianca J"},{"family":"Gronostajski","given":"Richard M"},{"family":"Fleischmann","given":"Alexander"},{"family":"Lomvardas","given":"Stavros"}],"editor":[{"family":"Sen","given":"Sonia"},{"family":"Desplan","given":"Claude"}],"issued":{"date-parts":[["2023",12,18]]}}}],"schema":"https://github.com/citation-style-language/schema/raw/master/csl-citation.json"} </w:instrText>
      </w:r>
      <w:r w:rsidRPr="007A682B">
        <w:rPr>
          <w:rFonts w:ascii="Arial" w:hAnsi="Arial" w:cs="Arial"/>
          <w:sz w:val="20"/>
          <w:szCs w:val="20"/>
        </w:rPr>
        <w:fldChar w:fldCharType="separate"/>
      </w:r>
      <w:r w:rsidR="00304DDF">
        <w:rPr>
          <w:rFonts w:ascii="Arial" w:hAnsi="Arial" w:cs="Arial"/>
          <w:noProof/>
          <w:sz w:val="20"/>
          <w:szCs w:val="20"/>
        </w:rPr>
        <w:t>(46)</w:t>
      </w:r>
      <w:r w:rsidRPr="007A682B">
        <w:rPr>
          <w:rFonts w:ascii="Arial" w:hAnsi="Arial" w:cs="Arial"/>
          <w:sz w:val="20"/>
          <w:szCs w:val="20"/>
        </w:rPr>
        <w:fldChar w:fldCharType="end"/>
      </w:r>
      <w:r w:rsidRPr="007A682B">
        <w:rPr>
          <w:rFonts w:ascii="Arial" w:hAnsi="Arial" w:cs="Arial"/>
          <w:sz w:val="20"/>
          <w:szCs w:val="20"/>
        </w:rPr>
        <w:t xml:space="preserve"> suggesting a hierarchical and coordinated regulatory network. </w:t>
      </w:r>
    </w:p>
    <w:p w14:paraId="46C614A9" w14:textId="57EAD981" w:rsidR="00D770B1" w:rsidRPr="007A682B" w:rsidRDefault="00D770B1" w:rsidP="007D232F">
      <w:pPr>
        <w:ind w:firstLine="720"/>
        <w:rPr>
          <w:rFonts w:ascii="Arial" w:hAnsi="Arial" w:cs="Arial"/>
          <w:sz w:val="20"/>
          <w:szCs w:val="20"/>
        </w:rPr>
      </w:pPr>
      <w:r w:rsidRPr="007A682B">
        <w:rPr>
          <w:rFonts w:ascii="Arial" w:hAnsi="Arial" w:cs="Arial"/>
          <w:sz w:val="20"/>
          <w:szCs w:val="20"/>
        </w:rPr>
        <w:t xml:space="preserve">The transcription factor </w:t>
      </w:r>
      <w:r w:rsidRPr="007A682B">
        <w:rPr>
          <w:rFonts w:ascii="Arial" w:hAnsi="Arial" w:cs="Arial"/>
          <w:i/>
          <w:iCs/>
          <w:sz w:val="20"/>
          <w:szCs w:val="20"/>
        </w:rPr>
        <w:t xml:space="preserve">uncx </w:t>
      </w:r>
      <w:r w:rsidRPr="007A682B">
        <w:rPr>
          <w:rFonts w:ascii="Arial" w:hAnsi="Arial" w:cs="Arial"/>
          <w:sz w:val="20"/>
          <w:szCs w:val="20"/>
        </w:rPr>
        <w:t xml:space="preserve">is a particularly interesting component of the 1_RGC network due to its dual regulation of the TF hub </w:t>
      </w:r>
      <w:r w:rsidRPr="007A682B">
        <w:rPr>
          <w:rFonts w:ascii="Arial" w:hAnsi="Arial" w:cs="Arial"/>
          <w:i/>
          <w:iCs/>
          <w:sz w:val="20"/>
          <w:szCs w:val="20"/>
        </w:rPr>
        <w:t>gli1</w:t>
      </w:r>
      <w:r w:rsidRPr="007A682B">
        <w:rPr>
          <w:rFonts w:ascii="Arial" w:hAnsi="Arial" w:cs="Arial"/>
          <w:sz w:val="20"/>
          <w:szCs w:val="20"/>
        </w:rPr>
        <w:t xml:space="preserve"> and </w:t>
      </w:r>
      <w:r w:rsidRPr="007A682B">
        <w:rPr>
          <w:rFonts w:ascii="Arial" w:hAnsi="Arial" w:cs="Arial"/>
          <w:i/>
          <w:iCs/>
          <w:sz w:val="20"/>
          <w:szCs w:val="20"/>
        </w:rPr>
        <w:t>cyp19a1b</w:t>
      </w:r>
      <w:r w:rsidRPr="007A682B">
        <w:rPr>
          <w:rFonts w:ascii="Arial" w:hAnsi="Arial" w:cs="Arial"/>
          <w:sz w:val="20"/>
          <w:szCs w:val="20"/>
        </w:rPr>
        <w:t xml:space="preserve">. </w:t>
      </w:r>
      <w:r w:rsidRPr="007A682B">
        <w:rPr>
          <w:rFonts w:ascii="Arial" w:hAnsi="Arial" w:cs="Arial"/>
          <w:i/>
          <w:iCs/>
          <w:sz w:val="20"/>
          <w:szCs w:val="20"/>
        </w:rPr>
        <w:t>uncx</w:t>
      </w:r>
      <w:r w:rsidRPr="007A682B">
        <w:rPr>
          <w:rFonts w:ascii="Arial" w:hAnsi="Arial" w:cs="Arial"/>
          <w:sz w:val="20"/>
          <w:szCs w:val="20"/>
        </w:rPr>
        <w:t xml:space="preserve"> was positively associated with </w:t>
      </w:r>
      <w:r w:rsidR="009112E5" w:rsidRPr="007A682B">
        <w:rPr>
          <w:rFonts w:ascii="Arial" w:hAnsi="Arial" w:cs="Arial"/>
          <w:i/>
          <w:iCs/>
          <w:sz w:val="20"/>
          <w:szCs w:val="20"/>
        </w:rPr>
        <w:t>gli1</w:t>
      </w:r>
      <w:r w:rsidR="009112E5" w:rsidRPr="007A682B">
        <w:rPr>
          <w:rFonts w:ascii="Arial" w:hAnsi="Arial" w:cs="Arial"/>
          <w:sz w:val="20"/>
          <w:szCs w:val="20"/>
        </w:rPr>
        <w:t xml:space="preserve"> but</w:t>
      </w:r>
      <w:r w:rsidRPr="007A682B">
        <w:rPr>
          <w:rFonts w:ascii="Arial" w:hAnsi="Arial" w:cs="Arial"/>
          <w:sz w:val="20"/>
          <w:szCs w:val="20"/>
        </w:rPr>
        <w:t xml:space="preserve"> negatively associated with </w:t>
      </w:r>
      <w:r w:rsidRPr="007A682B">
        <w:rPr>
          <w:rFonts w:ascii="Arial" w:hAnsi="Arial" w:cs="Arial"/>
          <w:i/>
          <w:iCs/>
          <w:sz w:val="20"/>
          <w:szCs w:val="20"/>
        </w:rPr>
        <w:t>cyp19a1b</w:t>
      </w:r>
      <w:r w:rsidR="00133953" w:rsidRPr="007A682B">
        <w:rPr>
          <w:rFonts w:ascii="Arial" w:hAnsi="Arial" w:cs="Arial"/>
          <w:i/>
          <w:iCs/>
          <w:sz w:val="20"/>
          <w:szCs w:val="20"/>
        </w:rPr>
        <w:t xml:space="preserve"> </w:t>
      </w:r>
      <w:r w:rsidR="00133953" w:rsidRPr="007A682B">
        <w:rPr>
          <w:rFonts w:ascii="Arial" w:hAnsi="Arial" w:cs="Arial"/>
          <w:sz w:val="20"/>
          <w:szCs w:val="20"/>
        </w:rPr>
        <w:t>(</w:t>
      </w:r>
      <w:r w:rsidR="00047516" w:rsidRPr="007A682B">
        <w:rPr>
          <w:rFonts w:ascii="Arial" w:hAnsi="Arial" w:cs="Arial"/>
          <w:sz w:val="20"/>
          <w:szCs w:val="20"/>
          <w:highlight w:val="yellow"/>
        </w:rPr>
        <w:t>Fig. S11A ;</w:t>
      </w:r>
      <w:r w:rsidR="00913D54">
        <w:rPr>
          <w:rFonts w:ascii="Arial" w:hAnsi="Arial" w:cs="Arial"/>
          <w:sz w:val="20"/>
          <w:szCs w:val="20"/>
        </w:rPr>
        <w:t xml:space="preserve"> </w:t>
      </w:r>
      <w:r w:rsidR="00913D54" w:rsidRPr="00913D54">
        <w:rPr>
          <w:rFonts w:ascii="Arial" w:hAnsi="Arial" w:cs="Arial"/>
          <w:sz w:val="20"/>
          <w:szCs w:val="20"/>
          <w:highlight w:val="yellow"/>
        </w:rPr>
        <w:t>Appendix S13</w:t>
      </w:r>
      <w:r w:rsidR="00133953" w:rsidRPr="007A682B">
        <w:rPr>
          <w:rFonts w:ascii="Arial" w:hAnsi="Arial" w:cs="Arial"/>
          <w:sz w:val="20"/>
          <w:szCs w:val="20"/>
        </w:rPr>
        <w:t>)</w:t>
      </w:r>
      <w:r w:rsidRPr="007A682B">
        <w:rPr>
          <w:rFonts w:ascii="Arial" w:hAnsi="Arial" w:cs="Arial"/>
          <w:sz w:val="20"/>
          <w:szCs w:val="20"/>
        </w:rPr>
        <w:t xml:space="preserve">. </w:t>
      </w:r>
      <w:r w:rsidR="00E8320A" w:rsidRPr="00E8320A">
        <w:rPr>
          <w:rFonts w:ascii="Arial" w:hAnsi="Arial" w:cs="Arial"/>
          <w:sz w:val="20"/>
          <w:szCs w:val="20"/>
        </w:rPr>
        <w:t xml:space="preserve">These opposing relationships identify </w:t>
      </w:r>
      <w:r w:rsidR="00E8320A" w:rsidRPr="001B16DE">
        <w:rPr>
          <w:rFonts w:ascii="Arial" w:hAnsi="Arial" w:cs="Arial"/>
          <w:i/>
          <w:iCs/>
          <w:sz w:val="20"/>
          <w:szCs w:val="20"/>
        </w:rPr>
        <w:t>uncx</w:t>
      </w:r>
      <w:r w:rsidR="00E8320A" w:rsidRPr="00E8320A">
        <w:rPr>
          <w:rFonts w:ascii="Arial" w:hAnsi="Arial" w:cs="Arial"/>
          <w:sz w:val="20"/>
          <w:szCs w:val="20"/>
        </w:rPr>
        <w:t xml:space="preserve"> as a candidate regulator associated with both neurogenic pathways and brain aromatase expression in RGCs.</w:t>
      </w:r>
    </w:p>
    <w:p w14:paraId="40EBD9D1" w14:textId="77777777" w:rsidR="007D232F" w:rsidRPr="007A682B" w:rsidRDefault="007D232F" w:rsidP="007D232F">
      <w:pPr>
        <w:ind w:firstLine="720"/>
        <w:rPr>
          <w:rFonts w:ascii="Arial" w:hAnsi="Arial" w:cs="Arial"/>
          <w:sz w:val="20"/>
          <w:szCs w:val="20"/>
        </w:rPr>
      </w:pPr>
    </w:p>
    <w:p w14:paraId="6E89496F" w14:textId="77777777" w:rsidR="00F3752B" w:rsidRPr="007A682B" w:rsidRDefault="00F3752B" w:rsidP="00F3752B">
      <w:pPr>
        <w:rPr>
          <w:rFonts w:ascii="Arial" w:hAnsi="Arial" w:cs="Arial"/>
          <w:sz w:val="20"/>
          <w:szCs w:val="20"/>
          <w:u w:val="single"/>
        </w:rPr>
      </w:pPr>
      <w:r w:rsidRPr="007A682B">
        <w:rPr>
          <w:rFonts w:ascii="Arial" w:hAnsi="Arial" w:cs="Arial"/>
          <w:sz w:val="20"/>
          <w:szCs w:val="20"/>
          <w:u w:val="single"/>
        </w:rPr>
        <w:t>Immediate early genes and sex steroid receptors are candidate regulators of genes involved in gonadotroph regulation in 6_POA_Mixed</w:t>
      </w:r>
    </w:p>
    <w:p w14:paraId="23D31851" w14:textId="76F5F351" w:rsidR="00F3752B" w:rsidRPr="007A682B" w:rsidRDefault="00F3752B" w:rsidP="00F3752B">
      <w:pPr>
        <w:rPr>
          <w:rFonts w:ascii="Arial" w:hAnsi="Arial" w:cs="Arial"/>
          <w:sz w:val="20"/>
          <w:szCs w:val="20"/>
        </w:rPr>
      </w:pPr>
      <w:r w:rsidRPr="007A682B">
        <w:rPr>
          <w:rFonts w:ascii="Arial" w:hAnsi="Arial" w:cs="Arial"/>
          <w:sz w:val="20"/>
          <w:szCs w:val="20"/>
        </w:rPr>
        <w:tab/>
        <w:t>Our complementary analysis of 6_POA_Mixed identified candidate TF regulators of DEGs that were not captured by the accessibility-coupled analysis (</w:t>
      </w:r>
      <w:r w:rsidRPr="007A682B">
        <w:rPr>
          <w:rFonts w:ascii="Arial" w:hAnsi="Arial" w:cs="Arial"/>
          <w:sz w:val="20"/>
          <w:szCs w:val="20"/>
          <w:highlight w:val="yellow"/>
        </w:rPr>
        <w:t>Fig. S11B)</w:t>
      </w:r>
      <w:r w:rsidRPr="007A682B">
        <w:rPr>
          <w:rFonts w:ascii="Arial" w:hAnsi="Arial" w:cs="Arial"/>
          <w:sz w:val="20"/>
          <w:szCs w:val="20"/>
        </w:rPr>
        <w:t xml:space="preserve">. From this larger regulatory network, we focused on differentially expressed genes with known roles in neuroendocrine signaling and the regulation of pituitary gonadotrophs. </w:t>
      </w:r>
      <w:r w:rsidR="001B16DE" w:rsidRPr="001B16DE">
        <w:rPr>
          <w:rFonts w:ascii="Arial" w:hAnsi="Arial" w:cs="Arial"/>
          <w:sz w:val="20"/>
          <w:szCs w:val="20"/>
        </w:rPr>
        <w:t xml:space="preserve">Intriguingly, the immediate early gene </w:t>
      </w:r>
      <w:r w:rsidR="001B16DE" w:rsidRPr="001B16DE">
        <w:rPr>
          <w:rFonts w:ascii="Arial" w:hAnsi="Arial" w:cs="Arial"/>
          <w:i/>
          <w:iCs/>
          <w:sz w:val="20"/>
          <w:szCs w:val="20"/>
        </w:rPr>
        <w:t>egr1</w:t>
      </w:r>
      <w:r w:rsidR="001B16DE" w:rsidRPr="001B16DE">
        <w:rPr>
          <w:rFonts w:ascii="Arial" w:hAnsi="Arial" w:cs="Arial"/>
          <w:sz w:val="20"/>
          <w:szCs w:val="20"/>
        </w:rPr>
        <w:t xml:space="preserve"> was identified as a candidate transcriptional regulator of early-downregulated </w:t>
      </w:r>
      <w:r w:rsidR="001B16DE" w:rsidRPr="001B16DE">
        <w:rPr>
          <w:rFonts w:ascii="Arial" w:hAnsi="Arial" w:cs="Arial"/>
          <w:i/>
          <w:iCs/>
          <w:sz w:val="20"/>
          <w:szCs w:val="20"/>
        </w:rPr>
        <w:t>npy7r</w:t>
      </w:r>
      <w:r w:rsidR="001B16DE" w:rsidRPr="001B16DE">
        <w:rPr>
          <w:rFonts w:ascii="Arial" w:hAnsi="Arial" w:cs="Arial"/>
          <w:sz w:val="20"/>
          <w:szCs w:val="20"/>
        </w:rPr>
        <w:t xml:space="preserve">, with a positive correlation between their expression levels </w:t>
      </w:r>
      <w:r w:rsidRPr="007A682B">
        <w:rPr>
          <w:rFonts w:ascii="Arial" w:hAnsi="Arial" w:cs="Arial"/>
          <w:sz w:val="20"/>
          <w:szCs w:val="20"/>
        </w:rPr>
        <w:t>(</w:t>
      </w:r>
      <w:r w:rsidR="00DC3495" w:rsidRPr="007A682B">
        <w:rPr>
          <w:rFonts w:ascii="Arial" w:hAnsi="Arial" w:cs="Arial"/>
          <w:i/>
          <w:iCs/>
          <w:sz w:val="20"/>
          <w:szCs w:val="20"/>
          <w:highlight w:val="yellow"/>
        </w:rPr>
        <w:t>r</w:t>
      </w:r>
      <w:r w:rsidR="00DC3495" w:rsidRPr="007A682B">
        <w:rPr>
          <w:rFonts w:ascii="Arial" w:hAnsi="Arial" w:cs="Arial"/>
          <w:sz w:val="20"/>
          <w:szCs w:val="20"/>
          <w:highlight w:val="yellow"/>
        </w:rPr>
        <w:t>=0.53, p=0.01;</w:t>
      </w:r>
      <w:r w:rsidR="00DC3495" w:rsidRPr="007A682B">
        <w:rPr>
          <w:rFonts w:ascii="Arial" w:hAnsi="Arial" w:cs="Arial"/>
          <w:sz w:val="20"/>
          <w:szCs w:val="20"/>
        </w:rPr>
        <w:t xml:space="preserve"> </w:t>
      </w:r>
      <w:r w:rsidR="00F70850" w:rsidRPr="007A682B">
        <w:rPr>
          <w:rFonts w:ascii="Arial" w:hAnsi="Arial" w:cs="Arial"/>
          <w:sz w:val="20"/>
          <w:szCs w:val="20"/>
          <w:highlight w:val="yellow"/>
        </w:rPr>
        <w:t>Fig. S11B</w:t>
      </w:r>
      <w:r w:rsidR="00913D54">
        <w:rPr>
          <w:rFonts w:ascii="Arial" w:hAnsi="Arial" w:cs="Arial"/>
          <w:sz w:val="20"/>
          <w:szCs w:val="20"/>
        </w:rPr>
        <w:t xml:space="preserve">; </w:t>
      </w:r>
      <w:r w:rsidR="00913D54" w:rsidRPr="00913D54">
        <w:rPr>
          <w:rFonts w:ascii="Arial" w:hAnsi="Arial" w:cs="Arial"/>
          <w:sz w:val="20"/>
          <w:szCs w:val="20"/>
          <w:highlight w:val="yellow"/>
        </w:rPr>
        <w:t>Appendix S15</w:t>
      </w:r>
      <w:r w:rsidRPr="007A682B">
        <w:rPr>
          <w:rFonts w:ascii="Arial" w:hAnsi="Arial" w:cs="Arial"/>
          <w:sz w:val="20"/>
          <w:szCs w:val="20"/>
        </w:rPr>
        <w:t xml:space="preserve">). Given that </w:t>
      </w:r>
      <w:r w:rsidRPr="007A682B">
        <w:rPr>
          <w:rFonts w:ascii="Arial" w:hAnsi="Arial" w:cs="Arial"/>
          <w:i/>
          <w:iCs/>
          <w:sz w:val="20"/>
          <w:szCs w:val="20"/>
        </w:rPr>
        <w:t>npy7r</w:t>
      </w:r>
      <w:r w:rsidRPr="007A682B">
        <w:rPr>
          <w:rFonts w:ascii="Arial" w:hAnsi="Arial" w:cs="Arial"/>
          <w:sz w:val="20"/>
          <w:szCs w:val="20"/>
        </w:rPr>
        <w:t xml:space="preserve"> downregulation is one of the earliest transcriptional changes in 6_POA_Mixed with the potential to influence pituitary gonadotrophs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{"citationID":"Jg5TAHD2","properties":{"unsorted":false,"formattedCitation":"(37, 47)","plainCitation":"(37, 47)","noteIndex":0},"citationItems":[{"id":6345,"uris":["http://zotero.org/users/11313215/items/3PT68SU6"],"itemData":{"id":6345,"type":"article-journal","abstract":"During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304DDF">
        <w:rPr>
          <w:rFonts w:ascii="Cambria Math" w:hAnsi="Cambria Math" w:cs="Cambria Math"/>
          <w:sz w:val="20"/>
          <w:szCs w:val="20"/>
        </w:rPr>
        <w:instrText>∼</w:instrText>
      </w:r>
      <w:r w:rsidR="00304DDF">
        <w:rPr>
          <w:rFonts w:ascii="Arial" w:hAnsi="Arial" w:cs="Arial"/>
          <w:sz w:val="20"/>
          <w:szCs w:val="20"/>
        </w:rPr>
        <w:instrText xml:space="preserve">20 stimulatory and </w:instrText>
      </w:r>
      <w:r w:rsidR="00304DDF">
        <w:rPr>
          <w:rFonts w:ascii="Cambria Math" w:hAnsi="Cambria Math" w:cs="Cambria Math"/>
          <w:sz w:val="20"/>
          <w:szCs w:val="20"/>
        </w:rPr>
        <w:instrText>∼</w:instrText>
      </w:r>
      <w:r w:rsidR="00304DDF">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Pr="007A682B">
        <w:rPr>
          <w:rFonts w:ascii="Arial" w:hAnsi="Arial" w:cs="Arial"/>
          <w:sz w:val="20"/>
          <w:szCs w:val="20"/>
        </w:rPr>
        <w:fldChar w:fldCharType="separate"/>
      </w:r>
      <w:r w:rsidR="00304DDF">
        <w:rPr>
          <w:rFonts w:ascii="Arial" w:hAnsi="Arial" w:cs="Arial"/>
          <w:noProof/>
          <w:sz w:val="20"/>
          <w:szCs w:val="20"/>
        </w:rPr>
        <w:t>(37, 47)</w:t>
      </w:r>
      <w:r w:rsidRPr="007A682B">
        <w:rPr>
          <w:rFonts w:ascii="Arial" w:hAnsi="Arial" w:cs="Arial"/>
          <w:sz w:val="20"/>
          <w:szCs w:val="20"/>
        </w:rPr>
        <w:fldChar w:fldCharType="end"/>
      </w:r>
      <w:r w:rsidRPr="007A682B">
        <w:rPr>
          <w:rFonts w:ascii="Arial" w:hAnsi="Arial" w:cs="Arial"/>
          <w:sz w:val="20"/>
          <w:szCs w:val="20"/>
        </w:rPr>
        <w:t>, this relationship provides a potential mechanism by which changes in neuronal activity associated with social experience could be translated into altered neuroendocrine signaling to the pituitary.</w:t>
      </w:r>
    </w:p>
    <w:p w14:paraId="1328D129" w14:textId="421B110D" w:rsidR="00EB6456" w:rsidRPr="007A682B" w:rsidRDefault="00EB6456" w:rsidP="00F3752B">
      <w:pPr>
        <w:rPr>
          <w:rFonts w:ascii="Arial" w:hAnsi="Arial" w:cs="Arial"/>
          <w:sz w:val="20"/>
          <w:szCs w:val="20"/>
        </w:rPr>
      </w:pPr>
      <w:r w:rsidRPr="007A682B">
        <w:rPr>
          <w:rFonts w:ascii="Arial" w:hAnsi="Arial" w:cs="Arial"/>
          <w:sz w:val="20"/>
          <w:szCs w:val="20"/>
        </w:rPr>
        <w:tab/>
        <w:t>The 6_POA_Mixed network prominently implicated steroid hormone signaling in regulating neuroplasticity</w:t>
      </w:r>
      <w:r w:rsidR="00A60E15" w:rsidRPr="007A682B">
        <w:rPr>
          <w:rFonts w:ascii="Arial" w:hAnsi="Arial" w:cs="Arial"/>
          <w:sz w:val="20"/>
          <w:szCs w:val="20"/>
        </w:rPr>
        <w:t xml:space="preserve"> (</w:t>
      </w:r>
      <w:r w:rsidR="00A60E15" w:rsidRPr="007A682B">
        <w:rPr>
          <w:rFonts w:ascii="Arial" w:hAnsi="Arial" w:cs="Arial"/>
          <w:sz w:val="20"/>
          <w:szCs w:val="20"/>
          <w:highlight w:val="yellow"/>
        </w:rPr>
        <w:t>Fig. S11B</w:t>
      </w:r>
      <w:r w:rsidR="00A60E15" w:rsidRPr="00913D54">
        <w:rPr>
          <w:rFonts w:ascii="Arial" w:hAnsi="Arial" w:cs="Arial"/>
          <w:sz w:val="20"/>
          <w:szCs w:val="20"/>
          <w:highlight w:val="yellow"/>
        </w:rPr>
        <w:t xml:space="preserve">; </w:t>
      </w:r>
      <w:r w:rsidR="00913D54" w:rsidRPr="00913D54">
        <w:rPr>
          <w:rFonts w:ascii="Arial" w:hAnsi="Arial" w:cs="Arial"/>
          <w:sz w:val="20"/>
          <w:szCs w:val="20"/>
          <w:highlight w:val="yellow"/>
        </w:rPr>
        <w:t>Appendix S15</w:t>
      </w:r>
      <w:r w:rsidR="00913D54">
        <w:rPr>
          <w:rFonts w:ascii="Arial" w:hAnsi="Arial" w:cs="Arial"/>
          <w:sz w:val="20"/>
          <w:szCs w:val="20"/>
        </w:rPr>
        <w:t>)</w:t>
      </w:r>
      <w:r w:rsidRPr="007A682B">
        <w:rPr>
          <w:rFonts w:ascii="Arial" w:hAnsi="Arial" w:cs="Arial"/>
          <w:sz w:val="20"/>
          <w:szCs w:val="20"/>
        </w:rPr>
        <w:t xml:space="preserve">. </w:t>
      </w:r>
      <w:r w:rsidRPr="007A682B">
        <w:rPr>
          <w:rFonts w:ascii="Arial" w:hAnsi="Arial" w:cs="Arial"/>
          <w:i/>
          <w:iCs/>
          <w:sz w:val="20"/>
          <w:szCs w:val="20"/>
        </w:rPr>
        <w:t>pgr</w:t>
      </w:r>
      <w:r w:rsidRPr="007A682B">
        <w:rPr>
          <w:rFonts w:ascii="Arial" w:hAnsi="Arial" w:cs="Arial"/>
          <w:sz w:val="20"/>
          <w:szCs w:val="20"/>
        </w:rPr>
        <w:t xml:space="preserve">, which was itself transiently downregulated, was negatively associated with the potassium channel </w:t>
      </w:r>
      <w:r w:rsidRPr="007A682B">
        <w:rPr>
          <w:rFonts w:ascii="Arial" w:hAnsi="Arial" w:cs="Arial"/>
          <w:i/>
          <w:iCs/>
          <w:sz w:val="20"/>
          <w:szCs w:val="20"/>
        </w:rPr>
        <w:t>kcnd3</w:t>
      </w:r>
      <w:r w:rsidRPr="007A682B">
        <w:rPr>
          <w:rFonts w:ascii="Arial" w:hAnsi="Arial" w:cs="Arial"/>
          <w:sz w:val="20"/>
          <w:szCs w:val="20"/>
        </w:rPr>
        <w:t xml:space="preserve"> (</w:t>
      </w:r>
      <w:r w:rsidRPr="007A682B">
        <w:rPr>
          <w:rFonts w:ascii="Arial" w:hAnsi="Arial" w:cs="Arial"/>
          <w:i/>
          <w:iCs/>
          <w:sz w:val="20"/>
          <w:szCs w:val="20"/>
        </w:rPr>
        <w:t>r</w:t>
      </w:r>
      <w:r w:rsidRPr="007A682B">
        <w:rPr>
          <w:rFonts w:ascii="Arial" w:hAnsi="Arial" w:cs="Arial"/>
          <w:sz w:val="20"/>
          <w:szCs w:val="20"/>
        </w:rPr>
        <w:t>=</w:t>
      </w:r>
      <w:r w:rsidR="00A60E15" w:rsidRPr="007A682B">
        <w:rPr>
          <w:rFonts w:ascii="Arial" w:hAnsi="Arial" w:cs="Arial"/>
          <w:sz w:val="20"/>
          <w:szCs w:val="20"/>
        </w:rPr>
        <w:t>-</w:t>
      </w:r>
      <w:r w:rsidRPr="007A682B">
        <w:rPr>
          <w:rFonts w:ascii="Arial" w:hAnsi="Arial" w:cs="Arial"/>
          <w:sz w:val="20"/>
          <w:szCs w:val="20"/>
        </w:rPr>
        <w:t>0.</w:t>
      </w:r>
      <w:r w:rsidR="00A60E15" w:rsidRPr="007A682B">
        <w:rPr>
          <w:rFonts w:ascii="Arial" w:hAnsi="Arial" w:cs="Arial"/>
          <w:sz w:val="20"/>
          <w:szCs w:val="20"/>
        </w:rPr>
        <w:t>41</w:t>
      </w:r>
      <w:r w:rsidRPr="007A682B">
        <w:rPr>
          <w:rFonts w:ascii="Arial" w:hAnsi="Arial" w:cs="Arial"/>
          <w:sz w:val="20"/>
          <w:szCs w:val="20"/>
        </w:rPr>
        <w:t xml:space="preserve">, </w:t>
      </w:r>
      <w:r w:rsidR="00C223B0" w:rsidRPr="00C223B0">
        <w:rPr>
          <w:rFonts w:ascii="Arial" w:hAnsi="Arial" w:cs="Arial"/>
          <w:i/>
          <w:iCs/>
          <w:sz w:val="20"/>
          <w:szCs w:val="20"/>
        </w:rPr>
        <w:t>p</w:t>
      </w:r>
      <w:r w:rsidR="00C223B0" w:rsidRPr="007A682B">
        <w:rPr>
          <w:rFonts w:ascii="Arial" w:hAnsi="Arial" w:cs="Arial"/>
          <w:sz w:val="20"/>
          <w:szCs w:val="20"/>
        </w:rPr>
        <w:t xml:space="preserve"> </w:t>
      </w:r>
      <w:r w:rsidRPr="007A682B">
        <w:rPr>
          <w:rFonts w:ascii="Arial" w:hAnsi="Arial" w:cs="Arial"/>
          <w:sz w:val="20"/>
          <w:szCs w:val="20"/>
        </w:rPr>
        <w:t>=0.0</w:t>
      </w:r>
      <w:r w:rsidR="00A60E15" w:rsidRPr="007A682B">
        <w:rPr>
          <w:rFonts w:ascii="Arial" w:hAnsi="Arial" w:cs="Arial"/>
          <w:sz w:val="20"/>
          <w:szCs w:val="20"/>
        </w:rPr>
        <w:t>6</w:t>
      </w:r>
      <w:r w:rsidRPr="007A682B">
        <w:rPr>
          <w:rFonts w:ascii="Arial" w:hAnsi="Arial" w:cs="Arial"/>
          <w:sz w:val="20"/>
          <w:szCs w:val="20"/>
        </w:rPr>
        <w:t xml:space="preserve">), the synaptic vesicle protein </w:t>
      </w:r>
      <w:r w:rsidRPr="007A682B">
        <w:rPr>
          <w:rFonts w:ascii="Arial" w:hAnsi="Arial" w:cs="Arial"/>
          <w:i/>
          <w:iCs/>
          <w:sz w:val="20"/>
          <w:szCs w:val="20"/>
        </w:rPr>
        <w:t>stxbp6</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=-0.46,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=0.03</w:t>
      </w:r>
      <w:r w:rsidRPr="007A682B">
        <w:rPr>
          <w:rFonts w:ascii="Arial" w:hAnsi="Arial" w:cs="Arial"/>
          <w:sz w:val="20"/>
          <w:szCs w:val="20"/>
        </w:rPr>
        <w:t xml:space="preserve">), and presynaptic cell adhesin protein </w:t>
      </w:r>
      <w:r w:rsidRPr="007A682B">
        <w:rPr>
          <w:rFonts w:ascii="Arial" w:hAnsi="Arial" w:cs="Arial"/>
          <w:i/>
          <w:iCs/>
          <w:sz w:val="20"/>
          <w:szCs w:val="20"/>
        </w:rPr>
        <w:t>cntap4</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=-0.42,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=0.05</w:t>
      </w:r>
      <w:r w:rsidRPr="007A682B">
        <w:rPr>
          <w:rFonts w:ascii="Arial" w:hAnsi="Arial" w:cs="Arial"/>
          <w:sz w:val="20"/>
          <w:szCs w:val="20"/>
        </w:rPr>
        <w:t xml:space="preserve">). Similarly, </w:t>
      </w:r>
      <w:r w:rsidRPr="007A682B">
        <w:rPr>
          <w:rFonts w:ascii="Arial" w:hAnsi="Arial" w:cs="Arial"/>
          <w:i/>
          <w:iCs/>
          <w:sz w:val="20"/>
          <w:szCs w:val="20"/>
        </w:rPr>
        <w:t>ar</w:t>
      </w:r>
      <w:r w:rsidRPr="007A682B">
        <w:rPr>
          <w:rFonts w:ascii="Arial" w:hAnsi="Arial" w:cs="Arial"/>
          <w:sz w:val="20"/>
          <w:szCs w:val="20"/>
        </w:rPr>
        <w:t xml:space="preserve"> was negatively associated with </w:t>
      </w:r>
      <w:r w:rsidRPr="007A682B">
        <w:rPr>
          <w:rFonts w:ascii="Arial" w:hAnsi="Arial" w:cs="Arial"/>
          <w:i/>
          <w:iCs/>
          <w:sz w:val="20"/>
          <w:szCs w:val="20"/>
        </w:rPr>
        <w:t>stxbp1</w:t>
      </w:r>
      <w:r w:rsidRPr="007A682B">
        <w:rPr>
          <w:rFonts w:ascii="Arial" w:hAnsi="Arial" w:cs="Arial"/>
          <w:sz w:val="20"/>
          <w:szCs w:val="20"/>
        </w:rPr>
        <w:t xml:space="preserve"> </w:t>
      </w:r>
      <w:r w:rsidR="00A60E15" w:rsidRPr="007A682B">
        <w:rPr>
          <w:rFonts w:ascii="Arial" w:hAnsi="Arial" w:cs="Arial"/>
          <w:sz w:val="20"/>
          <w:szCs w:val="20"/>
        </w:rPr>
        <w:t xml:space="preserve">(r=-0.58,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=0.004)</w:t>
      </w:r>
      <w:r w:rsidRPr="007A682B">
        <w:rPr>
          <w:rFonts w:ascii="Arial" w:hAnsi="Arial" w:cs="Arial"/>
          <w:sz w:val="20"/>
          <w:szCs w:val="20"/>
        </w:rPr>
        <w:t xml:space="preserve">. Conversely </w:t>
      </w:r>
      <w:r w:rsidRPr="007A682B">
        <w:rPr>
          <w:rFonts w:ascii="Arial" w:hAnsi="Arial" w:cs="Arial"/>
          <w:i/>
          <w:iCs/>
          <w:sz w:val="20"/>
          <w:szCs w:val="20"/>
        </w:rPr>
        <w:t>esr2b</w:t>
      </w:r>
      <w:r w:rsidRPr="007A682B">
        <w:rPr>
          <w:rFonts w:ascii="Arial" w:hAnsi="Arial" w:cs="Arial"/>
          <w:sz w:val="20"/>
          <w:szCs w:val="20"/>
        </w:rPr>
        <w:t xml:space="preserve"> was positively associated with the potassium channel </w:t>
      </w:r>
      <w:r w:rsidRPr="007A682B">
        <w:rPr>
          <w:rFonts w:ascii="Arial" w:hAnsi="Arial" w:cs="Arial"/>
          <w:i/>
          <w:iCs/>
          <w:sz w:val="20"/>
          <w:szCs w:val="20"/>
        </w:rPr>
        <w:t>kcnh4</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=0.47,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=0.03)</w:t>
      </w:r>
      <w:r w:rsidRPr="007A682B">
        <w:rPr>
          <w:rFonts w:ascii="Arial" w:hAnsi="Arial" w:cs="Arial"/>
          <w:sz w:val="20"/>
          <w:szCs w:val="20"/>
        </w:rPr>
        <w:t xml:space="preserve"> and the synaptic plasticity protein </w:t>
      </w:r>
      <w:r w:rsidRPr="007A682B">
        <w:rPr>
          <w:rFonts w:ascii="Arial" w:hAnsi="Arial" w:cs="Arial"/>
          <w:i/>
          <w:iCs/>
          <w:sz w:val="20"/>
          <w:szCs w:val="20"/>
        </w:rPr>
        <w:t>nxph1</w:t>
      </w:r>
      <w:r w:rsidR="00A60E15"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=0.49,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=0.02)</w:t>
      </w:r>
      <w:r w:rsidRPr="007A682B">
        <w:rPr>
          <w:rFonts w:ascii="Arial" w:hAnsi="Arial" w:cs="Arial"/>
          <w:sz w:val="20"/>
          <w:szCs w:val="20"/>
        </w:rPr>
        <w:t xml:space="preserve">. </w:t>
      </w:r>
      <w:r w:rsidR="00A60E15" w:rsidRPr="007A682B">
        <w:rPr>
          <w:rFonts w:ascii="Arial" w:hAnsi="Arial" w:cs="Arial"/>
          <w:sz w:val="20"/>
          <w:szCs w:val="20"/>
        </w:rPr>
        <w:t>Together, these associations implicate steroid receptor–associated transcription in changes to neuronal excitability, synaptic vesicle function, and synaptic organization in 6_POA_Mixed during sex change.</w:t>
      </w:r>
    </w:p>
    <w:p w14:paraId="2E173A8B" w14:textId="77777777" w:rsidR="00CC0E7C" w:rsidRPr="007A682B" w:rsidRDefault="00CC0E7C" w:rsidP="00BB3ACB">
      <w:pPr>
        <w:rPr>
          <w:rFonts w:ascii="Arial" w:hAnsi="Arial" w:cs="Arial"/>
          <w:sz w:val="20"/>
          <w:szCs w:val="20"/>
        </w:rPr>
      </w:pPr>
    </w:p>
    <w:p w14:paraId="31096BE2" w14:textId="18C6E29B" w:rsidR="00BB3ACB" w:rsidRPr="007A682B" w:rsidRDefault="00BB3ACB" w:rsidP="00BB3ACB">
      <w:pPr>
        <w:rPr>
          <w:rFonts w:ascii="Arial" w:hAnsi="Arial" w:cs="Arial"/>
          <w:sz w:val="20"/>
          <w:szCs w:val="20"/>
          <w:u w:val="single"/>
        </w:rPr>
      </w:pPr>
      <w:r w:rsidRPr="007A682B">
        <w:rPr>
          <w:rFonts w:ascii="Arial" w:hAnsi="Arial" w:cs="Arial"/>
          <w:sz w:val="20"/>
          <w:szCs w:val="20"/>
          <w:u w:val="single"/>
        </w:rPr>
        <w:t>Distinct modes of steroid receptor-associated transcriptional regulation in 6_POA_Mixed</w:t>
      </w:r>
    </w:p>
    <w:p w14:paraId="481EE374" w14:textId="5B475232" w:rsidR="00CC0E7C" w:rsidRPr="007A682B" w:rsidRDefault="00BB3ACB" w:rsidP="004741B8">
      <w:pPr>
        <w:rPr>
          <w:rFonts w:ascii="Arial" w:hAnsi="Arial" w:cs="Arial"/>
          <w:sz w:val="20"/>
          <w:szCs w:val="20"/>
        </w:rPr>
      </w:pPr>
      <w:r w:rsidRPr="007A682B">
        <w:rPr>
          <w:rFonts w:ascii="Arial" w:hAnsi="Arial" w:cs="Arial"/>
          <w:sz w:val="20"/>
          <w:szCs w:val="20"/>
        </w:rPr>
        <w:tab/>
      </w:r>
      <w:r w:rsidR="004741B8" w:rsidRPr="007A682B">
        <w:rPr>
          <w:rFonts w:ascii="Arial" w:hAnsi="Arial" w:cs="Arial"/>
          <w:sz w:val="20"/>
          <w:szCs w:val="20"/>
        </w:rPr>
        <w:t xml:space="preserve">Given the identification of sex steroid receptors as candidate regulators of transcriptional changes in 6_POA_Mixed, we next asked how steroid receptor-associated transcription changed across sex change. We examined expression of genes associated with ESR2B, AR, or PGR binding motifs and separately tested whether chromatin accessibility at regions containing these motifs changed across sex change (Methods). ESR2B-associated gene expression increased gradually across sex change and differed significantly between </w:t>
      </w:r>
      <w:r w:rsidR="00F54B25">
        <w:rPr>
          <w:rFonts w:ascii="Arial" w:hAnsi="Arial" w:cs="Arial"/>
          <w:sz w:val="20"/>
          <w:szCs w:val="20"/>
        </w:rPr>
        <w:t>M</w:t>
      </w:r>
      <w:r w:rsidR="004741B8" w:rsidRPr="007A682B">
        <w:rPr>
          <w:rFonts w:ascii="Arial" w:hAnsi="Arial" w:cs="Arial"/>
          <w:sz w:val="20"/>
          <w:szCs w:val="20"/>
        </w:rPr>
        <w:t xml:space="preserve">ales and </w:t>
      </w:r>
      <w:r w:rsidR="00F54B25">
        <w:rPr>
          <w:rFonts w:ascii="Arial" w:hAnsi="Arial" w:cs="Arial"/>
          <w:sz w:val="20"/>
          <w:szCs w:val="20"/>
        </w:rPr>
        <w:t>F</w:t>
      </w:r>
      <w:r w:rsidR="004741B8" w:rsidRPr="007A682B">
        <w:rPr>
          <w:rFonts w:ascii="Arial" w:hAnsi="Arial" w:cs="Arial"/>
          <w:sz w:val="20"/>
          <w:szCs w:val="20"/>
        </w:rPr>
        <w:t xml:space="preserve">emales, with </w:t>
      </w:r>
      <w:r w:rsidR="00F54B25">
        <w:rPr>
          <w:rFonts w:ascii="Arial" w:hAnsi="Arial" w:cs="Arial"/>
          <w:sz w:val="20"/>
          <w:szCs w:val="20"/>
        </w:rPr>
        <w:t>I</w:t>
      </w:r>
      <w:r w:rsidR="004741B8" w:rsidRPr="007A682B">
        <w:rPr>
          <w:rFonts w:ascii="Arial" w:hAnsi="Arial" w:cs="Arial"/>
          <w:sz w:val="20"/>
          <w:szCs w:val="20"/>
        </w:rPr>
        <w:t>ntermediates exhibiting intermediate values (</w:t>
      </w:r>
      <w:commentRangeStart w:id="13"/>
      <w:commentRangeStart w:id="14"/>
      <w:r w:rsidR="004741B8" w:rsidRPr="007A682B">
        <w:rPr>
          <w:rFonts w:ascii="Arial" w:hAnsi="Arial" w:cs="Arial"/>
          <w:sz w:val="20"/>
          <w:szCs w:val="20"/>
        </w:rPr>
        <w:t xml:space="preserve">Hedges’ g = 1.52; F(2,16) </w:t>
      </w:r>
      <w:commentRangeEnd w:id="13"/>
      <w:r w:rsidR="00385EE8" w:rsidRPr="007A682B">
        <w:rPr>
          <w:rStyle w:val="CommentReference"/>
          <w:rFonts w:ascii="Arial" w:hAnsi="Arial" w:cs="Arial"/>
          <w:sz w:val="20"/>
          <w:szCs w:val="20"/>
        </w:rPr>
        <w:commentReference w:id="13"/>
      </w:r>
      <w:commentRangeEnd w:id="14"/>
      <w:r w:rsidR="00F54B25" w:rsidRPr="007A682B">
        <w:rPr>
          <w:rStyle w:val="CommentReference"/>
          <w:rFonts w:ascii="Arial" w:hAnsi="Arial" w:cs="Arial"/>
          <w:sz w:val="20"/>
          <w:szCs w:val="20"/>
        </w:rPr>
        <w:commentReference w:id="14"/>
      </w:r>
      <w:r w:rsidR="004741B8" w:rsidRPr="007A682B">
        <w:rPr>
          <w:rFonts w:ascii="Arial" w:hAnsi="Arial" w:cs="Arial"/>
          <w:sz w:val="20"/>
          <w:szCs w:val="20"/>
        </w:rPr>
        <w:t xml:space="preserve">= 4.6, </w:t>
      </w:r>
      <w:r w:rsidR="00C223B0" w:rsidRPr="00C223B0">
        <w:rPr>
          <w:rFonts w:ascii="Arial" w:hAnsi="Arial" w:cs="Arial"/>
          <w:i/>
          <w:iCs/>
          <w:sz w:val="20"/>
          <w:szCs w:val="20"/>
        </w:rPr>
        <w:t>p</w:t>
      </w:r>
      <w:r w:rsidR="004741B8" w:rsidRPr="007A682B">
        <w:rPr>
          <w:rFonts w:ascii="Arial" w:hAnsi="Arial" w:cs="Arial"/>
          <w:sz w:val="20"/>
          <w:szCs w:val="20"/>
        </w:rPr>
        <w:t xml:space="preserve"> = 0.026; </w:t>
      </w:r>
      <w:r w:rsidR="004741B8" w:rsidRPr="007A682B">
        <w:rPr>
          <w:rFonts w:ascii="Arial" w:hAnsi="Arial" w:cs="Arial"/>
          <w:sz w:val="20"/>
          <w:szCs w:val="20"/>
          <w:highlight w:val="yellow"/>
        </w:rPr>
        <w:t>Fig. 6D</w:t>
      </w:r>
      <w:r w:rsidR="004741B8" w:rsidRPr="007A682B">
        <w:rPr>
          <w:rFonts w:ascii="Arial" w:hAnsi="Arial" w:cs="Arial"/>
          <w:sz w:val="20"/>
          <w:szCs w:val="20"/>
        </w:rPr>
        <w:t xml:space="preserve">). </w:t>
      </w:r>
      <w:commentRangeStart w:id="15"/>
      <w:commentRangeStart w:id="16"/>
      <w:r w:rsidR="004741B8" w:rsidRPr="007A682B">
        <w:rPr>
          <w:rFonts w:ascii="Arial" w:hAnsi="Arial" w:cs="Arial"/>
          <w:sz w:val="20"/>
          <w:szCs w:val="20"/>
        </w:rPr>
        <w:t xml:space="preserve">Importantly, accessibility of ESR2B-binding regions also increased significantly in </w:t>
      </w:r>
      <w:r w:rsidR="00F54B25">
        <w:rPr>
          <w:rFonts w:ascii="Arial" w:hAnsi="Arial" w:cs="Arial"/>
          <w:sz w:val="20"/>
          <w:szCs w:val="20"/>
        </w:rPr>
        <w:t>F</w:t>
      </w:r>
      <w:r w:rsidR="004741B8" w:rsidRPr="007A682B">
        <w:rPr>
          <w:rFonts w:ascii="Arial" w:hAnsi="Arial" w:cs="Arial"/>
          <w:sz w:val="20"/>
          <w:szCs w:val="20"/>
        </w:rPr>
        <w:t xml:space="preserve">emales relative to </w:t>
      </w:r>
      <w:r w:rsidR="00F54B25">
        <w:rPr>
          <w:rFonts w:ascii="Arial" w:hAnsi="Arial" w:cs="Arial"/>
          <w:sz w:val="20"/>
          <w:szCs w:val="20"/>
        </w:rPr>
        <w:t>M</w:t>
      </w:r>
      <w:r w:rsidR="004741B8" w:rsidRPr="007A682B">
        <w:rPr>
          <w:rFonts w:ascii="Arial" w:hAnsi="Arial" w:cs="Arial"/>
          <w:sz w:val="20"/>
          <w:szCs w:val="20"/>
        </w:rPr>
        <w:t xml:space="preserve">ales and </w:t>
      </w:r>
      <w:r w:rsidR="00F54B25">
        <w:rPr>
          <w:rFonts w:ascii="Arial" w:hAnsi="Arial" w:cs="Arial"/>
          <w:sz w:val="20"/>
          <w:szCs w:val="20"/>
        </w:rPr>
        <w:t>I</w:t>
      </w:r>
      <w:r w:rsidR="004741B8" w:rsidRPr="007A682B">
        <w:rPr>
          <w:rFonts w:ascii="Arial" w:hAnsi="Arial" w:cs="Arial"/>
          <w:sz w:val="20"/>
          <w:szCs w:val="20"/>
        </w:rPr>
        <w:t xml:space="preserve">ntermediates, which did not differ from each other (Hedges’ g = 0.79; F(2,16) = 4.5, </w:t>
      </w:r>
      <w:r w:rsidR="00C223B0" w:rsidRPr="00C223B0">
        <w:rPr>
          <w:rFonts w:ascii="Arial" w:hAnsi="Arial" w:cs="Arial"/>
          <w:i/>
          <w:iCs/>
          <w:sz w:val="20"/>
          <w:szCs w:val="20"/>
        </w:rPr>
        <w:t>p</w:t>
      </w:r>
      <w:r w:rsidR="004741B8" w:rsidRPr="007A682B">
        <w:rPr>
          <w:rFonts w:ascii="Arial" w:hAnsi="Arial" w:cs="Arial"/>
          <w:sz w:val="20"/>
          <w:szCs w:val="20"/>
        </w:rPr>
        <w:t xml:space="preserve"> = 0.028; </w:t>
      </w:r>
      <w:commentRangeStart w:id="17"/>
      <w:r w:rsidR="004741B8" w:rsidRPr="007A682B">
        <w:rPr>
          <w:rFonts w:ascii="Arial" w:hAnsi="Arial" w:cs="Arial"/>
          <w:sz w:val="20"/>
          <w:szCs w:val="20"/>
          <w:highlight w:val="yellow"/>
        </w:rPr>
        <w:t>Fig. 6</w:t>
      </w:r>
      <w:r w:rsidR="004A27C9" w:rsidRPr="004A27C9">
        <w:rPr>
          <w:rFonts w:ascii="Arial" w:hAnsi="Arial" w:cs="Arial"/>
          <w:sz w:val="20"/>
          <w:szCs w:val="20"/>
          <w:highlight w:val="yellow"/>
        </w:rPr>
        <w:t>XX</w:t>
      </w:r>
      <w:commentRangeEnd w:id="15"/>
      <w:r w:rsidR="00913D54" w:rsidRPr="007A682B">
        <w:rPr>
          <w:rStyle w:val="CommentReference"/>
          <w:rFonts w:ascii="Arial" w:hAnsi="Arial" w:cs="Arial"/>
          <w:sz w:val="20"/>
          <w:szCs w:val="20"/>
        </w:rPr>
        <w:commentReference w:id="15"/>
      </w:r>
      <w:commentRangeEnd w:id="16"/>
      <w:r w:rsidR="00F54B25" w:rsidRPr="007A682B">
        <w:rPr>
          <w:rStyle w:val="CommentReference"/>
          <w:rFonts w:ascii="Arial" w:hAnsi="Arial" w:cs="Arial"/>
          <w:sz w:val="20"/>
          <w:szCs w:val="20"/>
        </w:rPr>
        <w:commentReference w:id="16"/>
      </w:r>
      <w:r w:rsidR="00CB26A9" w:rsidRPr="007A682B">
        <w:rPr>
          <w:rFonts w:ascii="Arial" w:hAnsi="Arial" w:cs="Arial"/>
          <w:sz w:val="20"/>
          <w:szCs w:val="20"/>
        </w:rPr>
        <w:t>)</w:t>
      </w:r>
      <w:commentRangeEnd w:id="17"/>
      <w:r w:rsidR="00C9120C" w:rsidRPr="007A682B">
        <w:rPr>
          <w:rStyle w:val="CommentReference"/>
          <w:rFonts w:ascii="Arial" w:hAnsi="Arial" w:cs="Arial"/>
          <w:sz w:val="20"/>
          <w:szCs w:val="20"/>
        </w:rPr>
        <w:commentReference w:id="17"/>
      </w:r>
      <w:r w:rsidR="004741B8" w:rsidRPr="007A682B">
        <w:rPr>
          <w:rFonts w:ascii="Arial" w:hAnsi="Arial" w:cs="Arial"/>
          <w:sz w:val="20"/>
          <w:szCs w:val="20"/>
        </w:rPr>
        <w:t>.</w:t>
      </w:r>
      <w:r w:rsidR="00CC0E7C" w:rsidRPr="007A682B">
        <w:rPr>
          <w:rFonts w:ascii="Arial" w:hAnsi="Arial" w:cs="Arial"/>
        </w:rPr>
        <w:t xml:space="preserve"> </w:t>
      </w:r>
      <w:r w:rsidR="00CC0E7C" w:rsidRPr="007A682B">
        <w:rPr>
          <w:rFonts w:ascii="Arial" w:hAnsi="Arial" w:cs="Arial"/>
          <w:sz w:val="20"/>
          <w:szCs w:val="20"/>
        </w:rPr>
        <w:t xml:space="preserve">Together, these results suggest that increased ESR2B-associated transcription reflects, at least in part, increased chromatin accessibility to estrogen receptor signaling. Notably, this increase occurred despite the transient decrease in </w:t>
      </w:r>
      <w:r w:rsidR="00CC0E7C" w:rsidRPr="007A682B">
        <w:rPr>
          <w:rFonts w:ascii="Arial" w:hAnsi="Arial" w:cs="Arial"/>
          <w:i/>
          <w:iCs/>
          <w:sz w:val="20"/>
          <w:szCs w:val="20"/>
        </w:rPr>
        <w:t>cyp19a1b</w:t>
      </w:r>
      <w:r w:rsidR="00CC0E7C" w:rsidRPr="007A682B">
        <w:rPr>
          <w:rFonts w:ascii="Arial" w:hAnsi="Arial" w:cs="Arial"/>
          <w:sz w:val="20"/>
          <w:szCs w:val="20"/>
        </w:rPr>
        <w:t xml:space="preserve"> expression in 1_RGC (</w:t>
      </w:r>
      <w:r w:rsidR="00CC0E7C" w:rsidRPr="007A682B">
        <w:rPr>
          <w:rFonts w:ascii="Arial" w:hAnsi="Arial" w:cs="Arial"/>
          <w:sz w:val="20"/>
          <w:szCs w:val="20"/>
          <w:highlight w:val="yellow"/>
        </w:rPr>
        <w:t>Fig.</w:t>
      </w:r>
      <w:r w:rsidR="00913D54">
        <w:rPr>
          <w:rFonts w:ascii="Arial" w:hAnsi="Arial" w:cs="Arial"/>
          <w:sz w:val="20"/>
          <w:szCs w:val="20"/>
        </w:rPr>
        <w:t xml:space="preserve"> </w:t>
      </w:r>
      <w:r w:rsidR="00913D54" w:rsidRPr="00913D54">
        <w:rPr>
          <w:rFonts w:ascii="Arial" w:hAnsi="Arial" w:cs="Arial"/>
          <w:sz w:val="20"/>
          <w:szCs w:val="20"/>
          <w:highlight w:val="yellow"/>
        </w:rPr>
        <w:t>4A</w:t>
      </w:r>
      <w:r w:rsidR="00CC0E7C" w:rsidRPr="007A682B">
        <w:rPr>
          <w:rFonts w:ascii="Arial" w:hAnsi="Arial" w:cs="Arial"/>
          <w:sz w:val="20"/>
          <w:szCs w:val="20"/>
        </w:rPr>
        <w:t xml:space="preserve">), indicating that increased ESR2B-associated transcription and </w:t>
      </w:r>
      <w:r w:rsidR="00CC0E7C" w:rsidRPr="007A682B">
        <w:rPr>
          <w:rFonts w:ascii="Arial" w:hAnsi="Arial" w:cs="Arial"/>
          <w:i/>
          <w:iCs/>
          <w:sz w:val="20"/>
          <w:szCs w:val="20"/>
        </w:rPr>
        <w:t>cyp19a1b</w:t>
      </w:r>
      <w:r w:rsidR="00CC0E7C" w:rsidRPr="007A682B">
        <w:rPr>
          <w:rFonts w:ascii="Arial" w:hAnsi="Arial" w:cs="Arial"/>
          <w:sz w:val="20"/>
          <w:szCs w:val="20"/>
        </w:rPr>
        <w:t xml:space="preserve"> expression do not follow parallel patterns during sex change.</w:t>
      </w:r>
    </w:p>
    <w:p w14:paraId="4A3DDCCC" w14:textId="097762BF" w:rsidR="004741B8" w:rsidRPr="007A682B" w:rsidRDefault="004741B8" w:rsidP="004741B8">
      <w:pPr>
        <w:rPr>
          <w:rFonts w:ascii="Arial" w:hAnsi="Arial" w:cs="Arial"/>
          <w:sz w:val="20"/>
          <w:szCs w:val="20"/>
        </w:rPr>
      </w:pPr>
      <w:r w:rsidRPr="007A682B">
        <w:rPr>
          <w:rFonts w:ascii="Arial" w:hAnsi="Arial" w:cs="Arial"/>
          <w:sz w:val="20"/>
          <w:szCs w:val="20"/>
        </w:rPr>
        <w:tab/>
        <w:t>In contrast, AR-associated gene expression and accessibility remained stable across sex change (</w:t>
      </w:r>
      <w:r w:rsidRPr="007A682B">
        <w:rPr>
          <w:rFonts w:ascii="Arial" w:hAnsi="Arial" w:cs="Arial"/>
          <w:sz w:val="20"/>
          <w:szCs w:val="20"/>
          <w:highlight w:val="yellow"/>
        </w:rPr>
        <w:t>Fig. 6E</w:t>
      </w:r>
      <w:r w:rsidR="00CB26A9" w:rsidRPr="007A682B">
        <w:rPr>
          <w:rFonts w:ascii="Arial" w:hAnsi="Arial" w:cs="Arial"/>
          <w:sz w:val="20"/>
          <w:szCs w:val="20"/>
        </w:rPr>
        <w:t>)</w:t>
      </w:r>
      <w:r w:rsidRPr="007A682B">
        <w:rPr>
          <w:rFonts w:ascii="Arial" w:hAnsi="Arial" w:cs="Arial"/>
          <w:sz w:val="20"/>
          <w:szCs w:val="20"/>
        </w:rPr>
        <w:t>. This stability is notable given the substantial differences in circulating 11-KT across sex change (</w:t>
      </w:r>
      <w:r w:rsidRPr="007A682B">
        <w:rPr>
          <w:rFonts w:ascii="Arial" w:hAnsi="Arial" w:cs="Arial"/>
          <w:sz w:val="20"/>
          <w:szCs w:val="20"/>
          <w:highlight w:val="yellow"/>
        </w:rPr>
        <w:t>Fig. 1B</w:t>
      </w:r>
      <w:r w:rsidRPr="007A682B">
        <w:rPr>
          <w:rFonts w:ascii="Arial" w:hAnsi="Arial" w:cs="Arial"/>
          <w:sz w:val="20"/>
          <w:szCs w:val="20"/>
        </w:rPr>
        <w:t xml:space="preserve">), indicating that transcriptional output associated with AR in the POA does not simply track circulating androgen concentrations. PGR-associated gene expression, like ESR2B-associated expression, increased gradually across sex change, with a significant difference between </w:t>
      </w:r>
      <w:r w:rsidR="00F54B25">
        <w:rPr>
          <w:rFonts w:ascii="Arial" w:hAnsi="Arial" w:cs="Arial"/>
          <w:sz w:val="20"/>
          <w:szCs w:val="20"/>
        </w:rPr>
        <w:t>M</w:t>
      </w:r>
      <w:r w:rsidRPr="007A682B">
        <w:rPr>
          <w:rFonts w:ascii="Arial" w:hAnsi="Arial" w:cs="Arial"/>
          <w:sz w:val="20"/>
          <w:szCs w:val="20"/>
        </w:rPr>
        <w:t xml:space="preserve">ales and </w:t>
      </w:r>
      <w:r w:rsidR="00F54B25">
        <w:rPr>
          <w:rFonts w:ascii="Arial" w:hAnsi="Arial" w:cs="Arial"/>
          <w:sz w:val="20"/>
          <w:szCs w:val="20"/>
        </w:rPr>
        <w:lastRenderedPageBreak/>
        <w:t>F</w:t>
      </w:r>
      <w:r w:rsidRPr="007A682B">
        <w:rPr>
          <w:rFonts w:ascii="Arial" w:hAnsi="Arial" w:cs="Arial"/>
          <w:sz w:val="20"/>
          <w:szCs w:val="20"/>
        </w:rPr>
        <w:t xml:space="preserve">emales and </w:t>
      </w:r>
      <w:r w:rsidR="00F54B25">
        <w:rPr>
          <w:rFonts w:ascii="Arial" w:hAnsi="Arial" w:cs="Arial"/>
          <w:sz w:val="20"/>
          <w:szCs w:val="20"/>
        </w:rPr>
        <w:t>I</w:t>
      </w:r>
      <w:r w:rsidRPr="007A682B">
        <w:rPr>
          <w:rFonts w:ascii="Arial" w:hAnsi="Arial" w:cs="Arial"/>
          <w:sz w:val="20"/>
          <w:szCs w:val="20"/>
        </w:rPr>
        <w:t xml:space="preserve">ntermediates exhibiting intermediate values (Hedges’ g = 1.37; F(2,16) = 4.6, </w:t>
      </w:r>
      <w:r w:rsidR="00C223B0" w:rsidRPr="00C223B0">
        <w:rPr>
          <w:rFonts w:ascii="Arial" w:hAnsi="Arial" w:cs="Arial"/>
          <w:i/>
          <w:iCs/>
          <w:sz w:val="20"/>
          <w:szCs w:val="20"/>
        </w:rPr>
        <w:t>p</w:t>
      </w:r>
      <w:r w:rsidRPr="007A682B">
        <w:rPr>
          <w:rFonts w:ascii="Arial" w:hAnsi="Arial" w:cs="Arial"/>
          <w:sz w:val="20"/>
          <w:szCs w:val="20"/>
        </w:rPr>
        <w:t xml:space="preserve"> = 0.027; </w:t>
      </w:r>
      <w:r w:rsidRPr="007A682B">
        <w:rPr>
          <w:rFonts w:ascii="Arial" w:hAnsi="Arial" w:cs="Arial"/>
          <w:sz w:val="20"/>
          <w:szCs w:val="20"/>
          <w:highlight w:val="yellow"/>
        </w:rPr>
        <w:t>Fig. 6F</w:t>
      </w:r>
      <w:r w:rsidRPr="007A682B">
        <w:rPr>
          <w:rFonts w:ascii="Arial" w:hAnsi="Arial" w:cs="Arial"/>
          <w:sz w:val="20"/>
          <w:szCs w:val="20"/>
        </w:rPr>
        <w:t>). However, unlike ESR2B, accessibility of PGR-binding regions remained stable across sex change</w:t>
      </w:r>
      <w:r w:rsidR="00CB26A9" w:rsidRPr="007A682B">
        <w:rPr>
          <w:rFonts w:ascii="Arial" w:hAnsi="Arial" w:cs="Arial"/>
          <w:sz w:val="20"/>
          <w:szCs w:val="20"/>
        </w:rPr>
        <w:t xml:space="preserve"> (</w:t>
      </w:r>
      <w:r w:rsidR="00CB26A9" w:rsidRPr="007A682B">
        <w:rPr>
          <w:rFonts w:ascii="Arial" w:hAnsi="Arial" w:cs="Arial"/>
          <w:sz w:val="20"/>
          <w:szCs w:val="20"/>
          <w:highlight w:val="yellow"/>
        </w:rPr>
        <w:t xml:space="preserve">Fig. </w:t>
      </w:r>
      <w:r w:rsidR="004A27C9" w:rsidRPr="004A27C9">
        <w:rPr>
          <w:rFonts w:ascii="Arial" w:hAnsi="Arial" w:cs="Arial"/>
          <w:sz w:val="20"/>
          <w:szCs w:val="20"/>
          <w:highlight w:val="yellow"/>
        </w:rPr>
        <w:t>xx</w:t>
      </w:r>
      <w:r w:rsidR="00CB26A9" w:rsidRPr="007A682B">
        <w:rPr>
          <w:rFonts w:ascii="Arial" w:hAnsi="Arial" w:cs="Arial"/>
          <w:sz w:val="20"/>
          <w:szCs w:val="20"/>
        </w:rPr>
        <w:t>)</w:t>
      </w:r>
      <w:r w:rsidRPr="007A682B">
        <w:rPr>
          <w:rFonts w:ascii="Arial" w:hAnsi="Arial" w:cs="Arial"/>
          <w:sz w:val="20"/>
          <w:szCs w:val="20"/>
        </w:rPr>
        <w:t xml:space="preserve">. Together with the transient decrease in </w:t>
      </w:r>
      <w:r w:rsidRPr="007A682B">
        <w:rPr>
          <w:rFonts w:ascii="Arial" w:hAnsi="Arial" w:cs="Arial"/>
          <w:i/>
          <w:iCs/>
          <w:sz w:val="20"/>
          <w:szCs w:val="20"/>
        </w:rPr>
        <w:t xml:space="preserve">pgr </w:t>
      </w:r>
      <w:r w:rsidRPr="007A682B">
        <w:rPr>
          <w:rFonts w:ascii="Arial" w:hAnsi="Arial" w:cs="Arial"/>
          <w:sz w:val="20"/>
          <w:szCs w:val="20"/>
        </w:rPr>
        <w:t>expression, this suggests that increased PGR-associated transcription is not driven by increased receptor expression or chromatin accessibility and may instead reflect changes in ligand availability or receptor activity.</w:t>
      </w:r>
    </w:p>
    <w:p w14:paraId="70429241" w14:textId="77777777" w:rsidR="003A2C4D" w:rsidRPr="007A682B" w:rsidRDefault="003A2C4D" w:rsidP="004741B8">
      <w:pPr>
        <w:rPr>
          <w:rFonts w:ascii="Arial" w:hAnsi="Arial" w:cs="Arial"/>
          <w:sz w:val="20"/>
          <w:szCs w:val="20"/>
        </w:rPr>
      </w:pPr>
    </w:p>
    <w:p w14:paraId="50E8269C" w14:textId="418B54AA" w:rsidR="00DD445A" w:rsidRPr="007A682B" w:rsidRDefault="004816FA" w:rsidP="00753C87">
      <w:pPr>
        <w:rPr>
          <w:rFonts w:ascii="Arial" w:hAnsi="Arial" w:cs="Arial"/>
          <w:b/>
          <w:bCs/>
          <w:sz w:val="20"/>
          <w:szCs w:val="20"/>
        </w:rPr>
      </w:pPr>
      <w:r w:rsidRPr="007A682B">
        <w:rPr>
          <w:rFonts w:ascii="Arial" w:hAnsi="Arial" w:cs="Arial"/>
          <w:b/>
          <w:bCs/>
          <w:sz w:val="20"/>
          <w:szCs w:val="20"/>
        </w:rPr>
        <w:t>Discussion</w:t>
      </w:r>
    </w:p>
    <w:p w14:paraId="394354E6" w14:textId="6F073BDF" w:rsidR="00775FE7" w:rsidRDefault="0066495D" w:rsidP="00675A71">
      <w:pPr>
        <w:ind w:firstLine="720"/>
        <w:rPr>
          <w:rFonts w:ascii="Arial" w:hAnsi="Arial" w:cs="Arial"/>
          <w:sz w:val="20"/>
          <w:szCs w:val="20"/>
        </w:rPr>
      </w:pPr>
      <w:r w:rsidRPr="007A682B">
        <w:rPr>
          <w:rFonts w:ascii="Arial" w:hAnsi="Arial" w:cs="Arial"/>
          <w:sz w:val="20"/>
          <w:szCs w:val="20"/>
        </w:rPr>
        <w:t xml:space="preserve">Here, we combine single-nucleus multiomics with spatial transcriptomics, behavior, sex steroid hormone measures, and gonadal </w:t>
      </w:r>
      <w:r w:rsidR="005F3162" w:rsidRPr="007A682B">
        <w:rPr>
          <w:rFonts w:ascii="Arial" w:hAnsi="Arial" w:cs="Arial"/>
          <w:sz w:val="20"/>
          <w:szCs w:val="20"/>
        </w:rPr>
        <w:t xml:space="preserve">histology </w:t>
      </w:r>
      <w:r w:rsidRPr="007A682B">
        <w:rPr>
          <w:rFonts w:ascii="Arial" w:hAnsi="Arial" w:cs="Arial"/>
          <w:sz w:val="20"/>
          <w:szCs w:val="20"/>
        </w:rPr>
        <w:t>to document the neural substrates of protandrous sex change at the highest resolution to date. We show that sex change in the brain is an asynchronous process with some cell types changing sex early in the process prior to gonadal transformation, while others change sex later only after the gonads</w:t>
      </w:r>
      <w:r w:rsidR="00FA6478">
        <w:rPr>
          <w:rFonts w:ascii="Arial" w:hAnsi="Arial" w:cs="Arial"/>
          <w:sz w:val="20"/>
          <w:szCs w:val="20"/>
        </w:rPr>
        <w:t>, sex hormones and behavior</w:t>
      </w:r>
      <w:r w:rsidRPr="007A682B">
        <w:rPr>
          <w:rFonts w:ascii="Arial" w:hAnsi="Arial" w:cs="Arial"/>
          <w:sz w:val="20"/>
          <w:szCs w:val="20"/>
        </w:rPr>
        <w:t xml:space="preserve"> have changed. </w:t>
      </w:r>
      <w:r w:rsidR="00775FE7" w:rsidRPr="00775FE7">
        <w:rPr>
          <w:rFonts w:ascii="Arial" w:hAnsi="Arial" w:cs="Arial"/>
          <w:sz w:val="20"/>
          <w:szCs w:val="20"/>
        </w:rPr>
        <w:t xml:space="preserve">Our analyses identify RGCs and POA neurons as two populations undergoing particularly extensive remodeling. RGCs enter a distinct transitional state characterized by reduced brain aromatase expression and increased neurogenic signatures, while POA neurons exhibit changes associated with neurogenesis and </w:t>
      </w:r>
      <w:r w:rsidR="00775FE7">
        <w:rPr>
          <w:rFonts w:ascii="Arial" w:hAnsi="Arial" w:cs="Arial"/>
          <w:sz w:val="20"/>
          <w:szCs w:val="20"/>
        </w:rPr>
        <w:t xml:space="preserve">steroid </w:t>
      </w:r>
      <w:r w:rsidR="00775FE7" w:rsidRPr="00775FE7">
        <w:rPr>
          <w:rFonts w:ascii="Arial" w:hAnsi="Arial" w:cs="Arial"/>
          <w:sz w:val="20"/>
          <w:szCs w:val="20"/>
        </w:rPr>
        <w:t>regulation of reproductive physiology. Together, these findings provide a framework for understanding the cellular and molecular changes in the brain that accompany and potentially contribute to socially induced sex change.</w:t>
      </w:r>
    </w:p>
    <w:p w14:paraId="777E1294" w14:textId="19C41DF4" w:rsidR="0066495D" w:rsidRPr="007A682B" w:rsidRDefault="0066495D" w:rsidP="00675A71">
      <w:pPr>
        <w:ind w:firstLine="720"/>
        <w:rPr>
          <w:rFonts w:ascii="Arial" w:hAnsi="Arial" w:cs="Arial"/>
          <w:sz w:val="20"/>
          <w:szCs w:val="20"/>
        </w:rPr>
      </w:pPr>
      <w:r w:rsidRPr="007A682B">
        <w:rPr>
          <w:rFonts w:ascii="Arial" w:hAnsi="Arial" w:cs="Arial"/>
          <w:sz w:val="20"/>
          <w:szCs w:val="20"/>
        </w:rPr>
        <w:t xml:space="preserve">Among all cell populations, RGCs underwent the most extensive molecular remodeling during sex change </w:t>
      </w:r>
      <w:r w:rsidR="00662CDC">
        <w:rPr>
          <w:rFonts w:ascii="Arial" w:hAnsi="Arial" w:cs="Arial"/>
          <w:sz w:val="20"/>
          <w:szCs w:val="20"/>
        </w:rPr>
        <w:t>showing</w:t>
      </w:r>
      <w:r w:rsidRPr="007A682B">
        <w:rPr>
          <w:rFonts w:ascii="Arial" w:hAnsi="Arial" w:cs="Arial"/>
          <w:sz w:val="20"/>
          <w:szCs w:val="20"/>
        </w:rPr>
        <w:t xml:space="preserve"> the second-highest number of DEGs and the highest number of DARs. Rather than maintaining a male-like state until late in sex change or adopting a female-like state early in sex change, our data indicate that RGCs enter a distinct transitional molecular state in intermediates and are some of the last cells to complete feminization. </w:t>
      </w:r>
      <w:r w:rsidR="00775FE7" w:rsidRPr="00775FE7">
        <w:rPr>
          <w:rFonts w:ascii="Arial" w:hAnsi="Arial" w:cs="Arial"/>
          <w:sz w:val="20"/>
          <w:szCs w:val="20"/>
        </w:rPr>
        <w:t xml:space="preserve">Intriguingly, this transitional RGC state is characterized by reduced </w:t>
      </w:r>
      <w:r w:rsidR="00775FE7" w:rsidRPr="00775FE7">
        <w:rPr>
          <w:rFonts w:ascii="Arial" w:hAnsi="Arial" w:cs="Arial"/>
          <w:i/>
          <w:iCs/>
          <w:sz w:val="20"/>
          <w:szCs w:val="20"/>
        </w:rPr>
        <w:t>cyp19a1b</w:t>
      </w:r>
      <w:r w:rsidR="00775FE7" w:rsidRPr="00775FE7">
        <w:rPr>
          <w:rFonts w:ascii="Arial" w:hAnsi="Arial" w:cs="Arial"/>
          <w:sz w:val="20"/>
          <w:szCs w:val="20"/>
        </w:rPr>
        <w:t xml:space="preserve"> expression and elevated neurogenic TFs. Our GRN analysis identified </w:t>
      </w:r>
      <w:r w:rsidR="00775FE7" w:rsidRPr="00775FE7">
        <w:rPr>
          <w:rFonts w:ascii="Arial" w:hAnsi="Arial" w:cs="Arial"/>
          <w:i/>
          <w:iCs/>
          <w:sz w:val="20"/>
          <w:szCs w:val="20"/>
        </w:rPr>
        <w:t>uncx</w:t>
      </w:r>
      <w:r w:rsidR="00775FE7" w:rsidRPr="00775FE7">
        <w:rPr>
          <w:rFonts w:ascii="Arial" w:hAnsi="Arial" w:cs="Arial"/>
          <w:sz w:val="20"/>
          <w:szCs w:val="20"/>
        </w:rPr>
        <w:t xml:space="preserve"> as negatively associated with </w:t>
      </w:r>
      <w:r w:rsidR="00775FE7" w:rsidRPr="00775FE7">
        <w:rPr>
          <w:rFonts w:ascii="Arial" w:hAnsi="Arial" w:cs="Arial"/>
          <w:i/>
          <w:iCs/>
          <w:sz w:val="20"/>
          <w:szCs w:val="20"/>
        </w:rPr>
        <w:t>cyp19a1b</w:t>
      </w:r>
      <w:r w:rsidR="00775FE7" w:rsidRPr="00775FE7">
        <w:rPr>
          <w:rFonts w:ascii="Arial" w:hAnsi="Arial" w:cs="Arial"/>
          <w:sz w:val="20"/>
          <w:szCs w:val="20"/>
        </w:rPr>
        <w:t xml:space="preserve"> and positively associated with the neurogenic hub </w:t>
      </w:r>
      <w:r w:rsidR="00775FE7" w:rsidRPr="00775FE7">
        <w:rPr>
          <w:rFonts w:ascii="Arial" w:hAnsi="Arial" w:cs="Arial"/>
          <w:i/>
          <w:iCs/>
          <w:sz w:val="20"/>
          <w:szCs w:val="20"/>
        </w:rPr>
        <w:t>gli1</w:t>
      </w:r>
      <w:r w:rsidR="00775FE7" w:rsidRPr="00775FE7">
        <w:rPr>
          <w:rFonts w:ascii="Arial" w:hAnsi="Arial" w:cs="Arial"/>
          <w:sz w:val="20"/>
          <w:szCs w:val="20"/>
        </w:rPr>
        <w:t>, suggesting a potential regulatory link between reduced aromatase expression and increased neurogenic activity during sex change.</w:t>
      </w:r>
      <w:r w:rsidR="00775FE7">
        <w:rPr>
          <w:rFonts w:ascii="Arial" w:hAnsi="Arial" w:cs="Arial"/>
          <w:sz w:val="20"/>
          <w:szCs w:val="20"/>
        </w:rPr>
        <w:t xml:space="preserve"> </w:t>
      </w:r>
      <w:commentRangeStart w:id="18"/>
      <w:r w:rsidRPr="007A682B">
        <w:rPr>
          <w:rFonts w:ascii="Arial" w:hAnsi="Arial" w:cs="Arial"/>
          <w:sz w:val="20"/>
          <w:szCs w:val="20"/>
        </w:rPr>
        <w:t xml:space="preserve">Previous whole-brain </w:t>
      </w:r>
      <w:commentRangeEnd w:id="18"/>
      <w:r w:rsidR="008C795A" w:rsidRPr="007A682B">
        <w:rPr>
          <w:rStyle w:val="CommentReference"/>
          <w:rFonts w:ascii="Arial" w:hAnsi="Arial" w:cs="Arial"/>
          <w:sz w:val="20"/>
          <w:szCs w:val="20"/>
        </w:rPr>
        <w:commentReference w:id="18"/>
      </w:r>
      <w:r w:rsidRPr="007A682B">
        <w:rPr>
          <w:rFonts w:ascii="Arial" w:hAnsi="Arial" w:cs="Arial"/>
          <w:sz w:val="20"/>
          <w:szCs w:val="20"/>
        </w:rPr>
        <w:t xml:space="preserve">transcriptomic analyses reported progressive increases in brain aromatase expression during protandrous sex change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{"citationID":"HoyvJA2h","properties":{"unsorted":false,"formattedCitation":"(48)","plainCitation":"(48)","noteIndex":0},"citationItems":[{"id":518,"uris":["http://zotero.org/users/11313215/items/BJWDPF4G"],"itemData":{"id":518,"type":"article-journal","abstract":"Sequential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Pr="007A682B">
        <w:rPr>
          <w:rFonts w:ascii="Arial" w:hAnsi="Arial" w:cs="Arial"/>
          <w:sz w:val="20"/>
          <w:szCs w:val="20"/>
        </w:rPr>
        <w:fldChar w:fldCharType="separate"/>
      </w:r>
      <w:r w:rsidR="00304DDF">
        <w:rPr>
          <w:rFonts w:ascii="Arial" w:hAnsi="Arial" w:cs="Arial"/>
          <w:noProof/>
          <w:sz w:val="20"/>
          <w:szCs w:val="20"/>
        </w:rPr>
        <w:t>(48)</w:t>
      </w:r>
      <w:r w:rsidRPr="007A682B">
        <w:rPr>
          <w:rFonts w:ascii="Arial" w:hAnsi="Arial" w:cs="Arial"/>
          <w:sz w:val="20"/>
          <w:szCs w:val="20"/>
        </w:rPr>
        <w:fldChar w:fldCharType="end"/>
      </w:r>
      <w:r w:rsidRPr="007A682B">
        <w:rPr>
          <w:rFonts w:ascii="Arial" w:hAnsi="Arial" w:cs="Arial"/>
          <w:sz w:val="20"/>
          <w:szCs w:val="20"/>
        </w:rPr>
        <w:t xml:space="preserve">. </w:t>
      </w:r>
      <w:r w:rsidR="009112E5" w:rsidRPr="007A682B">
        <w:rPr>
          <w:rFonts w:ascii="Arial" w:hAnsi="Arial" w:cs="Arial"/>
          <w:sz w:val="20"/>
          <w:szCs w:val="20"/>
        </w:rPr>
        <w:t>This</w:t>
      </w:r>
      <w:r w:rsidRPr="007A682B">
        <w:rPr>
          <w:rFonts w:ascii="Arial" w:hAnsi="Arial" w:cs="Arial"/>
          <w:sz w:val="20"/>
          <w:szCs w:val="20"/>
        </w:rPr>
        <w:t xml:space="preserve"> apparent discrepancy may reflect regional specialization that becomes obscured in bulk tissue analyses, differences in sampling stage, or species-specific differences between </w:t>
      </w:r>
      <w:r w:rsidRPr="007A682B">
        <w:rPr>
          <w:rFonts w:ascii="Arial" w:hAnsi="Arial" w:cs="Arial"/>
          <w:i/>
          <w:iCs/>
          <w:sz w:val="20"/>
          <w:szCs w:val="20"/>
        </w:rPr>
        <w:t>A. ocellaris</w:t>
      </w:r>
      <w:r w:rsidRPr="007A682B">
        <w:rPr>
          <w:rFonts w:ascii="Arial" w:hAnsi="Arial" w:cs="Arial"/>
          <w:sz w:val="20"/>
          <w:szCs w:val="20"/>
        </w:rPr>
        <w:t xml:space="preserve"> and </w:t>
      </w:r>
      <w:r w:rsidRPr="007A682B">
        <w:rPr>
          <w:rFonts w:ascii="Arial" w:hAnsi="Arial" w:cs="Arial"/>
          <w:i/>
          <w:iCs/>
          <w:sz w:val="20"/>
          <w:szCs w:val="20"/>
        </w:rPr>
        <w:t>A. bicinctus</w:t>
      </w:r>
      <w:r w:rsidRPr="007A682B">
        <w:rPr>
          <w:rFonts w:ascii="Arial" w:hAnsi="Arial" w:cs="Arial"/>
          <w:sz w:val="20"/>
          <w:szCs w:val="20"/>
        </w:rPr>
        <w:t>.</w:t>
      </w:r>
    </w:p>
    <w:p w14:paraId="1B0A5EBC" w14:textId="1BA9EF7F" w:rsidR="00505BEB" w:rsidRDefault="00505BEB" w:rsidP="00310DC3">
      <w:pPr>
        <w:ind w:firstLine="720"/>
        <w:rPr>
          <w:rFonts w:ascii="Arial" w:hAnsi="Arial" w:cs="Arial"/>
          <w:sz w:val="20"/>
          <w:szCs w:val="20"/>
        </w:rPr>
      </w:pPr>
      <w:commentRangeStart w:id="19"/>
      <w:r w:rsidRPr="00505BEB">
        <w:rPr>
          <w:rFonts w:ascii="Arial" w:hAnsi="Arial" w:cs="Arial"/>
          <w:sz w:val="20"/>
          <w:szCs w:val="20"/>
        </w:rPr>
        <w:t xml:space="preserve">In contrast to the neurogenic remodeling observed in RGCs, our analysis of POA neurons </w:t>
      </w:r>
      <w:commentRangeEnd w:id="19"/>
      <w:r w:rsidR="008C795A" w:rsidRPr="00505BEB">
        <w:rPr>
          <w:rStyle w:val="CommentReference"/>
          <w:rFonts w:ascii="Arial" w:hAnsi="Arial" w:cs="Arial"/>
          <w:sz w:val="20"/>
          <w:szCs w:val="20"/>
        </w:rPr>
        <w:commentReference w:id="19"/>
      </w:r>
      <w:r w:rsidRPr="00505BEB">
        <w:rPr>
          <w:rFonts w:ascii="Arial" w:hAnsi="Arial" w:cs="Arial"/>
          <w:sz w:val="20"/>
          <w:szCs w:val="20"/>
        </w:rPr>
        <w:t>highlighted the potential importance of steroid hormone receptors in regulating neuronal excitability and synaptic plasticity. The distinct patterns of ESR2B-, AR-, and PGR-associated transcription suggest that steroid-responsive gene expression is regulated through multiple mechanisms, potentially involving chromatin accessibility, local hormone availability, and receptor activity. Importantly, these findings suggest that steroid-responsive transcription in the POA does not simply reflect circulating hormone concentrations but is regulated in a receptor-specific manner during sex change. Such regulation may contribute to the remodeling of reproductive circuits as the female phenotype emerges.</w:t>
      </w:r>
    </w:p>
    <w:p w14:paraId="26ED6993" w14:textId="72AB75ED" w:rsidR="004C0ACC" w:rsidRDefault="004C0ACC" w:rsidP="00310DC3">
      <w:pPr>
        <w:ind w:firstLine="720"/>
        <w:rPr>
          <w:rFonts w:ascii="Arial" w:hAnsi="Arial" w:cs="Arial"/>
          <w:sz w:val="20"/>
          <w:szCs w:val="20"/>
        </w:rPr>
      </w:pPr>
      <w:r w:rsidRPr="004C0ACC">
        <w:rPr>
          <w:rFonts w:ascii="Arial" w:hAnsi="Arial" w:cs="Arial"/>
          <w:sz w:val="20"/>
          <w:szCs w:val="20"/>
        </w:rPr>
        <w:t xml:space="preserve">One of the most </w:t>
      </w:r>
      <w:commentRangeStart w:id="20"/>
      <w:r w:rsidRPr="004C0ACC">
        <w:rPr>
          <w:rFonts w:ascii="Arial" w:hAnsi="Arial" w:cs="Arial"/>
          <w:sz w:val="20"/>
          <w:szCs w:val="20"/>
        </w:rPr>
        <w:t xml:space="preserve">exciting </w:t>
      </w:r>
      <w:commentRangeEnd w:id="20"/>
      <w:r w:rsidR="008C795A" w:rsidRPr="004C0ACC">
        <w:rPr>
          <w:rStyle w:val="CommentReference"/>
          <w:rFonts w:ascii="Arial" w:hAnsi="Arial" w:cs="Arial"/>
          <w:sz w:val="20"/>
          <w:szCs w:val="20"/>
        </w:rPr>
        <w:commentReference w:id="20"/>
      </w:r>
      <w:r w:rsidRPr="004C0ACC">
        <w:rPr>
          <w:rFonts w:ascii="Arial" w:hAnsi="Arial" w:cs="Arial"/>
          <w:sz w:val="20"/>
          <w:szCs w:val="20"/>
        </w:rPr>
        <w:t xml:space="preserve">findings of this study is the identification of </w:t>
      </w:r>
      <w:r w:rsidRPr="0001401D">
        <w:rPr>
          <w:rFonts w:ascii="Arial" w:hAnsi="Arial" w:cs="Arial"/>
          <w:i/>
          <w:iCs/>
          <w:sz w:val="20"/>
          <w:szCs w:val="20"/>
        </w:rPr>
        <w:t>cckb</w:t>
      </w:r>
      <w:r w:rsidRPr="004C0ACC">
        <w:rPr>
          <w:rFonts w:ascii="Arial" w:hAnsi="Arial" w:cs="Arial"/>
          <w:sz w:val="20"/>
          <w:szCs w:val="20"/>
        </w:rPr>
        <w:t xml:space="preserve">+ neurons as a candidate population of newly generated neurons in the POA during sex change. Our previous work demonstrated increased neurogenesis in the POA during protandrous sex change, but the identity and potential function of these new neurons remained unknown </w:t>
      </w:r>
      <w:r w:rsidRPr="007A682B">
        <w:rPr>
          <w:rFonts w:ascii="Arial" w:hAnsi="Arial" w:cs="Arial"/>
          <w:sz w:val="20"/>
          <w:szCs w:val="20"/>
        </w:rPr>
        <w:fldChar w:fldCharType="begin"/>
      </w:r>
      <w:r w:rsidRPr="007A682B">
        <w:rPr>
          <w:rFonts w:ascii="Arial" w:hAnsi="Arial" w:cs="Arial"/>
          <w:sz w:val="20"/>
          <w:szCs w:val="20"/>
        </w:rPr>
        <w:instrText xml:space="preserve"> ADDIN ZOTERO_ITEM CSL_CITATION {"citationID":"bEuIBiZm","properties":{"unsorted":false,"formattedCitation":"(6)","plainCitation":"(6)","noteIndex":0},"citationItems":[{"id":16,"uris":["http://zotero.org/users/11313215/items/VGA9PBJ3"],"itemData":{"id":16,"type":"article-journal","abstract":"Sex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noProof/>
          <w:sz w:val="20"/>
          <w:szCs w:val="20"/>
        </w:rPr>
        <w:t>(6)</w:t>
      </w:r>
      <w:r w:rsidRPr="007A682B">
        <w:rPr>
          <w:rFonts w:ascii="Arial" w:hAnsi="Arial" w:cs="Arial"/>
          <w:sz w:val="20"/>
          <w:szCs w:val="20"/>
        </w:rPr>
        <w:fldChar w:fldCharType="end"/>
      </w:r>
      <w:r w:rsidRPr="004C0ACC">
        <w:rPr>
          <w:rFonts w:ascii="Arial" w:hAnsi="Arial" w:cs="Arial"/>
          <w:sz w:val="20"/>
          <w:szCs w:val="20"/>
        </w:rPr>
        <w:t xml:space="preserve">. Here, we found that the relative abundance of </w:t>
      </w:r>
      <w:r w:rsidRPr="004C0ACC">
        <w:rPr>
          <w:rFonts w:ascii="Arial" w:hAnsi="Arial" w:cs="Arial"/>
          <w:i/>
          <w:iCs/>
          <w:sz w:val="20"/>
          <w:szCs w:val="20"/>
        </w:rPr>
        <w:t>cckb</w:t>
      </w:r>
      <w:r w:rsidRPr="004C0ACC">
        <w:rPr>
          <w:rFonts w:ascii="Arial" w:hAnsi="Arial" w:cs="Arial"/>
          <w:sz w:val="20"/>
          <w:szCs w:val="20"/>
        </w:rPr>
        <w:t xml:space="preserve">+ neurons increased during sex change and that these neurons exhibited lower inferred maturity in Intermediates than in Females, consistent with the incorporation and subsequent maturation of newly generated neurons. This finding is particularly intriguing given recent evidence in zebrafish that cholecystokinin signaling regulates pituitary FSH release and is necessary for normal ovarian development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{"citationID":"FyKyoLIK","properties":{"unsorted":false,"formattedCitation":"(38)","plainCitation":"(38)","noteIndex":0},"citationItems":[{"id":2344,"uris":["http://zotero.org/users/11313215/items/AJL2IH3T"],"itemData":{"id":2344,"type":"article-journal","abstract":"Life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instrText>
      </w:r>
      <w:r w:rsidRPr="007A682B">
        <w:rPr>
          <w:rFonts w:ascii="Arial" w:hAnsi="Arial" w:cs="Arial"/>
          <w:sz w:val="20"/>
          <w:szCs w:val="20"/>
        </w:rPr>
        <w:fldChar w:fldCharType="separate"/>
      </w:r>
      <w:r w:rsidR="00304DDF">
        <w:rPr>
          <w:rFonts w:ascii="Arial" w:hAnsi="Arial" w:cs="Arial"/>
          <w:noProof/>
          <w:sz w:val="20"/>
          <w:szCs w:val="20"/>
        </w:rPr>
        <w:t>(38)</w:t>
      </w:r>
      <w:r w:rsidRPr="007A682B">
        <w:rPr>
          <w:rFonts w:ascii="Arial" w:hAnsi="Arial" w:cs="Arial"/>
          <w:sz w:val="20"/>
          <w:szCs w:val="20"/>
        </w:rPr>
        <w:fldChar w:fldCharType="end"/>
      </w:r>
      <w:r w:rsidRPr="004C0ACC">
        <w:rPr>
          <w:rFonts w:ascii="Arial" w:hAnsi="Arial" w:cs="Arial"/>
          <w:sz w:val="20"/>
          <w:szCs w:val="20"/>
        </w:rPr>
        <w:t>. Together with the shift in RGC populations from neural stem cells toward neural progenitors during the Intermediate phase, these findings suggest a potential RGC–POA neurogenic pathway through which the adult brain may remodel neuroendocrine circuits involved in ovarian development during sex change.</w:t>
      </w:r>
    </w:p>
    <w:p w14:paraId="2159C7D4" w14:textId="394CFE1D" w:rsidR="00C67500" w:rsidRPr="00C67500" w:rsidRDefault="00C67500" w:rsidP="00C67500">
      <w:pPr>
        <w:ind w:firstLine="720"/>
        <w:rPr>
          <w:rFonts w:ascii="Arial" w:hAnsi="Arial" w:cs="Arial"/>
          <w:sz w:val="20"/>
          <w:szCs w:val="20"/>
        </w:rPr>
      </w:pPr>
      <w:r w:rsidRPr="00C67500">
        <w:rPr>
          <w:rFonts w:ascii="Arial" w:hAnsi="Arial" w:cs="Arial"/>
          <w:sz w:val="20"/>
          <w:szCs w:val="20"/>
        </w:rPr>
        <w:t xml:space="preserve">The potential role of newly generated </w:t>
      </w:r>
      <w:r w:rsidRPr="0001401D">
        <w:rPr>
          <w:rFonts w:ascii="Arial" w:hAnsi="Arial" w:cs="Arial"/>
          <w:i/>
          <w:iCs/>
          <w:sz w:val="20"/>
          <w:szCs w:val="20"/>
        </w:rPr>
        <w:t>cckb</w:t>
      </w:r>
      <w:r w:rsidRPr="00C67500">
        <w:rPr>
          <w:rFonts w:ascii="Arial" w:hAnsi="Arial" w:cs="Arial"/>
          <w:sz w:val="20"/>
          <w:szCs w:val="20"/>
        </w:rPr>
        <w:t xml:space="preserve">+ neurons in promoting ovarian development </w:t>
      </w:r>
      <w:commentRangeStart w:id="21"/>
      <w:r w:rsidRPr="00C67500">
        <w:rPr>
          <w:rFonts w:ascii="Arial" w:hAnsi="Arial" w:cs="Arial"/>
          <w:sz w:val="20"/>
          <w:szCs w:val="20"/>
        </w:rPr>
        <w:t>raises the broader possibility</w:t>
      </w:r>
      <w:commentRangeEnd w:id="21"/>
      <w:r w:rsidR="00455420" w:rsidRPr="00C67500">
        <w:rPr>
          <w:rStyle w:val="CommentReference"/>
          <w:rFonts w:ascii="Arial" w:hAnsi="Arial" w:cs="Arial"/>
          <w:sz w:val="20"/>
          <w:szCs w:val="20"/>
        </w:rPr>
        <w:commentReference w:id="21"/>
      </w:r>
      <w:r w:rsidRPr="00C67500">
        <w:rPr>
          <w:rFonts w:ascii="Arial" w:hAnsi="Arial" w:cs="Arial"/>
          <w:sz w:val="20"/>
          <w:szCs w:val="20"/>
        </w:rPr>
        <w:t xml:space="preserve"> that sex change involves a reorganization of POA circuits controlling pituitary gonadotropin release. In particular, changes in neuropeptide and dopamine receptor signaling may shift the balance between LH and FSH, favoring the transition from testicular to ovarian function. In teleosts, neuropeptide Y (NPY), neurokinin B, and neuromedin B have been implicated in stimulating LH release, although their effects vary among species, whereas dopamine generally inhibits LH release</w:t>
      </w:r>
      <w:r w:rsidR="00455420">
        <w:rPr>
          <w:rFonts w:ascii="Arial" w:hAnsi="Arial" w:cs="Arial"/>
          <w:i/>
          <w:iCs/>
          <w:sz w:val="20"/>
          <w:szCs w:val="20"/>
        </w:rPr>
        <w:t xml:space="preserve">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{"citationID":"k7pTLaca","properties":{"unsorted":false,"formattedCitation":"(35\\uc0\\u8211{}37, 47, 49)","plainCitation":"(35–37, 47, 49)","noteIndex":0},"citationItems":[{"id":6357,"uris":["http://zotero.org/users/11313215/items/PS74WG8G"],"itemData":{"id":6357,"type":"article-journal","abstract":"From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304DDF">
        <w:rPr>
          <w:rFonts w:ascii="Cambria Math" w:hAnsi="Cambria Math" w:cs="Cambria Math"/>
          <w:sz w:val="20"/>
          <w:szCs w:val="20"/>
        </w:rPr>
        <w:instrText>∼</w:instrText>
      </w:r>
      <w:r w:rsidR="00304DDF">
        <w:rPr>
          <w:rFonts w:ascii="Arial" w:hAnsi="Arial" w:cs="Arial"/>
          <w:sz w:val="20"/>
          <w:szCs w:val="20"/>
        </w:rPr>
        <w:instrText xml:space="preserve">20 stimulatory and </w:instrText>
      </w:r>
      <w:r w:rsidR="00304DDF">
        <w:rPr>
          <w:rFonts w:ascii="Cambria Math" w:hAnsi="Cambria Math" w:cs="Cambria Math"/>
          <w:sz w:val="20"/>
          <w:szCs w:val="20"/>
        </w:rPr>
        <w:instrText>∼</w:instrText>
      </w:r>
      <w:r w:rsidR="00304DDF">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S."},{"family":"Levavi-Sivan","given":"Berta"}],"issued":{"date-parts":[["2019",7,12]]}}}],"schema":"https://github.com/citation-style-language/schema/raw/master/csl-citation.json"} </w:instrText>
      </w:r>
      <w:r w:rsidR="0001401D" w:rsidRPr="007A682B">
        <w:rPr>
          <w:rFonts w:ascii="Arial" w:hAnsi="Arial" w:cs="Arial"/>
          <w:sz w:val="20"/>
          <w:szCs w:val="20"/>
        </w:rPr>
        <w:fldChar w:fldCharType="separate"/>
      </w:r>
      <w:r w:rsidR="00304DDF" w:rsidRPr="00304DDF">
        <w:rPr>
          <w:rFonts w:ascii="Arial" w:hAnsi="Arial" w:cs="Arial"/>
          <w:color w:val="000000"/>
          <w:kern w:val="0"/>
          <w:sz w:val="20"/>
          <w:szCs w:val="24"/>
        </w:rPr>
        <w:t xml:space="preserve">(35–37, 47, </w:t>
      </w:r>
      <w:r w:rsidR="00304DDF" w:rsidRPr="00304DDF">
        <w:rPr>
          <w:rFonts w:ascii="Arial" w:hAnsi="Arial" w:cs="Arial"/>
          <w:color w:val="000000"/>
          <w:kern w:val="0"/>
          <w:sz w:val="20"/>
          <w:szCs w:val="24"/>
        </w:rPr>
        <w:lastRenderedPageBreak/>
        <w:t>49)</w:t>
      </w:r>
      <w:r w:rsidR="0001401D" w:rsidRPr="007A682B">
        <w:rPr>
          <w:rFonts w:ascii="Arial" w:hAnsi="Arial" w:cs="Arial"/>
          <w:sz w:val="20"/>
          <w:szCs w:val="20"/>
        </w:rPr>
        <w:fldChar w:fldCharType="end"/>
      </w:r>
      <w:r w:rsidRPr="00C67500">
        <w:rPr>
          <w:rFonts w:ascii="Arial" w:hAnsi="Arial" w:cs="Arial"/>
          <w:sz w:val="20"/>
          <w:szCs w:val="20"/>
        </w:rPr>
        <w:t xml:space="preserve">. The changes observed in </w:t>
      </w:r>
      <w:r w:rsidRPr="0001401D">
        <w:rPr>
          <w:rFonts w:ascii="Arial" w:hAnsi="Arial" w:cs="Arial"/>
          <w:i/>
          <w:iCs/>
          <w:sz w:val="20"/>
          <w:szCs w:val="20"/>
        </w:rPr>
        <w:t>npy7r</w:t>
      </w:r>
      <w:r w:rsidRPr="00C67500">
        <w:rPr>
          <w:rFonts w:ascii="Arial" w:hAnsi="Arial" w:cs="Arial"/>
          <w:sz w:val="20"/>
          <w:szCs w:val="20"/>
        </w:rPr>
        <w:t xml:space="preserve">, </w:t>
      </w:r>
      <w:r w:rsidRPr="0001401D">
        <w:rPr>
          <w:rFonts w:ascii="Arial" w:hAnsi="Arial" w:cs="Arial"/>
          <w:i/>
          <w:iCs/>
          <w:sz w:val="20"/>
          <w:szCs w:val="20"/>
        </w:rPr>
        <w:t>nmbr</w:t>
      </w:r>
      <w:r w:rsidRPr="00C67500">
        <w:rPr>
          <w:rFonts w:ascii="Arial" w:hAnsi="Arial" w:cs="Arial"/>
          <w:sz w:val="20"/>
          <w:szCs w:val="20"/>
        </w:rPr>
        <w:t xml:space="preserve">, </w:t>
      </w:r>
      <w:r w:rsidRPr="0001401D">
        <w:rPr>
          <w:rFonts w:ascii="Arial" w:hAnsi="Arial" w:cs="Arial"/>
          <w:i/>
          <w:iCs/>
          <w:sz w:val="20"/>
          <w:szCs w:val="20"/>
        </w:rPr>
        <w:t>tacr3a</w:t>
      </w:r>
      <w:r w:rsidRPr="00C67500">
        <w:rPr>
          <w:rFonts w:ascii="Arial" w:hAnsi="Arial" w:cs="Arial"/>
          <w:sz w:val="20"/>
          <w:szCs w:val="20"/>
        </w:rPr>
        <w:t xml:space="preserve">, and </w:t>
      </w:r>
      <w:r w:rsidRPr="0001401D">
        <w:rPr>
          <w:rFonts w:ascii="Arial" w:hAnsi="Arial" w:cs="Arial"/>
          <w:i/>
          <w:iCs/>
          <w:sz w:val="20"/>
          <w:szCs w:val="20"/>
        </w:rPr>
        <w:t>drd3</w:t>
      </w:r>
      <w:r w:rsidRPr="00C67500">
        <w:rPr>
          <w:rFonts w:ascii="Arial" w:hAnsi="Arial" w:cs="Arial"/>
          <w:sz w:val="20"/>
          <w:szCs w:val="20"/>
        </w:rPr>
        <w:t xml:space="preserve"> suggest </w:t>
      </w:r>
      <w:commentRangeStart w:id="22"/>
      <w:r w:rsidRPr="00C67500">
        <w:rPr>
          <w:rFonts w:ascii="Arial" w:hAnsi="Arial" w:cs="Arial"/>
          <w:sz w:val="20"/>
          <w:szCs w:val="20"/>
        </w:rPr>
        <w:t>that these regulatory pathways are reorganized during sex change, potentially contributing to reduced LH signaling.</w:t>
      </w:r>
      <w:commentRangeEnd w:id="22"/>
      <w:r w:rsidR="00455420" w:rsidRPr="00C67500">
        <w:rPr>
          <w:rStyle w:val="CommentReference"/>
          <w:rFonts w:ascii="Arial" w:hAnsi="Arial" w:cs="Arial"/>
          <w:sz w:val="20"/>
          <w:szCs w:val="20"/>
        </w:rPr>
        <w:commentReference w:id="22"/>
      </w:r>
    </w:p>
    <w:p w14:paraId="05516102" w14:textId="3B1ADAAA" w:rsidR="00C67500" w:rsidRPr="00C67500" w:rsidRDefault="00C67500" w:rsidP="00C67500">
      <w:pPr>
        <w:ind w:firstLine="720"/>
        <w:rPr>
          <w:rFonts w:ascii="Arial" w:hAnsi="Arial" w:cs="Arial"/>
          <w:sz w:val="20"/>
          <w:szCs w:val="20"/>
        </w:rPr>
      </w:pPr>
      <w:r w:rsidRPr="00C67500">
        <w:rPr>
          <w:rFonts w:ascii="Arial" w:hAnsi="Arial" w:cs="Arial"/>
          <w:sz w:val="20"/>
          <w:szCs w:val="20"/>
        </w:rPr>
        <w:t>Our hypothesis that POA remodeling shifts gonadotropin signaling toward reduced LH and increased FSH is consistent with findings from other teleosts. In the protogynous tiger grouper (</w:t>
      </w:r>
      <w:r w:rsidRPr="0001401D">
        <w:rPr>
          <w:rFonts w:ascii="Arial" w:hAnsi="Arial" w:cs="Arial"/>
          <w:i/>
          <w:iCs/>
          <w:sz w:val="20"/>
          <w:szCs w:val="20"/>
        </w:rPr>
        <w:t>Mycteroperca tigris</w:t>
      </w:r>
      <w:r w:rsidRPr="00C67500">
        <w:rPr>
          <w:rFonts w:ascii="Arial" w:hAnsi="Arial" w:cs="Arial"/>
          <w:sz w:val="20"/>
          <w:szCs w:val="20"/>
        </w:rPr>
        <w:t xml:space="preserve">), FSH administration induces ovarian development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{"citationID":"8Pqqzngs","properties":{"unsorted":false,"formattedCitation":"(50)","plainCitation":"(50)","noteIndex":0},"citationItems":[{"id":6650,"uris":["http://zotero.org/users/11313215/items/9PYLHCVC"],"itemData":{"id":6650,"type":"article-journal","abstract":"The availability of sexually mature fish often dictates the success of its captive breeding. In this study, we induced reproductive development in juvenile protogynous tiger grouper through oral administration of a plasmid (p) containing an engineered follicle-stimulating hormone (FSH). An expression construct (pcDNA3.1) was designed to express a single-chain FSH consisting of giant grouper FSH β-subunit and glycoprotein subunit-α (CGα), linked by the carboxy-terminal peptide (CTP) sequence from the human chorionic gonadotropin (hCG). Single oral delivery of pFSH encapsulated in liposome and chitosan to tiger grouper yielded a significant increase in plasma FSH protein level after 4 days. Weekly pFSH feeding of juvenile tiger groupers for 8 weeks stimulated ovarian development as indicated by a significant increase in oocyte diameter and progression of oocytes to cortical alveolar stage. As the pFSH treatment progressed from 20 to 38 weeks, female to male sex change was initiated, characterized by oocyte regression, proliferation of spermatogonial cells, and occurrence of spermatogenic cysts. It was also associated with significantly lower mRNA expression of steroidogenic genes (cyp11b, cyp19a1a, and foxl2) and basal plasma levels of sex steroid hormones 17β-estradiol (E2), testosterone (T), and 11-ketotestosterone (11KT). Results suggest that pFSH stimulates ovarian development up to cortical alveolar stage and then initiates sex change in tiger grouper. These findings significantly contribute to our knowledge on the role of FSH in the development of protogynous hermaphroditic fish. This study is the first to demonstrate induction of reproductive development in fish through oral delivery of plasmid gonadotropin.","container-title":"Marine Biotechnology","DOI":"10.1007/s10126-019-09914-w","ISSN":"1436-2236","issue":"5","journalAbbreviation":"Mar Biotechnol","language":"en","page":"697-706","source":"Springer Link","title":"Induction of Gonadal Development in Protogynous Grouper with Orally Delivered FSH DNA","volume":"21","author":[{"family":"Palma","given":"Peter"},{"family":"Nocillado","given":"Josephine"},{"family":"Superio","given":"Joshua"},{"family":"Jesus-Ayson","given":"Evelyn Grace","non-dropping-particle":"de"},{"family":"Ayson","given":"Felix"},{"family":"Takemura","given":"Akihiro"},{"family":"Lu","given":"Ming Wei"},{"family":"Elizur","given":"Abigail"}],"issued":{"date-parts":[["2019",10,1]]}}}],"schema":"https://github.com/citation-style-language/schema/raw/master/csl-citation.json"} </w:instrText>
      </w:r>
      <w:r w:rsidR="0001401D" w:rsidRPr="007A682B">
        <w:rPr>
          <w:rFonts w:ascii="Arial" w:hAnsi="Arial" w:cs="Arial"/>
          <w:sz w:val="20"/>
          <w:szCs w:val="20"/>
        </w:rPr>
        <w:fldChar w:fldCharType="separate"/>
      </w:r>
      <w:r w:rsidR="00304DDF">
        <w:rPr>
          <w:rFonts w:ascii="Arial" w:hAnsi="Arial" w:cs="Arial"/>
          <w:noProof/>
          <w:sz w:val="20"/>
          <w:szCs w:val="20"/>
        </w:rPr>
        <w:t>(50)</w:t>
      </w:r>
      <w:r w:rsidR="0001401D" w:rsidRPr="007A682B">
        <w:rPr>
          <w:rFonts w:ascii="Arial" w:hAnsi="Arial" w:cs="Arial"/>
          <w:sz w:val="20"/>
          <w:szCs w:val="20"/>
        </w:rPr>
        <w:fldChar w:fldCharType="end"/>
      </w:r>
      <w:r w:rsidRPr="00C67500">
        <w:rPr>
          <w:rFonts w:ascii="Arial" w:hAnsi="Arial" w:cs="Arial"/>
          <w:sz w:val="20"/>
          <w:szCs w:val="20"/>
        </w:rPr>
        <w:t>. Similarly, loss of FSH receptor signaling in zebrafish and medaka (</w:t>
      </w:r>
      <w:r w:rsidRPr="0001401D">
        <w:rPr>
          <w:rFonts w:ascii="Arial" w:hAnsi="Arial" w:cs="Arial"/>
          <w:i/>
          <w:iCs/>
          <w:sz w:val="20"/>
          <w:szCs w:val="20"/>
        </w:rPr>
        <w:t>Oryzias latipes</w:t>
      </w:r>
      <w:r w:rsidRPr="00C67500">
        <w:rPr>
          <w:rFonts w:ascii="Arial" w:hAnsi="Arial" w:cs="Arial"/>
          <w:sz w:val="20"/>
          <w:szCs w:val="20"/>
        </w:rPr>
        <w:t>) disrupts ovarian development and can result in female-to-male sex reversal</w:t>
      </w:r>
      <w:r w:rsidR="0001401D">
        <w:rPr>
          <w:rFonts w:ascii="Arial" w:hAnsi="Arial" w:cs="Arial"/>
          <w:sz w:val="20"/>
          <w:szCs w:val="20"/>
        </w:rPr>
        <w:t xml:space="preserve">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{"citationID":"Cj8Yhg3S","properties":{"unsorted":false,"formattedCitation":"(51, 52)","plainCitation":"(51, 52)","noteIndex":0},"citationItems":[{"id":6644,"uris":["http://zotero.org/users/11313215/items/KXTFEG6W"],"itemData":{"id":6644,"type":"article-journal","abstract":"FSH, a glycoprotein hormone, is circulated from the pituitary and functions by binding to a specific FSH receptor (FSHR). FSHR is a G protein-coupled, seven-transmembrane receptor linked to the adenylyl cyclase or other pathways and is expressed in gonadal somatic cells. In some nonmammalian species, fshr expression is much higher in the ovary than in the testis during gonadal sex differentiation, suggesting that FSHR is involved in ovarian development in nonmammalian vertebrates. However, little is known of FSHR knockout phenotypes in these species. Here we screened for fshr mutations by a medaka (Oryzias latipes) target-induced local lesion in the genomes and identified one nonsense mutation located in the BXXBB motif, which is involved in G protein activation. Next, we used an in vitro reporter gene assay to demonstrate that this mutation prevents FSHR function. We then analyzed the phenotypes of fshr mutant medaka. The fshr mutant male medaka displayed normal testes and were fertile, whereas the mutant female fish displayed small ovaries and were infertile because vitellogenesis was inhibited. The mutant females also have suppressed expression of ovary-type aromatase (cyp19a1a), a steroidogenic enzyme responsible for the conversion of androgens to estrogens, resulting in decreased 17β-estradiol levels. Moreover, loss of FSHR function caused female-to-male sex reversal in some cases. In addition, the transgenic overexpression of fshr in fshr mutants rescued FSHR function. These findings strongly suggest that in the medaka, FSH regulates the ovarian development and the maintenance mainly by the elevation of estrogen levels. We present the first FSHR knockout phenotype in a nonmammalian species.","container-title":"Endocrinology","DOI":"10.1210/en.2013-2060","ISSN":"0013-7227","issue":"8","journalAbbreviation":"Endocrinology","page":"3136-3145","source":"Silverchair","title":"Loss of Follicle-Stimulating Hormone Receptor Function Causes Masculinization and Suppression of Ovarian Development in Genetically Female Medaka","volume":"155","author":[{"family":"Murozumi","given":"Norikazu"},{"family":"Nakashima","given":"Ryo"},{"family":"Hirai","given":"Toshiaki"},{"family":"Kamei","given":"Yasuhiro"},{"family":"Ishikawa-Fujiwara","given":"Tomoko"},{"family":"Todo","given":"Takeshi"},{"family":"Kitano","given":"Takeshi"}],"issued":{"date-parts":[["2014",8,1]]}}},{"id":6647,"uris":["http://zotero.org/users/11313215/items/32RKHC5T"],"itemData":{"id":6647,"type":"article-journal","abstract":"Using the transcription activator-like effectors nucleases-mediated gene knockout technology, we have previously demonstrated that LH signaling is required for oocyte maturation and ovulation but is dispensable for testis development in zebrafish. Here, we have further established the fshb and fshr knockout zebrafish lines. In females, fshb mutant is subfertile, whereas fshr mutant is infertile. Folliculogenesis is partially affected in the fshb mutant but is completely arrested at the primary growth stage in the fshr mutant. In males, fshb and fshr mutant are fertile. The fertilization rate and histological structure of the testis is not affected. However, double knockout of fshb;lhb or fshr;lhr leads to all infertile male offspring. The key steroid hormones and steroidogenic genes are dramatically decreased in double knockout mutant (fshb;lhb and fshr;lhr) but not in single knockout mutant (fshb, lhb, fshr, and lhr) males. Furthermore, we have also demonstrated the constitutive activities of both FSH receptor (FSHR) and LH receptor in zebrafish and the compensatory role of LH by cross-reacting with FSHR in the fshb;lhr double mutant, thus explaining the phenotypic discrepancy observed among the ligand/receptor mutant lines. Taken together, our data established the following models on the roles of gonadotropin signaling in zebrafish gonad development. In females, FSH signaling is mainly responsible for promoting follicular growth, whereas LH signaling is mainly responsible for stimulating oocyte maturation and ovulation. In males, the functions of FSH and LH signaling overlap, and only disruption of both FSH and LH signaling could lead to the infertile phenotype. In the absence of FSH, LH could play a compensatory role by cross-reacting with FSHR in both male and female.","container-title":"Molecular Endocrinology","DOI":"10.1210/me.2015-1126","ISSN":"0888-8809","issue":"12","journalAbbreviation":"Mol Endocrinol","page":"1743-1758","source":"Silverchair","title":"Gonadotropin Signaling in Zebrafish Ovary and Testis Development: Insights From Gene Knockout Study","title-short":"Gonadotropin Signaling in Zebrafish Ovary and Testis Development","volume":"29","author":[{"family":"Chu","given":"Lianhe"},{"family":"Li","given":"Jianzhen"},{"family":"Liu","given":"Yun"},{"family":"Cheng","given":"Christopher H. K."}],"issued":{"date-parts":[["2015",12,1]]}}}],"schema":"https://github.com/citation-style-language/schema/raw/master/csl-citation.json"} </w:instrText>
      </w:r>
      <w:r w:rsidR="0001401D" w:rsidRPr="007A682B">
        <w:rPr>
          <w:rFonts w:ascii="Arial" w:hAnsi="Arial" w:cs="Arial"/>
          <w:sz w:val="20"/>
          <w:szCs w:val="20"/>
        </w:rPr>
        <w:fldChar w:fldCharType="separate"/>
      </w:r>
      <w:r w:rsidR="00304DDF">
        <w:rPr>
          <w:rFonts w:ascii="Arial" w:hAnsi="Arial" w:cs="Arial"/>
          <w:kern w:val="0"/>
          <w:sz w:val="20"/>
          <w:szCs w:val="24"/>
        </w:rPr>
        <w:t>(51, 52)</w:t>
      </w:r>
      <w:r w:rsidR="0001401D" w:rsidRPr="007A682B">
        <w:rPr>
          <w:rFonts w:ascii="Arial" w:hAnsi="Arial" w:cs="Arial"/>
          <w:sz w:val="20"/>
          <w:szCs w:val="20"/>
        </w:rPr>
        <w:fldChar w:fldCharType="end"/>
      </w:r>
      <w:r w:rsidRPr="00C67500">
        <w:rPr>
          <w:rFonts w:ascii="Arial" w:hAnsi="Arial" w:cs="Arial"/>
          <w:sz w:val="20"/>
          <w:szCs w:val="20"/>
        </w:rPr>
        <w:t>. Conversely, administration of human chorionic gonadotropin, an LH analog, induces gonadal sex change in the protogynous bluehead wrasse (</w:t>
      </w:r>
      <w:r w:rsidRPr="0001401D">
        <w:rPr>
          <w:rFonts w:ascii="Arial" w:hAnsi="Arial" w:cs="Arial"/>
          <w:i/>
          <w:iCs/>
          <w:sz w:val="20"/>
          <w:szCs w:val="20"/>
        </w:rPr>
        <w:t>Thalassoma bifasciatum</w:t>
      </w:r>
      <w:r w:rsidRPr="00C67500">
        <w:rPr>
          <w:rFonts w:ascii="Arial" w:hAnsi="Arial" w:cs="Arial"/>
          <w:sz w:val="20"/>
          <w:szCs w:val="20"/>
        </w:rPr>
        <w:t xml:space="preserve">) and </w:t>
      </w:r>
      <w:r w:rsidRPr="0001401D">
        <w:rPr>
          <w:rFonts w:ascii="Arial" w:hAnsi="Arial" w:cs="Arial"/>
          <w:i/>
          <w:iCs/>
          <w:sz w:val="20"/>
          <w:szCs w:val="20"/>
        </w:rPr>
        <w:t>Coris julis</w:t>
      </w:r>
      <w:r w:rsidRPr="00C67500">
        <w:rPr>
          <w:rFonts w:ascii="Arial" w:hAnsi="Arial" w:cs="Arial"/>
          <w:sz w:val="20"/>
          <w:szCs w:val="20"/>
        </w:rPr>
        <w:t xml:space="preserve">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{"citationID":"APDjg0EA","properties":{"unsorted":false,"formattedCitation":"(53, 54)","plainCitation":"(53, 54)","noteIndex":0},"citationItems":[{"id":6655,"uris":["http://zotero.org/users/11313215/items/QE37E4QC"],"itemData":{"id":6655,"type":"article-journal","abstract":"Female to male successive hermaphroditism (protogyny) is common in several groups of marine fish. Thalassoma bifasciatum, the bluehead wrasse (Labridae), found in the reefs of the Caribbean normally undergoes sex reversal after receiving behavioral cues. This report deals with the successful use of human chorionic gonadotropin (hCG) in inducing gonad reversal in this species. Eighty percent (n = 40) of the treated fish showed signs of reversal in 1–6 weeks; only 11% (n = 54) of the control (nontreated) group showed signs of reversal during the same period. The number of fish undergoing reversal increased with the length of the treatment period, 55% after 1 week, 100% after 6 weeks. A bluehead color pattern, typical of the terminal male phase, also appeared more frequently in the longer treated groups. To determine the efficacy of hCG in inducing gonad reversal, morphological criteria for reversal had to be established. For the majority of treated fish, the presence of both spermatogenic cysts and degenerating oocytes was sufficient to label these gonads unambiguously as undergoing reversal. However, at the extremes of this process, i.e., onset (early) and endpoint (late) stages, ambiguity could arise in identifying a gonad as undergoing reversal, and, therefore, key criteria were established for these stages. In our hands, the most consistent and reliable criterion for the early stage reversal was appearance of male germ line cells, clusters of “spermatogonial-like” cells. For the late stage, recognizable remnants of late-state oocytes had to be present. Some details of the histological changes that occur during early, middle, and late stages of reversal are also described. It is suggested that these results with hCG shed new light on the endocrine control of gonad reversal in T. bifasciatum.","container-title":"Journal of Experimental Zoology","DOI":"10.1002/jez.1402520207","ISSN":"1097-010X","issue":"2","language":"en","license":"Copyright © 1989 Wiley-Liss, Inc., A Wiley Company","page":"156-168","source":"Wiley Online Library","title":"Human chorionic gonadotropin (hCG) induces gonad reversal in a protogynous fish, the bluehead wrasse, Thalassoma bifasciatum (teleostei, labridae)","volume":"252","author":[{"family":"Koulish","given":"S."},{"family":"Kramer","given":"C. R."}],"issued":{"date-parts":[["1989"]]}}},{"id":6658,"uris":["http://zotero.org/users/11313215/items/GT4X4AKN"],"itemData":{"id":6658,"type":"article-journal","abstract":"In the protogynous diandric teleost Coris julis, sex inversion can be induced by injection of human chorionic gonadotropin (hCG). The histological changes of the gonad are accompanied by a transformation of the female livery to that of secondary males. At the ultrastructural level, the presence of intragonadal primordial germ cells in spermatogonial nests and within the newly forming seminiferous lobules is shown. Leydig cells and granulocytes appear in the inverting gonads. The results support the assumption that gonadotropic hormone has a key role in protogynous sex change.","container-title":"Journal of Fish Biology","DOI":"10.1111/j.1095-8649.1997.tb01995.x","ISSN":"1095-8649","issue":"4","language":"en","page":"738-749","source":"Wiley Online Library","title":"Histological and ultrastructural studies on the effects of hCG on sex inversion in the protogynous teleost Coris julis","volume":"51","author":[{"family":"Reinboth","given":"R."},{"family":"Bnrusle-Sicard","given":"S."}],"issued":{"date-parts":[["1997"]]}}}],"schema":"https://github.com/citation-style-language/schema/raw/master/csl-citation.json"} </w:instrText>
      </w:r>
      <w:r w:rsidR="0001401D" w:rsidRPr="007A682B">
        <w:rPr>
          <w:rFonts w:ascii="Arial" w:hAnsi="Arial" w:cs="Arial"/>
          <w:sz w:val="20"/>
          <w:szCs w:val="20"/>
        </w:rPr>
        <w:fldChar w:fldCharType="separate"/>
      </w:r>
      <w:r w:rsidR="00304DDF">
        <w:rPr>
          <w:rFonts w:ascii="Arial" w:hAnsi="Arial" w:cs="Arial"/>
          <w:noProof/>
          <w:sz w:val="20"/>
          <w:szCs w:val="20"/>
        </w:rPr>
        <w:t>(53, 54)</w:t>
      </w:r>
      <w:r w:rsidR="0001401D" w:rsidRPr="007A682B">
        <w:rPr>
          <w:rFonts w:ascii="Arial" w:hAnsi="Arial" w:cs="Arial"/>
          <w:sz w:val="20"/>
          <w:szCs w:val="20"/>
        </w:rPr>
        <w:fldChar w:fldCharType="end"/>
      </w:r>
      <w:r w:rsidRPr="00C67500">
        <w:rPr>
          <w:rFonts w:ascii="Arial" w:hAnsi="Arial" w:cs="Arial"/>
          <w:sz w:val="20"/>
          <w:szCs w:val="20"/>
        </w:rPr>
        <w:t xml:space="preserve">. Together, these findings support the possibility that changes in the balance of LH and FSH signaling contribute to gonadal feminization during protandrous sex change in </w:t>
      </w:r>
      <w:r w:rsidRPr="0001401D">
        <w:rPr>
          <w:rFonts w:ascii="Arial" w:hAnsi="Arial" w:cs="Arial"/>
          <w:i/>
          <w:iCs/>
          <w:sz w:val="20"/>
          <w:szCs w:val="20"/>
        </w:rPr>
        <w:t>A. ocellaris</w:t>
      </w:r>
      <w:r w:rsidRPr="00C67500">
        <w:rPr>
          <w:rFonts w:ascii="Arial" w:hAnsi="Arial" w:cs="Arial"/>
          <w:sz w:val="20"/>
          <w:szCs w:val="20"/>
        </w:rPr>
        <w:t>.</w:t>
      </w:r>
    </w:p>
    <w:p w14:paraId="7E275BDC" w14:textId="1040D650" w:rsidR="00C67500" w:rsidRPr="00C67500" w:rsidRDefault="00C67500" w:rsidP="00C67500">
      <w:pPr>
        <w:ind w:firstLine="720"/>
        <w:rPr>
          <w:rFonts w:ascii="Arial" w:hAnsi="Arial" w:cs="Arial"/>
          <w:sz w:val="20"/>
          <w:szCs w:val="20"/>
        </w:rPr>
      </w:pPr>
      <w:r w:rsidRPr="00C67500">
        <w:rPr>
          <w:rFonts w:ascii="Arial" w:hAnsi="Arial" w:cs="Arial"/>
          <w:sz w:val="20"/>
          <w:szCs w:val="20"/>
        </w:rPr>
        <w:t xml:space="preserve">Of the neuroendocrine pathways implicated in this process, NPY signaling is particularly interesting because </w:t>
      </w:r>
      <w:r w:rsidRPr="0001401D">
        <w:rPr>
          <w:rFonts w:ascii="Arial" w:hAnsi="Arial" w:cs="Arial"/>
          <w:i/>
          <w:iCs/>
          <w:sz w:val="20"/>
          <w:szCs w:val="20"/>
        </w:rPr>
        <w:t>npy7r</w:t>
      </w:r>
      <w:r w:rsidRPr="00C67500">
        <w:rPr>
          <w:rFonts w:ascii="Arial" w:hAnsi="Arial" w:cs="Arial"/>
          <w:sz w:val="20"/>
          <w:szCs w:val="20"/>
        </w:rPr>
        <w:t xml:space="preserve"> is strongly downregulated early in sex change, before overt gonadal transformation. NPY has also been implicated in masculinization during protogynous sex change </w:t>
      </w:r>
      <w:r w:rsidR="0001401D"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xFpBBCh5","properties":{"unsorted":false,"formattedCitation":"(47)","plainCitation":"(47)","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01401D" w:rsidRPr="007A682B">
        <w:rPr>
          <w:rFonts w:ascii="Arial" w:hAnsi="Arial" w:cs="Arial"/>
          <w:sz w:val="20"/>
          <w:szCs w:val="20"/>
        </w:rPr>
        <w:fldChar w:fldCharType="separate"/>
      </w:r>
      <w:r w:rsidR="00304DDF">
        <w:rPr>
          <w:rFonts w:ascii="Arial" w:hAnsi="Arial" w:cs="Arial"/>
          <w:noProof/>
          <w:sz w:val="20"/>
          <w:szCs w:val="20"/>
        </w:rPr>
        <w:t>(47)</w:t>
      </w:r>
      <w:r w:rsidR="0001401D" w:rsidRPr="007A682B">
        <w:rPr>
          <w:rFonts w:ascii="Arial" w:hAnsi="Arial" w:cs="Arial"/>
          <w:sz w:val="20"/>
          <w:szCs w:val="20"/>
        </w:rPr>
        <w:fldChar w:fldCharType="end"/>
      </w:r>
      <w:r w:rsidRPr="00C67500">
        <w:rPr>
          <w:rFonts w:ascii="Arial" w:hAnsi="Arial" w:cs="Arial"/>
          <w:sz w:val="20"/>
          <w:szCs w:val="20"/>
        </w:rPr>
        <w:t xml:space="preserve">, suggesting that reduced NPY signaling may contribute to feminization in protandrous species. Furthermore, our GRN analysis identified a positive association between </w:t>
      </w:r>
      <w:r w:rsidRPr="0001401D">
        <w:rPr>
          <w:rFonts w:ascii="Arial" w:hAnsi="Arial" w:cs="Arial"/>
          <w:i/>
          <w:iCs/>
          <w:sz w:val="20"/>
          <w:szCs w:val="20"/>
        </w:rPr>
        <w:t>npy7r</w:t>
      </w:r>
      <w:r w:rsidRPr="00C67500">
        <w:rPr>
          <w:rFonts w:ascii="Arial" w:hAnsi="Arial" w:cs="Arial"/>
          <w:sz w:val="20"/>
          <w:szCs w:val="20"/>
        </w:rPr>
        <w:t xml:space="preserve"> and the activity-dependent transcription factor </w:t>
      </w:r>
      <w:r w:rsidRPr="0001401D">
        <w:rPr>
          <w:rFonts w:ascii="Arial" w:hAnsi="Arial" w:cs="Arial"/>
          <w:i/>
          <w:iCs/>
          <w:sz w:val="20"/>
          <w:szCs w:val="20"/>
        </w:rPr>
        <w:t>egr1</w:t>
      </w:r>
      <w:r w:rsidRPr="00C67500">
        <w:rPr>
          <w:rFonts w:ascii="Arial" w:hAnsi="Arial" w:cs="Arial"/>
          <w:sz w:val="20"/>
          <w:szCs w:val="20"/>
        </w:rPr>
        <w:t xml:space="preserve">, suggesting a possible connection between socially induced changes in neural activity and neuroendocrine signaling. Given the connections between the dorsomedial telencephalon (Dm) and POA </w:t>
      </w:r>
      <w:r w:rsidR="0001401D" w:rsidRPr="007A682B">
        <w:rPr>
          <w:rFonts w:ascii="Arial" w:hAnsi="Arial" w:cs="Arial"/>
          <w:sz w:val="20"/>
          <w:szCs w:val="20"/>
        </w:rPr>
        <w:fldChar w:fldCharType="begin"/>
      </w:r>
      <w:r w:rsidR="0001401D" w:rsidRPr="007A682B">
        <w:rPr>
          <w:rFonts w:ascii="Arial" w:hAnsi="Arial" w:cs="Arial"/>
          <w:sz w:val="20"/>
          <w:szCs w:val="20"/>
        </w:rPr>
        <w:instrText xml:space="preserve"> ADDIN ZOTERO_ITEM CSL_CITATION {"citationID":"OYHVm371","properties":{"unsorted":false,"formattedCitation":"(5)","plainCitation":"(5)","noteIndex":0},"citationItems":[{"id":3227,"uris":["http://zotero.org/users/11313215/items/RWMZ9QFA"],"itemData":{"id":3227,"type":"article-journal","abstract":"BACKGROUND: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01401D" w:rsidRPr="007A682B">
        <w:rPr>
          <w:rFonts w:ascii="Arial" w:hAnsi="Arial" w:cs="Arial"/>
          <w:sz w:val="20"/>
          <w:szCs w:val="20"/>
        </w:rPr>
        <w:fldChar w:fldCharType="separate"/>
      </w:r>
      <w:r w:rsidR="0001401D" w:rsidRPr="007A682B">
        <w:rPr>
          <w:rFonts w:ascii="Arial" w:hAnsi="Arial" w:cs="Arial"/>
          <w:noProof/>
          <w:sz w:val="20"/>
          <w:szCs w:val="20"/>
        </w:rPr>
        <w:t>(5)</w:t>
      </w:r>
      <w:r w:rsidR="0001401D" w:rsidRPr="007A682B">
        <w:rPr>
          <w:rFonts w:ascii="Arial" w:hAnsi="Arial" w:cs="Arial"/>
          <w:sz w:val="20"/>
          <w:szCs w:val="20"/>
        </w:rPr>
        <w:fldChar w:fldCharType="end"/>
      </w:r>
      <w:r w:rsidRPr="00C67500">
        <w:rPr>
          <w:rFonts w:ascii="Arial" w:hAnsi="Arial" w:cs="Arial"/>
          <w:sz w:val="20"/>
          <w:szCs w:val="20"/>
        </w:rPr>
        <w:t>, this relationship provides an intriguing candidate mechanism through which changes in social status could influence reproductive physiology.</w:t>
      </w:r>
    </w:p>
    <w:p w14:paraId="1F4CFC34" w14:textId="46FC0480" w:rsidR="007810B8" w:rsidRDefault="00C67500" w:rsidP="00C67500">
      <w:pPr>
        <w:ind w:firstLine="720"/>
        <w:rPr>
          <w:rFonts w:ascii="Arial" w:hAnsi="Arial" w:cs="Arial"/>
          <w:sz w:val="20"/>
          <w:szCs w:val="20"/>
        </w:rPr>
      </w:pPr>
      <w:r w:rsidRPr="00C67500">
        <w:rPr>
          <w:rFonts w:ascii="Arial" w:hAnsi="Arial" w:cs="Arial"/>
          <w:sz w:val="20"/>
          <w:szCs w:val="20"/>
        </w:rPr>
        <w:t xml:space="preserve">Together, these findings support a model in which social ascent initiates changes in POA neuroendocrine signaling that precede gonadal feminization (Fig. 7). Early changes in neuronal activity and neuropeptide signaling may alter pituitary gonadotropin release, while RGCs enter a neurogenic state that supports subsequent remodeling of POA circuitry. The potential incorporation of newly generated </w:t>
      </w:r>
      <w:r w:rsidRPr="00775FE7">
        <w:rPr>
          <w:rFonts w:ascii="Arial" w:hAnsi="Arial" w:cs="Arial"/>
          <w:i/>
          <w:iCs/>
          <w:sz w:val="20"/>
          <w:szCs w:val="20"/>
        </w:rPr>
        <w:t>cckb</w:t>
      </w:r>
      <w:r w:rsidRPr="00C67500">
        <w:rPr>
          <w:rFonts w:ascii="Arial" w:hAnsi="Arial" w:cs="Arial"/>
          <w:sz w:val="20"/>
          <w:szCs w:val="20"/>
        </w:rPr>
        <w:t>+ neurons may contribute to increased FSH signaling and ovarian development. Later changes in steroid receptor-associated transcription may further remodel POA circuits as female reproductive physiology becomes established.</w:t>
      </w:r>
    </w:p>
    <w:p w14:paraId="65ECE055" w14:textId="5B38726F" w:rsidR="003A3E1A" w:rsidRDefault="00505BEB" w:rsidP="0066495D">
      <w:pPr>
        <w:ind w:firstLine="720"/>
        <w:rPr>
          <w:rFonts w:ascii="Arial" w:hAnsi="Arial" w:cs="Arial"/>
          <w:sz w:val="20"/>
          <w:szCs w:val="20"/>
        </w:rPr>
      </w:pPr>
      <w:r w:rsidRPr="00505BEB">
        <w:rPr>
          <w:rFonts w:ascii="Arial" w:hAnsi="Arial" w:cs="Arial"/>
          <w:sz w:val="20"/>
          <w:szCs w:val="20"/>
        </w:rPr>
        <w:t xml:space="preserve">More broadly, our findings suggest that socially induced sex change involves more than the reprogramming of existing neural circuits, but rather a temporally organized process of cellular and molecular remodeling. RGCs emerge as important participants in this process, entering a distinct transitional state characterized by increased neurogenic activity, while POA neurons undergo changes in neuroendocrine signaling, steroid receptor-associated transcription, and the incorporation of newly generated neurons, potentially including </w:t>
      </w:r>
      <w:r w:rsidRPr="00775FE7">
        <w:rPr>
          <w:rFonts w:ascii="Arial" w:hAnsi="Arial" w:cs="Arial"/>
          <w:i/>
          <w:iCs/>
          <w:sz w:val="20"/>
          <w:szCs w:val="20"/>
        </w:rPr>
        <w:t>cckb</w:t>
      </w:r>
      <w:r w:rsidRPr="00505BEB">
        <w:rPr>
          <w:rFonts w:ascii="Arial" w:hAnsi="Arial" w:cs="Arial"/>
          <w:sz w:val="20"/>
          <w:szCs w:val="20"/>
        </w:rPr>
        <w:t>+ neurons involved in ovarian development. This framework raises the possibility that prolonged intermediate states, observed in many sequentially hermaphroditic teleosts, represent active periods of neural remodeling during which neurogenesis contributes to the reorganization of reproductive circuits in preparation for gonadal transformation. Understanding how social cues initiate these changes and how gonadal feedback subsequently shapes the female neural phenotype will provide important insights into the mechanisms by which the adult vertebrate brain reorganizes in response to changing social environments.</w:t>
      </w:r>
    </w:p>
    <w:p w14:paraId="2FF2C609" w14:textId="77777777" w:rsidR="00505BEB" w:rsidRPr="007A682B" w:rsidRDefault="00505BEB" w:rsidP="0066495D">
      <w:pPr>
        <w:ind w:firstLine="720"/>
        <w:rPr>
          <w:rFonts w:ascii="Arial" w:hAnsi="Arial" w:cs="Arial"/>
          <w:sz w:val="20"/>
          <w:szCs w:val="20"/>
        </w:rPr>
      </w:pPr>
    </w:p>
    <w:p w14:paraId="48165713" w14:textId="39D192FE" w:rsidR="004816FA" w:rsidRPr="007A682B" w:rsidRDefault="00551E7E" w:rsidP="00753C87">
      <w:pPr>
        <w:rPr>
          <w:rFonts w:ascii="Arial" w:hAnsi="Arial" w:cs="Arial"/>
          <w:b/>
          <w:bCs/>
          <w:sz w:val="20"/>
          <w:szCs w:val="20"/>
        </w:rPr>
      </w:pPr>
      <w:r w:rsidRPr="007A682B">
        <w:rPr>
          <w:rFonts w:ascii="Arial" w:hAnsi="Arial" w:cs="Arial"/>
          <w:b/>
          <w:bCs/>
          <w:sz w:val="20"/>
          <w:szCs w:val="20"/>
        </w:rPr>
        <w:t xml:space="preserve">Materials and </w:t>
      </w:r>
      <w:r w:rsidR="004816FA" w:rsidRPr="007A682B">
        <w:rPr>
          <w:rFonts w:ascii="Arial" w:hAnsi="Arial" w:cs="Arial"/>
          <w:b/>
          <w:bCs/>
          <w:sz w:val="20"/>
          <w:szCs w:val="20"/>
        </w:rPr>
        <w:t>Methods</w:t>
      </w:r>
    </w:p>
    <w:p w14:paraId="1F5E420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Animals and Husbandry</w:t>
      </w:r>
    </w:p>
    <w:p w14:paraId="19774D13" w14:textId="23D0888E" w:rsidR="00953BF7" w:rsidRPr="007A682B" w:rsidRDefault="00953BF7" w:rsidP="003341ED">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Anemonefish (</w:t>
      </w:r>
      <w:r w:rsidRPr="007A682B">
        <w:rPr>
          <w:rFonts w:ascii="Arial" w:eastAsia="Malgun Gothic" w:hAnsi="Arial" w:cs="Arial"/>
          <w:i/>
          <w:iCs/>
          <w:kern w:val="0"/>
          <w:sz w:val="20"/>
          <w:szCs w:val="20"/>
          <w:lang w:eastAsia="ja-JP"/>
          <w14:ligatures w14:val="none"/>
        </w:rPr>
        <w:t>Amphiprion ocellaris</w:t>
      </w:r>
      <w:r w:rsidRPr="007A682B">
        <w:rPr>
          <w:rFonts w:ascii="Arial" w:eastAsia="Malgun Gothic" w:hAnsi="Arial" w:cs="Arial"/>
          <w:kern w:val="0"/>
          <w:sz w:val="20"/>
          <w:szCs w:val="20"/>
          <w:lang w:eastAsia="ja-JP"/>
          <w14:ligatures w14:val="none"/>
        </w:rPr>
        <w:t>) used in this study were first- or second-generation descendants of fish obtained from Oceans, Reefs, and Aquariums (Fort Pierce, FL). Fish were housed in either 20-gallon tall (24 × 12 × 16 in.) or 25-gallon cube (18 × 18 × 18 in.) centrally filtered aquariums, each containing a 6-in. terra cotta pot that served as a nest site and spawning substrate. Salinity was maintained at a specific gravity of 1.026, temperature at 26–28°C, and pH between 8.0 and 8.4. Tanks were illuminated with fluorescent and LED lighting on a 12:12 h light cycle (lights on at 07:00 h and off at 19:00 h). Fish were fed twice daily with Reef Nutrition TDO Chroma Boost pellets (Reed Mariculture Inc., Campbell, CA).</w:t>
      </w:r>
    </w:p>
    <w:p w14:paraId="7FFD630C" w14:textId="201324CB"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Initiation of Sex Change</w:t>
      </w:r>
    </w:p>
    <w:p w14:paraId="643A682D" w14:textId="77777777" w:rsidR="006A5E9A" w:rsidRPr="007A682B" w:rsidRDefault="006A5E9A"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We induced sex change by creating 10 male–male pairs (n = 20). Eight pairs were formed by pairing two known males, with one male notably larger than the other. Two additional pairs were created by removing the dominant female from established social triads, leaving the β and γ males together. In each pair, the larger or socially dominant male (hereafter, “intermediate”) was expected to undergo </w:t>
      </w:r>
      <w:r w:rsidRPr="007A682B">
        <w:rPr>
          <w:rFonts w:ascii="Arial" w:eastAsia="Malgun Gothic" w:hAnsi="Arial" w:cs="Arial"/>
          <w:kern w:val="0"/>
          <w:sz w:val="20"/>
          <w:szCs w:val="20"/>
          <w:lang w:eastAsia="ja-JP"/>
          <w14:ligatures w14:val="none"/>
        </w:rPr>
        <w:lastRenderedPageBreak/>
        <w:t>protandrous sex change and become female, whereas the subordinate male (hereafter, “intermediate partner”) was expected to remain male.</w:t>
      </w:r>
    </w:p>
    <w:p w14:paraId="0FAEB33C" w14:textId="5EBADBE4" w:rsidR="003341ED" w:rsidRPr="007A682B" w:rsidRDefault="006A5E9A"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On the day of pairing or female removal, intermediates and subordinates were weighed and measured. Pairs were then given six months to undergo sex change. We selected this time point because previous work from our lab showed that approximately 10% of intermediates complete sex change within six months, as indicated by the presence of vitellogenic oocytes, while the remainder are distributed across various intermediate stages of sex change </w:t>
      </w:r>
      <w:r w:rsidR="003341ED"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{"citationID":"vYZRKGmD","properties":{"formattedCitation":"(7)","plainCitation":"(7)","noteIndex":0},"citationItems":[{"id":43,"uris":["http://zotero.org/users/11313215/items/TBICN8KA"],"itemData":{"id":43,"type":"article-journal","abstract":"Many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3341ED"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sz w:val="20"/>
          <w:szCs w:val="20"/>
          <w:lang w:eastAsia="ja-JP"/>
        </w:rPr>
        <w:t>(7)</w:t>
      </w:r>
      <w:r w:rsidR="003341ED" w:rsidRPr="007A682B">
        <w:rPr>
          <w:rFonts w:ascii="Arial" w:eastAsia="Malgun Gothic" w:hAnsi="Arial" w:cs="Arial"/>
          <w:kern w:val="0"/>
          <w:sz w:val="20"/>
          <w:szCs w:val="20"/>
          <w:lang w:eastAsia="ja-JP"/>
          <w14:ligatures w14:val="none"/>
        </w:rPr>
        <w:fldChar w:fldCharType="end"/>
      </w:r>
      <w:r w:rsidR="003341ED" w:rsidRPr="007A682B">
        <w:rPr>
          <w:rFonts w:ascii="Arial" w:eastAsia="Malgun Gothic" w:hAnsi="Arial" w:cs="Arial"/>
          <w:kern w:val="0"/>
          <w:sz w:val="20"/>
          <w:szCs w:val="20"/>
          <w:lang w:eastAsia="ja-JP"/>
          <w14:ligatures w14:val="none"/>
        </w:rPr>
        <w:t>.</w:t>
      </w:r>
    </w:p>
    <w:p w14:paraId="3C1EB87F"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Phases</w:t>
      </w:r>
    </w:p>
    <w:p w14:paraId="43BBC0EF" w14:textId="13A49D28" w:rsidR="00953BF7" w:rsidRPr="007A682B" w:rsidRDefault="00953BF7" w:rsidP="00953BF7">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At the end of the experiment, one intermediate had fully completed sex change, while two had distinctly enlarged gonads containing only non-vitellogenic oocytes and no testicular tissue. We therefore reclassified these fish as a “New Female” and two “Late Intermediates,” respectively, and their partners as a “New Male” and two “Late Intermediate Partners.” Throughout the manuscript, we refer to these classifications as phases of sex change.</w:t>
      </w:r>
    </w:p>
    <w:p w14:paraId="517D4D02" w14:textId="77777777" w:rsidR="00953BF7" w:rsidRPr="007A682B" w:rsidRDefault="00953BF7" w:rsidP="00953BF7">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Because the New Female, Late Intermediate, and corresponding partner groups contained too few individuals for meaningful group-level statistical comparisons, statistical analyses comparing sex-change phases were restricted to males (M), females (F), and intermediates (I). However, analyses examining relationships among variables across individual fish, such as correlations between gene expression and chromatin accessibility, included individuals from all phases. In all experiments, the same six established male–female pairs (n = 12) served as male and female controls.</w:t>
      </w:r>
    </w:p>
    <w:p w14:paraId="5D0C2781" w14:textId="3AA11A5E" w:rsidR="003341ED" w:rsidRPr="007A682B" w:rsidRDefault="003341ED" w:rsidP="00953BF7">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Computation</w:t>
      </w:r>
    </w:p>
    <w:p w14:paraId="36547594" w14:textId="3DC26AEA" w:rsidR="003341ED" w:rsidRPr="00F0028A"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All computational analyses described below were performed in R 4.4.2 or Python 3.12.4. In all cases unless otherwise stated, we considered a </w:t>
      </w:r>
      <w:r w:rsidRPr="007A682B">
        <w:rPr>
          <w:rFonts w:ascii="Arial" w:eastAsia="Malgun Gothic" w:hAnsi="Arial" w:cs="Arial"/>
          <w:i/>
          <w:kern w:val="0"/>
          <w:sz w:val="20"/>
          <w:szCs w:val="20"/>
          <w:lang w:eastAsia="ja-JP"/>
          <w14:ligatures w14:val="none"/>
        </w:rPr>
        <w:t>p-</w:t>
      </w:r>
      <w:r w:rsidRPr="007A682B">
        <w:rPr>
          <w:rFonts w:ascii="Arial" w:eastAsia="Malgun Gothic" w:hAnsi="Arial" w:cs="Arial"/>
          <w:kern w:val="0"/>
          <w:sz w:val="20"/>
          <w:szCs w:val="20"/>
          <w:lang w:eastAsia="ja-JP"/>
          <w14:ligatures w14:val="none"/>
        </w:rPr>
        <w:t xml:space="preserve">value of &lt;0.05 (or false discovery rate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w:t>
      </w:r>
      <w:r w:rsidRPr="007A682B">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{"citationID":"hepfyYRE","properties":{"formattedCitation":"(55)","plainCitation":"(55)","noteIndex":0},"citationItems":[{"id":2523,"uris":["http://zotero.org/users/11313215/items/VFIVI5RB"],"itemData":{"id":2523,"type":"article-journal","abstract":"The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304DDF">
        <w:rPr>
          <w:rFonts w:ascii="Arial" w:hAnsi="Arial" w:cs="Arial"/>
          <w:sz w:val="20"/>
          <w:szCs w:val="20"/>
          <w:lang w:eastAsia="ja-JP"/>
        </w:rPr>
        <w:t>(55)</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where relevant) to be statistically significant. For pairwise comparisons, we used the “emmeans” package </w:t>
      </w:r>
      <w:r w:rsidRPr="00F0028A">
        <w:rPr>
          <w:rFonts w:ascii="Arial" w:eastAsia="Malgun Gothic" w:hAnsi="Arial" w:cs="Arial"/>
          <w:kern w:val="0"/>
          <w:sz w:val="20"/>
          <w:szCs w:val="20"/>
          <w:lang w:eastAsia="ja-JP"/>
          <w14:ligatures w14:val="none"/>
        </w:rPr>
        <w:t xml:space="preserve">with no </w:t>
      </w:r>
      <w:r w:rsidRPr="00F0028A">
        <w:rPr>
          <w:rFonts w:ascii="Arial" w:eastAsia="Malgun Gothic" w:hAnsi="Arial" w:cs="Arial"/>
          <w:i/>
          <w:kern w:val="0"/>
          <w:sz w:val="20"/>
          <w:szCs w:val="20"/>
          <w:lang w:eastAsia="ja-JP"/>
          <w14:ligatures w14:val="none"/>
        </w:rPr>
        <w:t>p-</w:t>
      </w:r>
      <w:r w:rsidRPr="00F0028A">
        <w:rPr>
          <w:rFonts w:ascii="Arial" w:eastAsia="Malgun Gothic" w:hAnsi="Arial" w:cs="Arial"/>
          <w:kern w:val="0"/>
          <w:sz w:val="20"/>
          <w:szCs w:val="20"/>
          <w:lang w:eastAsia="ja-JP"/>
          <w14:ligatures w14:val="none"/>
        </w:rPr>
        <w:t>value adjustment specified</w:t>
      </w:r>
      <w:r w:rsidR="008D0F6D" w:rsidRPr="00F0028A">
        <w:rPr>
          <w:rFonts w:ascii="Arial" w:eastAsia="Malgun Gothic" w:hAnsi="Arial" w:cs="Arial"/>
          <w:kern w:val="0"/>
          <w:sz w:val="20"/>
          <w:szCs w:val="20"/>
          <w:lang w:eastAsia="ja-JP"/>
          <w14:ligatures w14:val="none"/>
        </w:rPr>
        <w:t xml:space="preserve"> </w:t>
      </w:r>
      <w:r w:rsidRPr="00F0028A">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{"citationID":"z9QRuDUO","properties":{"formattedCitation":"(56)","plainCitation":"(56)","noteIndex":0},"citationItems":[{"id":2512,"uris":["http://zotero.org/users/11313215/items/XGHQM7ML"],"itemData":{"id":2512,"type":"software","abstract":"Obtain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F0028A">
        <w:rPr>
          <w:rFonts w:ascii="Arial" w:eastAsia="Malgun Gothic" w:hAnsi="Arial" w:cs="Arial"/>
          <w:kern w:val="0"/>
          <w:sz w:val="20"/>
          <w:szCs w:val="20"/>
          <w:lang w:eastAsia="ja-JP"/>
          <w14:ligatures w14:val="none"/>
        </w:rPr>
        <w:fldChar w:fldCharType="separate"/>
      </w:r>
      <w:r w:rsidR="00304DDF">
        <w:rPr>
          <w:rFonts w:ascii="Arial" w:hAnsi="Arial" w:cs="Arial"/>
          <w:sz w:val="20"/>
          <w:szCs w:val="20"/>
          <w:lang w:eastAsia="ja-JP"/>
        </w:rPr>
        <w:t>(56)</w:t>
      </w:r>
      <w:r w:rsidRPr="00F0028A">
        <w:rPr>
          <w:rFonts w:ascii="Arial" w:eastAsia="Malgun Gothic" w:hAnsi="Arial" w:cs="Arial"/>
          <w:kern w:val="0"/>
          <w:sz w:val="20"/>
          <w:szCs w:val="20"/>
          <w:lang w:eastAsia="ja-JP"/>
          <w14:ligatures w14:val="none"/>
        </w:rPr>
        <w:fldChar w:fldCharType="end"/>
      </w:r>
      <w:r w:rsidRPr="00F0028A">
        <w:rPr>
          <w:rFonts w:ascii="Arial" w:eastAsia="Malgun Gothic" w:hAnsi="Arial" w:cs="Arial"/>
          <w:kern w:val="0"/>
          <w:sz w:val="20"/>
          <w:szCs w:val="20"/>
          <w:lang w:eastAsia="ja-JP"/>
          <w14:ligatures w14:val="none"/>
        </w:rPr>
        <w:t xml:space="preserve">. </w:t>
      </w:r>
    </w:p>
    <w:p w14:paraId="12266D36" w14:textId="76B4E933" w:rsidR="00F0028A" w:rsidRPr="00F0028A" w:rsidRDefault="00F0028A" w:rsidP="00555CB5">
      <w:pPr>
        <w:spacing w:after="160"/>
        <w:ind w:firstLine="720"/>
        <w:rPr>
          <w:rFonts w:ascii="Arial" w:eastAsia="Malgun Gothic" w:hAnsi="Arial" w:cs="Arial"/>
          <w:kern w:val="0"/>
          <w:sz w:val="20"/>
          <w:szCs w:val="20"/>
          <w:lang w:eastAsia="ja-JP"/>
          <w14:ligatures w14:val="none"/>
        </w:rPr>
      </w:pPr>
      <w:r w:rsidRPr="00F0028A">
        <w:rPr>
          <w:rFonts w:ascii="Arial" w:hAnsi="Arial" w:cs="Arial"/>
          <w:sz w:val="20"/>
          <w:szCs w:val="20"/>
        </w:rPr>
        <w:t xml:space="preserve">Type-III tests were computed using the Anova function from the </w:t>
      </w:r>
      <w:r>
        <w:rPr>
          <w:rFonts w:ascii="Arial" w:hAnsi="Arial" w:cs="Arial"/>
          <w:sz w:val="20"/>
          <w:szCs w:val="20"/>
        </w:rPr>
        <w:t>“</w:t>
      </w:r>
      <w:r w:rsidRPr="00F0028A">
        <w:rPr>
          <w:rFonts w:ascii="Arial" w:hAnsi="Arial" w:cs="Arial"/>
          <w:sz w:val="20"/>
          <w:szCs w:val="20"/>
        </w:rPr>
        <w:t>car</w:t>
      </w:r>
      <w:r>
        <w:rPr>
          <w:rFonts w:ascii="Arial" w:hAnsi="Arial" w:cs="Arial"/>
          <w:sz w:val="20"/>
          <w:szCs w:val="20"/>
        </w:rPr>
        <w:t>”</w:t>
      </w:r>
      <w:r>
        <w:rPr>
          <w:rFonts w:ascii="Arial" w:hAnsi="Arial" w:cs="Arial"/>
          <w:sz w:val="20"/>
          <w:szCs w:val="20"/>
        </w:rPr>
        <w:fldChar w:fldCharType="begin"/>
      </w:r>
      <w:r w:rsidR="00304DDF">
        <w:rPr>
          <w:rFonts w:ascii="Arial" w:hAnsi="Arial" w:cs="Arial"/>
          <w:sz w:val="20"/>
          <w:szCs w:val="20"/>
        </w:rPr>
        <w:instrText xml:space="preserve"> ADDIN ZOTERO_ITEM CSL_CITATION {"citationID":"YlzifCgJ","properties":{"unsorted":false,"formattedCitation":"(57)","plainCitation":"(57)","noteIndex":0},"citationItems":[{"id":2508,"uris":["http://zotero.org/users/11313215/items/A99QGJ4J"],"itemData":{"id":2508,"type":"software","abstract":"Functions to Accompany J. Fox and S. Weisberg, An R Companion to Applied Regression, Third Edition, Sage, 2019.","license":"GPL-2 | GPL-3 [expanded from: GPL (≥ 2)]","source":"R-Packages","title":"car: Companion to Applied Regression","title-short":"car","URL":"https://cran.r-project.org/web/packages/car/index.html","version":"3.1-2","author":[{"family":"Fox","given":"John"},{"family":"Weisberg","given":"Sanford"},{"family":"Price","given":"Brad"},{"family":"Adler","given":"Daniel"},{"family":"Bates","given":"Douglas"},{"family":"Baud-Bovy","given":"Gabriel"},{"family":"Bolker","given":"Ben"},{"family":"Ellison","given":"Steve"},{"family":"Firth","given":"David"},{"family":"Friendly","given":"Michael"},{"family":"Gorjanc","given":"Gregor"},{"family":"Graves","given":"Spencer"},{"family":"Heiberger","given":"Richard"},{"family":"Krivitsky","given":"Pavel"},{"family":"Laboissiere","given":"Rafael"},{"family":"Maechler","given":"Martin"},{"family":"Monette","given":"Georges"},{"family":"Murdoch","given":"Duncan"},{"family":"Nilsson","given":"Henric"},{"family":"Ogle","given":"Derek"},{"family":"Ripley","given":"Brian"},{"family":"Short","given":"Tom"},{"family":"Venables","given":"William"},{"family":"Walker","given":"Steve"},{"family":"Winsemius","given":"David"},{"family":"Zeileis","given":"Achim"},{"family":"R-Core","given":""}],"accessed":{"date-parts":[["2024",9,15]]},"issued":{"date-parts":[["2023",3,30]]}}}],"schema":"https://github.com/citation-style-language/schema/raw/master/csl-citation.json"} </w:instrText>
      </w:r>
      <w:r>
        <w:rPr>
          <w:rFonts w:ascii="Arial" w:hAnsi="Arial" w:cs="Arial"/>
          <w:sz w:val="20"/>
          <w:szCs w:val="20"/>
        </w:rPr>
        <w:fldChar w:fldCharType="separate"/>
      </w:r>
      <w:r w:rsidR="00304DDF">
        <w:rPr>
          <w:rFonts w:ascii="Arial" w:hAnsi="Arial" w:cs="Arial"/>
          <w:noProof/>
          <w:sz w:val="20"/>
          <w:szCs w:val="20"/>
        </w:rPr>
        <w:t>(57)</w:t>
      </w:r>
      <w:r>
        <w:rPr>
          <w:rFonts w:ascii="Arial" w:hAnsi="Arial" w:cs="Arial"/>
          <w:sz w:val="20"/>
          <w:szCs w:val="20"/>
        </w:rPr>
        <w:fldChar w:fldCharType="end"/>
      </w:r>
      <w:r w:rsidRPr="00F0028A">
        <w:rPr>
          <w:rFonts w:ascii="Arial" w:hAnsi="Arial" w:cs="Arial"/>
          <w:sz w:val="20"/>
          <w:szCs w:val="20"/>
        </w:rPr>
        <w:t xml:space="preserve"> package, with F-tests for linear models, likelihood-ratio χ² tests for binomial GLMs, and Wald χ² tests for linear mixed-effects models.</w:t>
      </w:r>
    </w:p>
    <w:p w14:paraId="612F7B6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Parental Care Assay</w:t>
      </w:r>
    </w:p>
    <w:p w14:paraId="5E3D70D1" w14:textId="33EC251D"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7A682B">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{"citationID":"mComr0wk","properties":{"unsorted":false,"formattedCitation":"(7, 14\\uc0\\u8211{}18)","plainCitation":"(7, 14–18)","noteIndex":0},"citationItems":[{"id":43,"uris":["http://zotero.org/users/11313215/items/TBICN8KA"],"itemData":{"id":43,"type":"article-journal","abstract":"Many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304DDF">
        <w:rPr>
          <w:rFonts w:ascii="Cambria Math" w:eastAsia="Malgun Gothic" w:hAnsi="Cambria Math" w:cs="Cambria Math"/>
          <w:kern w:val="0"/>
          <w:sz w:val="20"/>
          <w:szCs w:val="20"/>
          <w:lang w:eastAsia="ja-JP"/>
          <w14:ligatures w14:val="none"/>
        </w:rPr>
        <w:instrText>ﬀ</w:instrText>
      </w:r>
      <w:r w:rsidR="00304DDF">
        <w:rPr>
          <w:rFonts w:ascii="Arial" w:eastAsia="Malgun Gothic" w:hAnsi="Arial" w:cs="Arial"/>
          <w:kern w:val="0"/>
          <w:sz w:val="20"/>
          <w:szCs w:val="20"/>
          <w:lang w:eastAsia="ja-JP"/>
          <w14:ligatures w14:val="none"/>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304DDF">
        <w:rPr>
          <w:rFonts w:ascii="Cambria Math" w:eastAsia="Malgun Gothic" w:hAnsi="Cambria Math" w:cs="Cambria Math"/>
          <w:kern w:val="0"/>
          <w:sz w:val="20"/>
          <w:szCs w:val="20"/>
          <w:lang w:eastAsia="ja-JP"/>
          <w14:ligatures w14:val="none"/>
        </w:rPr>
        <w:instrText>ﬀ</w:instrText>
      </w:r>
      <w:r w:rsidR="00304DDF">
        <w:rPr>
          <w:rFonts w:ascii="Arial" w:eastAsia="Malgun Gothic" w:hAnsi="Arial" w:cs="Arial"/>
          <w:kern w:val="0"/>
          <w:sz w:val="20"/>
          <w:szCs w:val="20"/>
          <w:lang w:eastAsia="ja-JP"/>
          <w14:ligatures w14:val="none"/>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304DDF">
        <w:rPr>
          <w:rFonts w:ascii="Cambria Math" w:eastAsia="Malgun Gothic" w:hAnsi="Cambria Math" w:cs="Cambria Math"/>
          <w:kern w:val="0"/>
          <w:sz w:val="20"/>
          <w:szCs w:val="20"/>
          <w:lang w:eastAsia="ja-JP"/>
          <w14:ligatures w14:val="none"/>
        </w:rPr>
        <w:instrText>ﬀ</w:instrText>
      </w:r>
      <w:r w:rsidR="00304DDF">
        <w:rPr>
          <w:rFonts w:ascii="Arial" w:eastAsia="Malgun Gothic" w:hAnsi="Arial" w:cs="Arial"/>
          <w:kern w:val="0"/>
          <w:sz w:val="20"/>
          <w:szCs w:val="20"/>
          <w:lang w:eastAsia="ja-JP"/>
          <w14:ligatures w14:val="none"/>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304DDF">
        <w:rPr>
          <w:rFonts w:ascii="Cambria Math" w:eastAsia="Malgun Gothic" w:hAnsi="Cambria Math" w:cs="Cambria Math"/>
          <w:kern w:val="0"/>
          <w:sz w:val="20"/>
          <w:szCs w:val="20"/>
          <w:lang w:eastAsia="ja-JP"/>
          <w14:ligatures w14:val="none"/>
        </w:rPr>
        <w:instrText>ﬀ</w:instrText>
      </w:r>
      <w:r w:rsidR="00304DDF">
        <w:rPr>
          <w:rFonts w:ascii="Arial" w:eastAsia="Malgun Gothic" w:hAnsi="Arial" w:cs="Arial"/>
          <w:kern w:val="0"/>
          <w:sz w:val="20"/>
          <w:szCs w:val="20"/>
          <w:lang w:eastAsia="ja-JP"/>
          <w14:ligatures w14:val="none"/>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304DDF" w:rsidRPr="00304DDF">
        <w:rPr>
          <w:rFonts w:ascii="Arial" w:hAnsi="Arial" w:cs="Arial"/>
          <w:color w:val="000000"/>
          <w:kern w:val="0"/>
          <w:sz w:val="20"/>
          <w:szCs w:val="24"/>
        </w:rPr>
        <w:t>(7, 14–18)</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w:t>
      </w:r>
      <w:r w:rsidR="00467056" w:rsidRPr="007A682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t xml:space="preserve"> </w:t>
      </w:r>
      <w:r w:rsidR="00467056" w:rsidRPr="007A682B">
        <w:rPr>
          <w:rFonts w:ascii="Arial" w:eastAsia="Malgun Gothic" w:hAnsi="Arial" w:cs="Arial"/>
          <w:kern w:val="0"/>
          <w:sz w:val="20"/>
          <w:szCs w:val="20"/>
          <w:lang w:eastAsia="ja-JP"/>
          <w14:ligatures w14:val="none"/>
        </w:rPr>
        <w:t>To do this, w</w:t>
      </w:r>
      <w:r w:rsidRPr="007A682B">
        <w:rPr>
          <w:rFonts w:ascii="Arial" w:eastAsia="Malgun Gothic" w:hAnsi="Arial" w:cs="Arial"/>
          <w:kern w:val="0"/>
          <w:sz w:val="20"/>
          <w:szCs w:val="20"/>
          <w:lang w:eastAsia="ja-JP"/>
          <w14:ligatures w14:val="none"/>
        </w:rPr>
        <w:t xml:space="preserve">e replaced the terra cotta pot serving as the </w:t>
      </w:r>
      <w:r w:rsidR="00BA4CCE" w:rsidRPr="007A682B">
        <w:rPr>
          <w:rFonts w:ascii="Arial" w:eastAsia="Malgun Gothic" w:hAnsi="Arial" w:cs="Arial"/>
          <w:kern w:val="0"/>
          <w:sz w:val="20"/>
          <w:szCs w:val="20"/>
          <w:lang w:eastAsia="ja-JP"/>
          <w14:ligatures w14:val="none"/>
        </w:rPr>
        <w:t>pair’s</w:t>
      </w:r>
      <w:r w:rsidRPr="007A682B">
        <w:rPr>
          <w:rFonts w:ascii="Arial" w:eastAsia="Malgun Gothic" w:hAnsi="Arial" w:cs="Arial"/>
          <w:kern w:val="0"/>
          <w:sz w:val="20"/>
          <w:szCs w:val="20"/>
          <w:lang w:eastAsia="ja-JP"/>
          <w14:ligatures w14:val="none"/>
        </w:rPr>
        <w:t xml:space="preserve"> nest with a terra cotta pot containing eggs from another pair. Anemonefish do not discriminate between their own eggs and unrelated eggs, and parent them with similar vigor to their own</w:t>
      </w:r>
      <w:r w:rsidR="00953BF7" w:rsidRPr="007A682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{"citationID":"dqMS0aXB","properties":{"unsorted":false,"formattedCitation":"(15, 18)","plainCitation":"(15, 18)","noteIndex":0},"citationItems":[{"id":28,"uris":["http://zotero.org/users/11313215/items/ISXWL2QW"],"itemData":{"id":28,"type":"article-journal","abstract":"Abstract\n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304DDF">
        <w:rPr>
          <w:rFonts w:ascii="Arial" w:hAnsi="Arial" w:cs="Arial"/>
          <w:sz w:val="20"/>
          <w:szCs w:val="20"/>
          <w:lang w:eastAsia="ja-JP"/>
        </w:rPr>
        <w:t>(15, 18)</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We then allowed 24 hours for the fish to acclimate to the new pot. One hour prior to recording, we placed a camera in front of the tank to allow acclimation. We then recorded parental care behaviors</w:t>
      </w:r>
      <w:r w:rsidR="00467056" w:rsidRPr="007A682B">
        <w:rPr>
          <w:rFonts w:ascii="Arial" w:eastAsia="Malgun Gothic" w:hAnsi="Arial" w:cs="Arial"/>
          <w:kern w:val="0"/>
          <w:sz w:val="20"/>
          <w:szCs w:val="20"/>
          <w:lang w:eastAsia="ja-JP"/>
          <w14:ligatures w14:val="none"/>
        </w:rPr>
        <w:t xml:space="preserve"> (</w:t>
      </w:r>
      <w:r w:rsidR="009208CE" w:rsidRPr="007A682B">
        <w:rPr>
          <w:rFonts w:ascii="Arial" w:eastAsia="Malgun Gothic" w:hAnsi="Arial" w:cs="Arial"/>
          <w:kern w:val="0"/>
          <w:sz w:val="20"/>
          <w:szCs w:val="20"/>
          <w:lang w:eastAsia="ja-JP"/>
          <w14:ligatures w14:val="none"/>
        </w:rPr>
        <w:t>fanning, nipping, and wiggling) as well as the time spent in the nest</w:t>
      </w:r>
      <w:r w:rsidRPr="007A682B">
        <w:rPr>
          <w:rFonts w:ascii="Arial" w:eastAsia="Malgun Gothic" w:hAnsi="Arial" w:cs="Arial"/>
          <w:kern w:val="0"/>
          <w:sz w:val="20"/>
          <w:szCs w:val="20"/>
          <w:lang w:eastAsia="ja-JP"/>
          <w14:ligatures w14:val="none"/>
        </w:rPr>
        <w:t xml:space="preserve"> for 10 minutes</w:t>
      </w:r>
      <w:r w:rsidR="003A38D8" w:rsidRPr="007A682B">
        <w:rPr>
          <w:rFonts w:ascii="Arial" w:eastAsia="Malgun Gothic" w:hAnsi="Arial" w:cs="Arial"/>
          <w:kern w:val="0"/>
          <w:sz w:val="20"/>
          <w:szCs w:val="20"/>
          <w:lang w:eastAsia="ja-JP"/>
          <w14:ligatures w14:val="none"/>
        </w:rPr>
        <w:t xml:space="preserve"> (</w:t>
      </w:r>
      <w:r w:rsidR="003A38D8" w:rsidRPr="007A682B">
        <w:rPr>
          <w:rFonts w:ascii="Arial" w:eastAsia="Malgun Gothic" w:hAnsi="Arial" w:cs="Arial"/>
          <w:kern w:val="0"/>
          <w:sz w:val="20"/>
          <w:szCs w:val="20"/>
          <w:highlight w:val="yellow"/>
          <w:lang w:eastAsia="ja-JP"/>
          <w14:ligatures w14:val="none"/>
        </w:rPr>
        <w:t>Appendix S</w:t>
      </w:r>
      <w:r w:rsidR="00C538DF" w:rsidRPr="00913D54">
        <w:rPr>
          <w:rFonts w:ascii="Arial" w:eastAsia="Malgun Gothic" w:hAnsi="Arial" w:cs="Arial"/>
          <w:kern w:val="0"/>
          <w:sz w:val="20"/>
          <w:szCs w:val="20"/>
          <w:highlight w:val="yellow"/>
          <w:lang w:eastAsia="ja-JP"/>
          <w14:ligatures w14:val="none"/>
        </w:rPr>
        <w:t>1</w:t>
      </w:r>
      <w:r w:rsidR="00913D54" w:rsidRPr="00913D54">
        <w:rPr>
          <w:rFonts w:ascii="Arial" w:eastAsia="Malgun Gothic" w:hAnsi="Arial" w:cs="Arial"/>
          <w:kern w:val="0"/>
          <w:sz w:val="20"/>
          <w:szCs w:val="20"/>
          <w:highlight w:val="yellow"/>
          <w:lang w:eastAsia="ja-JP"/>
          <w14:ligatures w14:val="none"/>
        </w:rPr>
        <w:t>6</w:t>
      </w:r>
      <w:r w:rsidR="003A38D8" w:rsidRPr="007A682B">
        <w:rPr>
          <w:rFonts w:ascii="Arial" w:eastAsia="Malgun Gothic" w:hAnsi="Arial" w:cs="Arial"/>
          <w:kern w:val="0"/>
          <w:sz w:val="20"/>
          <w:szCs w:val="20"/>
          <w:lang w:eastAsia="ja-JP"/>
          <w14:ligatures w14:val="none"/>
        </w:rPr>
        <w:t>)</w:t>
      </w:r>
      <w:r w:rsidRPr="007A682B">
        <w:rPr>
          <w:rFonts w:ascii="Arial" w:eastAsia="Malgun Gothic" w:hAnsi="Arial" w:cs="Arial"/>
          <w:kern w:val="0"/>
          <w:sz w:val="20"/>
          <w:szCs w:val="20"/>
          <w:lang w:eastAsia="ja-JP"/>
          <w14:ligatures w14:val="none"/>
        </w:rPr>
        <w:t>. We analyzed these data using two linear regressions, one fitting the time spent in the nest to phase, and another fitting the sum of parental care behaviors to phase.</w:t>
      </w:r>
      <w:r w:rsidR="00BA436F">
        <w:rPr>
          <w:rFonts w:ascii="Arial" w:eastAsia="Malgun Gothic" w:hAnsi="Arial" w:cs="Arial"/>
          <w:kern w:val="0"/>
          <w:sz w:val="20"/>
          <w:szCs w:val="20"/>
          <w:lang w:eastAsia="ja-JP"/>
          <w14:ligatures w14:val="none"/>
        </w:rPr>
        <w:t xml:space="preserve"> For these analyses we included all phases: M (n=6), F (n=6), I (n=7), IP (n=7), LI (n=2), LIP (n=2), NF (n=1), NM (n=1).</w:t>
      </w:r>
    </w:p>
    <w:p w14:paraId="761DDB03"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Serum Hormone Analysis</w:t>
      </w:r>
    </w:p>
    <w:p w14:paraId="7268012A" w14:textId="77777777"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1B01AADC" w14:textId="0AF7DAC3"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We were unable to </w:t>
      </w:r>
      <w:r w:rsidR="00953BF7" w:rsidRPr="007A682B">
        <w:rPr>
          <w:rFonts w:ascii="Arial" w:eastAsia="Malgun Gothic" w:hAnsi="Arial" w:cs="Arial"/>
          <w:kern w:val="0"/>
          <w:sz w:val="20"/>
          <w:szCs w:val="20"/>
          <w:lang w:eastAsia="ja-JP"/>
          <w14:ligatures w14:val="none"/>
        </w:rPr>
        <w:t xml:space="preserve">collect sufficient blood to </w:t>
      </w:r>
      <w:r w:rsidRPr="007A682B">
        <w:rPr>
          <w:rFonts w:ascii="Arial" w:eastAsia="Malgun Gothic" w:hAnsi="Arial" w:cs="Arial"/>
          <w:kern w:val="0"/>
          <w:sz w:val="20"/>
          <w:szCs w:val="20"/>
          <w:lang w:eastAsia="ja-JP"/>
          <w14:ligatures w14:val="none"/>
        </w:rPr>
        <w:t xml:space="preserve">measure the plasma 11KT from two individuals, one male and one female; </w:t>
      </w:r>
      <w:r w:rsidR="00953BF7" w:rsidRPr="007A682B">
        <w:rPr>
          <w:rFonts w:ascii="Arial" w:eastAsia="Malgun Gothic" w:hAnsi="Arial" w:cs="Arial"/>
          <w:kern w:val="0"/>
          <w:sz w:val="20"/>
          <w:szCs w:val="20"/>
          <w:lang w:eastAsia="ja-JP"/>
          <w14:ligatures w14:val="none"/>
        </w:rPr>
        <w:t xml:space="preserve">thus </w:t>
      </w:r>
      <w:r w:rsidRPr="007A682B">
        <w:rPr>
          <w:rFonts w:ascii="Arial" w:eastAsia="Malgun Gothic" w:hAnsi="Arial" w:cs="Arial"/>
          <w:kern w:val="0"/>
          <w:sz w:val="20"/>
          <w:szCs w:val="20"/>
          <w:lang w:eastAsia="ja-JP"/>
          <w14:ligatures w14:val="none"/>
        </w:rPr>
        <w:t xml:space="preserve">these individuals were omitted </w:t>
      </w:r>
      <w:r w:rsidR="00094EA5" w:rsidRPr="007A682B">
        <w:rPr>
          <w:rFonts w:ascii="Arial" w:eastAsia="Malgun Gothic" w:hAnsi="Arial" w:cs="Arial"/>
          <w:kern w:val="0"/>
          <w:sz w:val="20"/>
          <w:szCs w:val="20"/>
          <w:lang w:eastAsia="ja-JP"/>
          <w14:ligatures w14:val="none"/>
        </w:rPr>
        <w:t>from the</w:t>
      </w:r>
      <w:r w:rsidRPr="007A682B">
        <w:rPr>
          <w:rFonts w:ascii="Arial" w:eastAsia="Malgun Gothic" w:hAnsi="Arial" w:cs="Arial"/>
          <w:kern w:val="0"/>
          <w:sz w:val="20"/>
          <w:szCs w:val="20"/>
          <w:lang w:eastAsia="ja-JP"/>
          <w14:ligatures w14:val="none"/>
        </w:rPr>
        <w:t xml:space="preserve"> 11KT </w:t>
      </w:r>
      <w:r w:rsidR="00094EA5" w:rsidRPr="007A682B">
        <w:rPr>
          <w:rFonts w:ascii="Arial" w:eastAsia="Malgun Gothic" w:hAnsi="Arial" w:cs="Arial"/>
          <w:kern w:val="0"/>
          <w:sz w:val="20"/>
          <w:szCs w:val="20"/>
          <w:lang w:eastAsia="ja-JP"/>
          <w14:ligatures w14:val="none"/>
        </w:rPr>
        <w:t>analysis</w:t>
      </w:r>
      <w:r w:rsidRPr="007A682B">
        <w:rPr>
          <w:rFonts w:ascii="Arial" w:eastAsia="Malgun Gothic" w:hAnsi="Arial" w:cs="Arial"/>
          <w:kern w:val="0"/>
          <w:sz w:val="20"/>
          <w:szCs w:val="20"/>
          <w:lang w:eastAsia="ja-JP"/>
          <w14:ligatures w14:val="none"/>
        </w:rPr>
        <w:t xml:space="preserve">. Phase differences in </w:t>
      </w:r>
      <w:r w:rsidRPr="007A682B">
        <w:rPr>
          <w:rFonts w:ascii="Arial" w:eastAsia="Malgun Gothic" w:hAnsi="Arial" w:cs="Arial"/>
          <w:kern w:val="0"/>
          <w:sz w:val="20"/>
          <w:szCs w:val="20"/>
          <w:lang w:eastAsia="ja-JP"/>
          <w14:ligatures w14:val="none"/>
        </w:rPr>
        <w:lastRenderedPageBreak/>
        <w:t>11KT levels were analyzed using a linear regression fitting log10 transformed 11KT values by phase</w:t>
      </w:r>
      <w:r w:rsidR="00BA436F">
        <w:rPr>
          <w:rFonts w:ascii="Arial" w:eastAsia="Malgun Gothic" w:hAnsi="Arial" w:cs="Arial"/>
          <w:kern w:val="0"/>
          <w:sz w:val="20"/>
          <w:szCs w:val="20"/>
          <w:lang w:eastAsia="ja-JP"/>
          <w14:ligatures w14:val="none"/>
        </w:rPr>
        <w:t xml:space="preserve"> (all phases were included)</w:t>
      </w:r>
      <w:r w:rsidRPr="007A682B">
        <w:rPr>
          <w:rFonts w:ascii="Arial" w:eastAsia="Malgun Gothic" w:hAnsi="Arial" w:cs="Arial"/>
          <w:kern w:val="0"/>
          <w:sz w:val="20"/>
          <w:szCs w:val="20"/>
          <w:lang w:eastAsia="ja-JP"/>
          <w14:ligatures w14:val="none"/>
        </w:rPr>
        <w:t xml:space="preserve">. </w:t>
      </w:r>
    </w:p>
    <w:p w14:paraId="2A04847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Gonads</w:t>
      </w:r>
    </w:p>
    <w:p w14:paraId="7BB79D13" w14:textId="77777777" w:rsidR="00094EA5" w:rsidRDefault="00094EA5" w:rsidP="00094EA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After collecting blood and weighing and measuring, the fish were euthanized via decapitation,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4E11E866" w14:textId="103F363C" w:rsidR="00094EA5" w:rsidRPr="007A682B" w:rsidRDefault="00DA454B" w:rsidP="00094EA5">
      <w:pPr>
        <w:spacing w:after="160"/>
        <w:ind w:firstLine="720"/>
        <w:rPr>
          <w:rFonts w:ascii="Arial" w:eastAsia="Malgun Gothic" w:hAnsi="Arial" w:cs="Arial"/>
          <w:kern w:val="0"/>
          <w:sz w:val="20"/>
          <w:szCs w:val="20"/>
          <w:lang w:eastAsia="ja-JP"/>
          <w14:ligatures w14:val="none"/>
        </w:rPr>
      </w:pPr>
      <w:r w:rsidRPr="00DA454B">
        <w:rPr>
          <w:rFonts w:ascii="Arial" w:eastAsia="Malgun Gothic" w:hAnsi="Arial" w:cs="Arial"/>
          <w:kern w:val="0"/>
          <w:sz w:val="20"/>
          <w:szCs w:val="20"/>
          <w:lang w:eastAsia="ja-JP"/>
          <w14:ligatures w14:val="none"/>
        </w:rPr>
        <w:t xml:space="preserve">To quantify gonadal composition, we examined the relative proportions of testicular and non-vitellogenic ovarian tissue in </w:t>
      </w:r>
      <w:r w:rsidR="00BA565C">
        <w:rPr>
          <w:rFonts w:ascii="Arial" w:eastAsia="Malgun Gothic" w:hAnsi="Arial" w:cs="Arial"/>
          <w:kern w:val="0"/>
          <w:sz w:val="20"/>
          <w:szCs w:val="20"/>
          <w:lang w:eastAsia="ja-JP"/>
          <w14:ligatures w14:val="none"/>
        </w:rPr>
        <w:t>sex changing individuals</w:t>
      </w:r>
      <w:r w:rsidRPr="00DA454B">
        <w:rPr>
          <w:rFonts w:ascii="Arial" w:eastAsia="Malgun Gothic" w:hAnsi="Arial" w:cs="Arial"/>
          <w:kern w:val="0"/>
          <w:sz w:val="20"/>
          <w:szCs w:val="20"/>
          <w:lang w:eastAsia="ja-JP"/>
          <w14:ligatures w14:val="none"/>
        </w:rPr>
        <w:t>. Females and the New Female were excluded because their gonads consist</w:t>
      </w:r>
      <w:r w:rsidR="00BA565C">
        <w:rPr>
          <w:rFonts w:ascii="Arial" w:eastAsia="Malgun Gothic" w:hAnsi="Arial" w:cs="Arial"/>
          <w:kern w:val="0"/>
          <w:sz w:val="20"/>
          <w:szCs w:val="20"/>
          <w:lang w:eastAsia="ja-JP"/>
          <w14:ligatures w14:val="none"/>
        </w:rPr>
        <w:t>ed</w:t>
      </w:r>
      <w:r w:rsidRPr="00DA454B">
        <w:rPr>
          <w:rFonts w:ascii="Arial" w:eastAsia="Malgun Gothic" w:hAnsi="Arial" w:cs="Arial"/>
          <w:kern w:val="0"/>
          <w:sz w:val="20"/>
          <w:szCs w:val="20"/>
          <w:lang w:eastAsia="ja-JP"/>
          <w14:ligatures w14:val="none"/>
        </w:rPr>
        <w:t xml:space="preserve"> entirely of ovarian tissue</w:t>
      </w:r>
      <w:r w:rsidR="00BA565C">
        <w:rPr>
          <w:rFonts w:ascii="Arial" w:eastAsia="Malgun Gothic" w:hAnsi="Arial" w:cs="Arial"/>
          <w:kern w:val="0"/>
          <w:sz w:val="20"/>
          <w:szCs w:val="20"/>
          <w:lang w:eastAsia="ja-JP"/>
          <w14:ligatures w14:val="none"/>
        </w:rPr>
        <w:t xml:space="preserve"> with large vitellogenic oocytes</w:t>
      </w:r>
      <w:r w:rsidRPr="00DA454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{"citationID":"gaoTqngq","properties":{"unsorted":false,"formattedCitation":"(7)","plainCitation":"(7)","noteIndex":0},"citationItems":[{"id":43,"uris":["http://zotero.org/users/11313215/items/TBICN8KA"],"itemData":{"id":43,"type":"article-journal","abstract":"Many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(7)</w:t>
      </w:r>
      <w:r w:rsidRPr="007A682B">
        <w:rPr>
          <w:rFonts w:ascii="Arial" w:eastAsia="Malgun Gothic" w:hAnsi="Arial" w:cs="Arial"/>
          <w:kern w:val="0"/>
          <w:sz w:val="20"/>
          <w:szCs w:val="20"/>
          <w:lang w:eastAsia="ja-JP"/>
          <w14:ligatures w14:val="none"/>
        </w:rPr>
        <w:fldChar w:fldCharType="end"/>
      </w:r>
      <w:r w:rsidRPr="00DA454B">
        <w:rPr>
          <w:rFonts w:ascii="Arial" w:eastAsia="Malgun Gothic" w:hAnsi="Arial" w:cs="Arial"/>
          <w:kern w:val="0"/>
          <w:sz w:val="20"/>
          <w:szCs w:val="20"/>
          <w:lang w:eastAsia="ja-JP"/>
          <w14:ligatures w14:val="none"/>
        </w:rPr>
        <w:t>. For each individual, 20 randomly selected sections were imaged using a Zeiss Axioskop 40 (Carl Zeiss Microscopy LLC, White Plains, NY) at 10× magnification. Images were analyzed in Photoshop by identifying regions of testicular tissue, non-vitellogenic ovarian tissue, and connective tissue and recording the pixel area of each. The proportion of each tissue type was calculated by dividing its total area by the combined area of all three tissue types, excluding empty space. Differences in the proportions of testicular and ovarian tissue across phases were analyzed separately using linear regression.</w:t>
      </w:r>
    </w:p>
    <w:p w14:paraId="6E8B9090" w14:textId="2B2DC44C" w:rsidR="00094EA5" w:rsidRPr="007A682B" w:rsidRDefault="00094EA5"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to measure the area of the gonad in each slide. From this sample, we were able to estimate the total volume of the entire gonad in pixels for each individual. Due to large differences between the phases, we log10 transformed this value in all analyses. Because, gonadal volume is correlated with body size, we analyzed gonadal volume with phase and body length as covariates. For the bottom panel in Figure 1B, we plot the residuals of a linear regression only including body length as a fixed effect such that the phases could be directly comparable.</w:t>
      </w:r>
    </w:p>
    <w:p w14:paraId="6028A39E"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POA Dissection</w:t>
      </w:r>
    </w:p>
    <w:p w14:paraId="0ED95BC6" w14:textId="35F48710" w:rsidR="00094EA5" w:rsidRPr="007A682B" w:rsidRDefault="00094EA5" w:rsidP="00753C87">
      <w:pPr>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Following decapitation, the brain was immediately treated with chilled dissection medium by pipetting a small volume over the dorsal surface. The dissection medium consisted of Hibernate AB Complete medium supplemented with 2% B27, 0.5 mM GlutaMAX (BrainBits, LLC, Springfield, IL), and 200 U/mL Protector RNase Inhibitor (Roche, Basel, Switzerland). The brain was then removed and transferred to a Petri dish containing chilled dissection medium. The ventrocaudal telencephalon was isolated (</w:t>
      </w:r>
      <w:r w:rsidRPr="007A682B">
        <w:rPr>
          <w:rFonts w:ascii="Arial" w:eastAsia="Malgun Gothic" w:hAnsi="Arial" w:cs="Arial"/>
          <w:kern w:val="0"/>
          <w:sz w:val="20"/>
          <w:szCs w:val="20"/>
          <w:highlight w:val="yellow"/>
          <w:lang w:eastAsia="ja-JP"/>
          <w14:ligatures w14:val="none"/>
        </w:rPr>
        <w:t>Fig. S2A,B</w:t>
      </w:r>
      <w:r w:rsidRPr="007A682B">
        <w:rPr>
          <w:rFonts w:ascii="Arial" w:eastAsia="Malgun Gothic" w:hAnsi="Arial" w:cs="Arial"/>
          <w:kern w:val="0"/>
          <w:sz w:val="20"/>
          <w:szCs w:val="20"/>
          <w:lang w:eastAsia="ja-JP"/>
          <w14:ligatures w14:val="none"/>
        </w:rPr>
        <w:t>), transferred to an RNase-free tube, and stored at −80°C.</w:t>
      </w:r>
    </w:p>
    <w:p w14:paraId="388C4FD3" w14:textId="77777777" w:rsidR="00094EA5" w:rsidRPr="007A682B" w:rsidRDefault="00094EA5" w:rsidP="00753C87">
      <w:pPr>
        <w:rPr>
          <w:rFonts w:ascii="Arial" w:eastAsia="Malgun Gothic" w:hAnsi="Arial" w:cs="Arial"/>
          <w:kern w:val="0"/>
          <w:sz w:val="20"/>
          <w:szCs w:val="20"/>
          <w:lang w:eastAsia="ja-JP"/>
          <w14:ligatures w14:val="none"/>
        </w:rPr>
      </w:pPr>
    </w:p>
    <w:p w14:paraId="43E1C64E" w14:textId="25E40B25" w:rsidR="003341ED" w:rsidRPr="007A682B" w:rsidRDefault="003341ED" w:rsidP="00753C87">
      <w:pPr>
        <w:rPr>
          <w:rFonts w:ascii="Arial" w:hAnsi="Arial" w:cs="Arial"/>
          <w:b/>
          <w:bCs/>
          <w:sz w:val="20"/>
          <w:szCs w:val="20"/>
        </w:rPr>
      </w:pPr>
      <w:r w:rsidRPr="007A682B">
        <w:rPr>
          <w:rFonts w:ascii="Arial" w:hAnsi="Arial" w:cs="Arial"/>
          <w:b/>
          <w:bCs/>
          <w:sz w:val="20"/>
          <w:szCs w:val="20"/>
        </w:rPr>
        <w:t xml:space="preserve">snMultiome </w:t>
      </w:r>
    </w:p>
    <w:p w14:paraId="2137BE15" w14:textId="77777777" w:rsidR="0013365A" w:rsidRPr="007A682B" w:rsidRDefault="0013365A" w:rsidP="00753C87">
      <w:pPr>
        <w:rPr>
          <w:rFonts w:ascii="Arial" w:hAnsi="Arial" w:cs="Arial"/>
          <w:b/>
          <w:bCs/>
          <w:sz w:val="20"/>
          <w:szCs w:val="20"/>
        </w:rPr>
      </w:pPr>
    </w:p>
    <w:p w14:paraId="1EA13558" w14:textId="77777777"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Nuclei Isolation </w:t>
      </w:r>
    </w:p>
    <w:p w14:paraId="488FBCCF" w14:textId="77777777" w:rsidR="00C8659C" w:rsidRPr="007A682B" w:rsidRDefault="00935218" w:rsidP="00C8659C">
      <w:pPr>
        <w:pStyle w:val="Default"/>
        <w:rPr>
          <w:rFonts w:ascii="Arial" w:hAnsi="Arial" w:cs="Arial"/>
          <w:color w:val="000000" w:themeColor="text1"/>
          <w:sz w:val="20"/>
          <w:szCs w:val="20"/>
        </w:rPr>
      </w:pPr>
      <w:r w:rsidRPr="007A682B">
        <w:rPr>
          <w:rFonts w:ascii="Arial" w:hAnsi="Arial" w:cs="Arial"/>
          <w:color w:val="000000" w:themeColor="text1"/>
          <w:sz w:val="20"/>
          <w:szCs w:val="20"/>
        </w:rPr>
        <w:tab/>
      </w:r>
      <w:r w:rsidR="00C8659C" w:rsidRPr="007A682B">
        <w:rPr>
          <w:rFonts w:ascii="Arial" w:hAnsi="Arial" w:cs="Arial"/>
          <w:color w:val="000000" w:themeColor="text1"/>
          <w:sz w:val="20"/>
          <w:szCs w:val="20"/>
        </w:rPr>
        <w:t>Nuclei isolation was adapted from the 10x Genomics Isolation of Nuclei for Single Cell Multiome ATAC + Gene Expression Demonstrated Protocol. Frozen specimens were thawed in 500 μL of 0.1× Lysis Buffer, partially homogenized by pipetting, and incubated for 10 min on an orbital shaker at 4°C. Following incubation, 500 μL of wash buffer was added, and samples were aspirated using a fire-polished, silanized pipette and mixed until complete homogenization was achieved. Samples were passed through a 70 μm cell strainer and centrifuged at 500 × g for 8 min at 4°C. The supernatant was discarded, and the pellet was resuspended in 1 mL of wash buffer.</w:t>
      </w:r>
    </w:p>
    <w:p w14:paraId="4D4B3947" w14:textId="77777777" w:rsidR="00C8659C" w:rsidRPr="007A682B" w:rsidRDefault="00C8659C" w:rsidP="00C8659C">
      <w:pPr>
        <w:pStyle w:val="Default"/>
        <w:rPr>
          <w:rFonts w:ascii="Arial" w:hAnsi="Arial" w:cs="Arial"/>
          <w:color w:val="000000" w:themeColor="text1"/>
          <w:sz w:val="20"/>
          <w:szCs w:val="20"/>
        </w:rPr>
      </w:pPr>
    </w:p>
    <w:p w14:paraId="32E2587B" w14:textId="62E6F3AA" w:rsidR="00771E24" w:rsidRPr="007A682B" w:rsidRDefault="00C8659C" w:rsidP="00C8659C">
      <w:pPr>
        <w:pStyle w:val="Default"/>
        <w:rPr>
          <w:rFonts w:ascii="Arial" w:hAnsi="Arial" w:cs="Arial"/>
          <w:color w:val="000000" w:themeColor="text1"/>
          <w:sz w:val="20"/>
          <w:szCs w:val="20"/>
        </w:rPr>
      </w:pPr>
      <w:r w:rsidRPr="007A682B">
        <w:rPr>
          <w:rFonts w:ascii="Arial" w:hAnsi="Arial" w:cs="Arial"/>
          <w:color w:val="000000" w:themeColor="text1"/>
          <w:sz w:val="20"/>
          <w:szCs w:val="20"/>
        </w:rPr>
        <w:tab/>
        <w:t xml:space="preserve">All subsequent steps were performed at 4°C. Samples were mixed, passed through a 30 μm cell strainer, rinsed with 200 μL of wash buffer, and centrifuged at 500 × g for 5 min. The supernatant was discarded, and the pellet was resuspended in 1 mL of wash buffer. This wash and centrifugation step was repeated twice. Samples were then passed through a chilled 20 μm cell strainer and centrifuged at 500 × g for 5 min. The supernatant was discarded, and the pellet was resuspended in 500 μL of final resuspension buffer. Samples were filtered once more through a 20 μm cell strainer and gently mixed by </w:t>
      </w:r>
      <w:r w:rsidRPr="007A682B">
        <w:rPr>
          <w:rFonts w:ascii="Arial" w:hAnsi="Arial" w:cs="Arial"/>
          <w:color w:val="000000" w:themeColor="text1"/>
          <w:sz w:val="20"/>
          <w:szCs w:val="20"/>
        </w:rPr>
        <w:lastRenderedPageBreak/>
        <w:t>repeated aspiration and dispensing. Ten microliters of each final nuclei suspension was mixed with 10 μL of 0.4% Trypan Blue. Nuclei were visualized using a hemocytometer at 10×, 20×, and 40× magnification and assessed for blebbing and debris. Final nuclei concentrations ranged from 3,230 to 8,060 nuclei/μL.</w:t>
      </w:r>
    </w:p>
    <w:p w14:paraId="0FC4A9C2" w14:textId="77777777" w:rsidR="00C8659C" w:rsidRPr="007A682B" w:rsidRDefault="00C8659C" w:rsidP="00C8659C">
      <w:pPr>
        <w:pStyle w:val="Default"/>
        <w:rPr>
          <w:rFonts w:ascii="Arial" w:hAnsi="Arial" w:cs="Arial"/>
          <w:color w:val="000000" w:themeColor="text1"/>
          <w:sz w:val="20"/>
          <w:szCs w:val="20"/>
        </w:rPr>
      </w:pPr>
    </w:p>
    <w:p w14:paraId="3AC4B378" w14:textId="77777777" w:rsidR="00771E24" w:rsidRPr="007A682B" w:rsidRDefault="00771E24" w:rsidP="00771E24">
      <w:pPr>
        <w:rPr>
          <w:rFonts w:ascii="Arial" w:hAnsi="Arial" w:cs="Arial"/>
          <w:sz w:val="20"/>
          <w:szCs w:val="20"/>
          <w:u w:val="single"/>
        </w:rPr>
      </w:pPr>
      <w:r w:rsidRPr="007A682B">
        <w:rPr>
          <w:rFonts w:ascii="Arial" w:hAnsi="Arial" w:cs="Arial"/>
          <w:sz w:val="20"/>
          <w:szCs w:val="20"/>
          <w:u w:val="single"/>
        </w:rPr>
        <w:t>Library Construction, Sequencing, and Demultiplexing</w:t>
      </w:r>
    </w:p>
    <w:p w14:paraId="3934BFC1" w14:textId="77777777" w:rsidR="00C8659C" w:rsidRPr="007A682B" w:rsidRDefault="00C8659C" w:rsidP="00C8659C">
      <w:pPr>
        <w:ind w:firstLine="720"/>
        <w:rPr>
          <w:rFonts w:ascii="Arial" w:hAnsi="Arial" w:cs="Arial"/>
          <w:sz w:val="20"/>
          <w:szCs w:val="20"/>
        </w:rPr>
      </w:pPr>
      <w:r w:rsidRPr="007A682B">
        <w:rPr>
          <w:rFonts w:ascii="Arial" w:hAnsi="Arial" w:cs="Arial"/>
          <w:sz w:val="20"/>
          <w:szCs w:val="20"/>
        </w:rPr>
        <w:t xml:space="preserve">Droplet-based barcoding, library preparation, and sequencing were performed at the Georgia Institute of Technology Parker H. Petit Institute for Bioengineering and Bioscience Genome Analysis Core using the 10x Genomics platform. Samples were sequenced on an Illumina NovaSeq 6000 S4 (Illumina Inc., San Diego, CA) to a depth of approximately 110,000 reads per nucleus for the GEX and ATAC modalities. Reads were aligned to the </w:t>
      </w:r>
      <w:r w:rsidRPr="007A682B">
        <w:rPr>
          <w:rFonts w:ascii="Arial" w:hAnsi="Arial" w:cs="Arial"/>
          <w:i/>
          <w:iCs/>
          <w:sz w:val="20"/>
          <w:szCs w:val="20"/>
        </w:rPr>
        <w:t>Amphiprion ocellaris</w:t>
      </w:r>
      <w:r w:rsidRPr="007A682B">
        <w:rPr>
          <w:rFonts w:ascii="Arial" w:hAnsi="Arial" w:cs="Arial"/>
          <w:sz w:val="20"/>
          <w:szCs w:val="20"/>
        </w:rPr>
        <w:t xml:space="preserve"> RefSeq genome assembly (GCF_022539595.1).</w:t>
      </w:r>
    </w:p>
    <w:p w14:paraId="37AD322B" w14:textId="77777777" w:rsidR="00C8659C" w:rsidRPr="007A682B" w:rsidRDefault="00C8659C" w:rsidP="00C8659C">
      <w:pPr>
        <w:ind w:firstLine="720"/>
        <w:rPr>
          <w:rFonts w:ascii="Arial" w:hAnsi="Arial" w:cs="Arial"/>
          <w:sz w:val="20"/>
          <w:szCs w:val="20"/>
        </w:rPr>
      </w:pPr>
    </w:p>
    <w:p w14:paraId="0A6A7A69" w14:textId="4E653837" w:rsidR="00C8659C" w:rsidRPr="007A682B" w:rsidRDefault="00C8659C" w:rsidP="00C8659C">
      <w:pPr>
        <w:ind w:firstLine="720"/>
        <w:rPr>
          <w:rFonts w:ascii="Arial" w:hAnsi="Arial" w:cs="Arial"/>
          <w:sz w:val="20"/>
          <w:szCs w:val="20"/>
        </w:rPr>
      </w:pPr>
      <w:r w:rsidRPr="007A682B">
        <w:rPr>
          <w:rFonts w:ascii="Arial" w:hAnsi="Arial" w:cs="Arial"/>
          <w:sz w:val="20"/>
          <w:szCs w:val="20"/>
        </w:rPr>
        <w:t>To enable assignment of nuclei to individual fish, we also sequenced genomic DNA from each individual. DNA was extracted from fin tissue using the DNeasy Blood &amp; Tissue Kit (Qiagen, catalog no. 69504; Qiagen, Valencia, CA) and sequenced at the University of Illinois Roy J. Carver Biotechnology Center using an Illumina NovaSeq X Plus (Illumina Inc., San Diego, CA) with a 10B flow cell. BAM files were generated from each individual’s genomic DNA sequence data, and variants identified from genomic DNA and nuclear RNA were used to assign nuclei to individuals using a combination of Demuxlet</w:t>
      </w:r>
      <w:r w:rsidR="009E60BC" w:rsidRPr="007A682B">
        <w:rPr>
          <w:rFonts w:ascii="Arial" w:hAnsi="Arial" w:cs="Arial"/>
          <w:sz w:val="20"/>
          <w:szCs w:val="20"/>
        </w:rPr>
        <w:t xml:space="preserve"> </w:t>
      </w:r>
      <w:r w:rsidR="009E60BC" w:rsidRPr="007A682B">
        <w:rPr>
          <w:rFonts w:ascii="Arial" w:hAnsi="Arial" w:cs="Arial"/>
          <w:sz w:val="20"/>
          <w:szCs w:val="20"/>
        </w:rPr>
        <w:fldChar w:fldCharType="begin"/>
      </w:r>
      <w:r w:rsidR="00522792">
        <w:rPr>
          <w:rFonts w:ascii="Arial" w:hAnsi="Arial" w:cs="Arial"/>
          <w:sz w:val="20"/>
          <w:szCs w:val="20"/>
        </w:rPr>
        <w:instrText xml:space="preserve"> ADDIN ZOTERO_ITEM CSL_CITATION {"citationID":"xArGHkso","properties":{"unsorted":false,"formattedCitation":"(58)","plainCitation":"(58)","noteIndex":0},"citationItems":[{"id":3487,"uris":["http://zotero.org/users/11313215/items/68FTNPIR"],"itemData":{"id":3487,"type":"article-journal","abstract":"Droplet single-cell RNA-seq is applied to large numbers of pooled samples from unrelated individuals.","container-title":"Nature Biotechnology","DOI":"10.1038/nbt.4042","ISSN":"1546-1696","issue":"1","journalAbbreviation":"Nat Biotechnol","language":"en","license":"2017 Springer Nature America, Inc.","page":"89-94","publisher":"Nature Publishing Group","source":"www.nature.com","title":"Multiplexed droplet single-cell RNA-sequencing using natural genetic variation","volume":"36","author":[{"family":"Kang","given":"Hyun Min"},{"family":"Subramaniam","given":"Meena"},{"family":"Targ","given":"Sasha"},{"family":"Nguyen","given":"Michelle"},{"family":"Maliskova","given":"Lenka"},{"family":"McCarthy","given":"Elizabeth"},{"family":"Wan","given":"Eunice"},{"family":"Wong","given":"Simon"},{"family":"Byrnes","given":"Lauren"},{"family":"Lanata","given":"Cristina M."},{"family":"Gate","given":"Rachel E."},{"family":"Mostafavi","given":"Sara"},{"family":"Marson","given":"Alexander"},{"family":"Zaitlen","given":"Noah"},{"family":"Criswell","given":"Lindsey A."},{"family":"Ye","given":"Chun Jimmie"}],"issued":{"date-parts":[["2018",1]]}}}],"schema":"https://github.com/citation-style-language/schema/raw/master/csl-citation.json"} </w:instrText>
      </w:r>
      <w:r w:rsidR="009E60BC" w:rsidRPr="007A682B">
        <w:rPr>
          <w:rFonts w:ascii="Arial" w:hAnsi="Arial" w:cs="Arial"/>
          <w:sz w:val="20"/>
          <w:szCs w:val="20"/>
        </w:rPr>
        <w:fldChar w:fldCharType="separate"/>
      </w:r>
      <w:r w:rsidR="00522792">
        <w:rPr>
          <w:rFonts w:ascii="Arial" w:hAnsi="Arial" w:cs="Arial"/>
          <w:noProof/>
          <w:sz w:val="20"/>
          <w:szCs w:val="20"/>
        </w:rPr>
        <w:t>(58)</w:t>
      </w:r>
      <w:r w:rsidR="009E60BC" w:rsidRPr="007A682B">
        <w:rPr>
          <w:rFonts w:ascii="Arial" w:hAnsi="Arial" w:cs="Arial"/>
          <w:sz w:val="20"/>
          <w:szCs w:val="20"/>
        </w:rPr>
        <w:fldChar w:fldCharType="end"/>
      </w:r>
      <w:r w:rsidR="009E60BC" w:rsidRPr="007A682B">
        <w:rPr>
          <w:rFonts w:ascii="Arial" w:hAnsi="Arial" w:cs="Arial"/>
          <w:sz w:val="20"/>
          <w:szCs w:val="20"/>
        </w:rPr>
        <w:t xml:space="preserve"> </w:t>
      </w:r>
      <w:r w:rsidRPr="007A682B">
        <w:rPr>
          <w:rFonts w:ascii="Arial" w:hAnsi="Arial" w:cs="Arial"/>
          <w:sz w:val="20"/>
          <w:szCs w:val="20"/>
        </w:rPr>
        <w:t>and Souporcell</w:t>
      </w:r>
      <w:r w:rsidR="009613F6" w:rsidRPr="007A682B">
        <w:rPr>
          <w:rFonts w:ascii="Arial" w:hAnsi="Arial" w:cs="Arial"/>
          <w:sz w:val="20"/>
          <w:szCs w:val="20"/>
        </w:rPr>
        <w:fldChar w:fldCharType="begin"/>
      </w:r>
      <w:r w:rsidR="00522792">
        <w:rPr>
          <w:rFonts w:ascii="Arial" w:hAnsi="Arial" w:cs="Arial"/>
          <w:sz w:val="20"/>
          <w:szCs w:val="20"/>
        </w:rPr>
        <w:instrText xml:space="preserve"> ADDIN ZOTERO_ITEM CSL_CITATION {"citationID":"xBZXVSII","properties":{"unsorted":false,"formattedCitation":"(59)","plainCitation":"(59)","noteIndex":0},"citationItems":[{"id":3486,"uris":["http://zotero.org/users/11313215/items/SQPJSPNF"],"itemData":{"id":3486,"type":"article-journal","abstract":"Methods to deconvolve single-cell RNA-sequencing (scRNA-seq) data are necessary for samples containing a mixture of genotypes, whether they are natural or experimentally combined. Multiplexing across donors is a popular experimental design that can avoid batch effects, reduce costs and improve doublet detection. By using variants detected in scRNA-seq reads, it is possible to assign cells to their donor of origin and identify cross-genotype doublets that may have highly similar transcriptional profiles, precluding detection by transcriptional profile. More subtle cross-genotype variant contamination can be used to estimate the amount of ambient RNA. Ambient RNA is caused by cell lysis before droplet partitioning and is an important confounder of scRNA-seq analysis. Here we develop souporcell, a method to cluster cells using the genetic variants detected within the scRNA-seq reads. We show that it achieves high accuracy on genotype clustering, doublet detection and ambient RNA estimation, as demonstrated across a range of challenging scenarios.","container-title":"Nature Methods","DOI":"10.1038/s41592-020-0820-1","ISSN":"1548-7105","issue":"6","journalAbbreviation":"Nat Methods","language":"en","license":"2020 The Author(s), under exclusive licence to Springer Nature America, Inc.","page":"615-620","publisher":"Nature Publishing Group","source":"www.nature.com","title":"Souporcell: robust clustering of single-cell RNA-seq data by genotype without reference genotypes","title-short":"Souporcell","volume":"17","author":[{"family":"Heaton","given":"Haynes"},{"family":"Talman","given":"Arthur M."},{"family":"Knights","given":"Andrew"},{"family":"Imaz","given":"Maria"},{"family":"Gaffney","given":"Daniel J."},{"family":"Durbin","given":"Richard"},{"family":"Hemberg","given":"Martin"},{"family":"Lawniczak","given":"Mara K. N."}],"issued":{"date-parts":[["2020",6]]}}}],"schema":"https://github.com/citation-style-language/schema/raw/master/csl-citation.json"} </w:instrText>
      </w:r>
      <w:r w:rsidR="009613F6" w:rsidRPr="007A682B">
        <w:rPr>
          <w:rFonts w:ascii="Arial" w:hAnsi="Arial" w:cs="Arial"/>
          <w:sz w:val="20"/>
          <w:szCs w:val="20"/>
        </w:rPr>
        <w:fldChar w:fldCharType="separate"/>
      </w:r>
      <w:r w:rsidR="00522792">
        <w:rPr>
          <w:rFonts w:ascii="Arial" w:hAnsi="Arial" w:cs="Arial"/>
          <w:noProof/>
          <w:sz w:val="20"/>
          <w:szCs w:val="20"/>
        </w:rPr>
        <w:t>(59)</w:t>
      </w:r>
      <w:r w:rsidR="009613F6" w:rsidRPr="007A682B">
        <w:rPr>
          <w:rFonts w:ascii="Arial" w:hAnsi="Arial" w:cs="Arial"/>
          <w:sz w:val="20"/>
          <w:szCs w:val="20"/>
        </w:rPr>
        <w:fldChar w:fldCharType="end"/>
      </w:r>
      <w:r w:rsidR="009613F6" w:rsidRPr="007A682B">
        <w:rPr>
          <w:rFonts w:ascii="Arial" w:hAnsi="Arial" w:cs="Arial"/>
          <w:sz w:val="20"/>
          <w:szCs w:val="20"/>
        </w:rPr>
        <w:t>.</w:t>
      </w:r>
    </w:p>
    <w:p w14:paraId="31E6B901" w14:textId="77777777" w:rsidR="00C8659C" w:rsidRPr="007A682B" w:rsidRDefault="00C8659C" w:rsidP="00C8659C">
      <w:pPr>
        <w:ind w:firstLine="720"/>
        <w:rPr>
          <w:rFonts w:ascii="Arial" w:hAnsi="Arial" w:cs="Arial"/>
          <w:sz w:val="20"/>
          <w:szCs w:val="20"/>
        </w:rPr>
      </w:pPr>
    </w:p>
    <w:p w14:paraId="7B54314E" w14:textId="1DE9F960" w:rsidR="00C8659C" w:rsidRPr="007A682B" w:rsidRDefault="00C8659C" w:rsidP="00C8659C">
      <w:pPr>
        <w:ind w:firstLine="720"/>
        <w:rPr>
          <w:rFonts w:ascii="Arial" w:hAnsi="Arial" w:cs="Arial"/>
          <w:sz w:val="20"/>
          <w:szCs w:val="20"/>
        </w:rPr>
      </w:pPr>
      <w:r w:rsidRPr="007A682B">
        <w:rPr>
          <w:rFonts w:ascii="Arial" w:hAnsi="Arial" w:cs="Arial"/>
          <w:sz w:val="20"/>
          <w:szCs w:val="20"/>
        </w:rPr>
        <w:t>Cell Ranger ARC was used to demultiplex sequencing BCL files and generate FASTQ files for GEX and ATAC reads, create the reference genome package, perform cell calling for both modalities, and align reads to the reference genome. EmptyDropsMultiome</w:t>
      </w:r>
      <w:r w:rsidR="009E60BC" w:rsidRPr="007A682B">
        <w:rPr>
          <w:rFonts w:ascii="Arial" w:hAnsi="Arial" w:cs="Arial"/>
          <w:sz w:val="20"/>
          <w:szCs w:val="20"/>
        </w:rPr>
        <w:t xml:space="preserve"> </w:t>
      </w:r>
      <w:r w:rsidR="009E60BC" w:rsidRPr="007A682B">
        <w:rPr>
          <w:rFonts w:ascii="Arial" w:hAnsi="Arial" w:cs="Arial"/>
          <w:sz w:val="20"/>
          <w:szCs w:val="20"/>
        </w:rPr>
        <w:fldChar w:fldCharType="begin"/>
      </w:r>
      <w:r w:rsidR="00522792">
        <w:rPr>
          <w:rFonts w:ascii="Arial" w:hAnsi="Arial" w:cs="Arial"/>
          <w:sz w:val="20"/>
          <w:szCs w:val="20"/>
        </w:rPr>
        <w:instrText xml:space="preserve"> ADDIN ZOTERO_ITEM CSL_CITATION {"citationID":"9TcRkEOW","properties":{"unsorted":false,"formattedCitation":"(60)","plainCitation":"(60)","noteIndex":0},"citationItems":[{"id":3471,"uris":["http://zotero.org/users/11313215/items/S6LZL9KP"],"itemData":{"id":3471,"type":"article-journal","abstract":"Multiomic droplet-based technologies allow different molecular modalities, such as chromatin accessibility and gene expression (scATAC-seq and scRNA-seq), to be probed in the same nucleus. We develop EmptyDropsMultiome, an approach that distinguishes true nuclei-containing droplets from background. Using simulations, we show that EmptyDropsMultiome has higher statistical power and accuracy than existing approaches, including CellRanger-arc and EmptyDrops. On real datasets, we observe that CellRanger-arc misses more than half of the nuclei identified by EmptyDropsMultiome and, moreover, is biased against certain cell types, some of which have a retrieval rate lower than 20%.","container-title":"Genome Biology","DOI":"10.1186/s13059-024-03259-x","ISSN":"1474-760X","issue":"1","journalAbbreviation":"Genome Biology","page":"121","source":"BioMed Central","title":"EmptyDropsMultiome discriminates real cells from background in single-cell multiomics assays","volume":"25","author":[{"family":"Megas","given":"Stathis"},{"family":"Lorenzi","given":"Valentina"},{"family":"Marioni","given":"John C."}],"issued":{"date-parts":[["2024",5,13]]}}}],"schema":"https://github.com/citation-style-language/schema/raw/master/csl-citation.json"} </w:instrText>
      </w:r>
      <w:r w:rsidR="009E60BC" w:rsidRPr="007A682B">
        <w:rPr>
          <w:rFonts w:ascii="Arial" w:hAnsi="Arial" w:cs="Arial"/>
          <w:sz w:val="20"/>
          <w:szCs w:val="20"/>
        </w:rPr>
        <w:fldChar w:fldCharType="separate"/>
      </w:r>
      <w:r w:rsidR="00522792">
        <w:rPr>
          <w:rFonts w:ascii="Arial" w:hAnsi="Arial" w:cs="Arial"/>
          <w:noProof/>
          <w:sz w:val="20"/>
          <w:szCs w:val="20"/>
        </w:rPr>
        <w:t>(60)</w:t>
      </w:r>
      <w:r w:rsidR="009E60BC" w:rsidRPr="007A682B">
        <w:rPr>
          <w:rFonts w:ascii="Arial" w:hAnsi="Arial" w:cs="Arial"/>
          <w:sz w:val="20"/>
          <w:szCs w:val="20"/>
        </w:rPr>
        <w:fldChar w:fldCharType="end"/>
      </w:r>
      <w:r w:rsidRPr="007A682B">
        <w:rPr>
          <w:rFonts w:ascii="Arial" w:hAnsi="Arial" w:cs="Arial"/>
          <w:sz w:val="20"/>
          <w:szCs w:val="20"/>
        </w:rPr>
        <w:t xml:space="preserve"> was then used to distinguish nuclei-containing droplets from empty droplets and identify background, ambient RNA, and multiplets. Souporcell was additionally used to validate singlets and multiplets identified by EmptyDropsMultiome.</w:t>
      </w:r>
    </w:p>
    <w:p w14:paraId="67F46449" w14:textId="77777777" w:rsidR="00C8659C" w:rsidRPr="007A682B" w:rsidRDefault="00C8659C" w:rsidP="00C8659C">
      <w:pPr>
        <w:ind w:firstLine="720"/>
        <w:rPr>
          <w:rFonts w:ascii="Arial" w:hAnsi="Arial" w:cs="Arial"/>
          <w:sz w:val="20"/>
          <w:szCs w:val="20"/>
        </w:rPr>
      </w:pPr>
    </w:p>
    <w:p w14:paraId="390A0F21" w14:textId="0C147DB5" w:rsidR="00C8659C" w:rsidRPr="007A682B" w:rsidRDefault="00C8659C" w:rsidP="00093DF6">
      <w:pPr>
        <w:ind w:firstLine="720"/>
        <w:rPr>
          <w:rFonts w:ascii="Arial" w:hAnsi="Arial" w:cs="Arial"/>
          <w:sz w:val="20"/>
          <w:szCs w:val="20"/>
        </w:rPr>
      </w:pPr>
      <w:r w:rsidRPr="007A682B">
        <w:rPr>
          <w:rFonts w:ascii="Arial" w:hAnsi="Arial" w:cs="Arial"/>
          <w:sz w:val="20"/>
          <w:szCs w:val="20"/>
        </w:rPr>
        <w:t>Finally, we used MACS3 for ATAC-seq peak calling in place of the default Cell Ranger ARC peak calls because Cell Ranger ARC can merge distinct peaks located in close genomic proximity. MACS3 was also used to generate a unified peak set across all pooled samples.</w:t>
      </w:r>
    </w:p>
    <w:p w14:paraId="1334F001" w14:textId="77777777" w:rsidR="0013365A" w:rsidRPr="007A682B" w:rsidRDefault="0013365A" w:rsidP="00771E24">
      <w:pPr>
        <w:rPr>
          <w:rFonts w:ascii="Arial" w:hAnsi="Arial" w:cs="Arial"/>
          <w:sz w:val="20"/>
          <w:szCs w:val="20"/>
        </w:rPr>
      </w:pPr>
    </w:p>
    <w:p w14:paraId="5A88F417" w14:textId="77777777"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Quality Control </w:t>
      </w:r>
    </w:p>
    <w:p w14:paraId="3AEF7489" w14:textId="77777777" w:rsidR="009E60BC" w:rsidRPr="007A682B" w:rsidRDefault="009E60BC" w:rsidP="009E60BC">
      <w:pPr>
        <w:pStyle w:val="Default"/>
        <w:rPr>
          <w:rFonts w:ascii="Arial" w:hAnsi="Arial" w:cs="Arial"/>
          <w:color w:val="000000" w:themeColor="text1"/>
          <w:sz w:val="20"/>
          <w:szCs w:val="20"/>
        </w:rPr>
      </w:pPr>
      <w:r w:rsidRPr="007A682B">
        <w:rPr>
          <w:rFonts w:ascii="Arial" w:hAnsi="Arial" w:cs="Arial"/>
          <w:color w:val="000000" w:themeColor="text1"/>
          <w:sz w:val="20"/>
          <w:szCs w:val="20"/>
        </w:rPr>
        <w:t>Quality control was initially performed separately for each pool to identify high-quality nuclei and remove low-quality barcodes. Variable feature analysis was used to identify nuclei with low gene expression variability. On</w:t>
      </w:r>
      <w:commentRangeStart w:id="23"/>
      <w:commentRangeStart w:id="24"/>
      <w:r w:rsidRPr="007A682B">
        <w:rPr>
          <w:rFonts w:ascii="Arial" w:hAnsi="Arial" w:cs="Arial"/>
          <w:color w:val="000000" w:themeColor="text1"/>
          <w:sz w:val="20"/>
          <w:szCs w:val="20"/>
        </w:rPr>
        <w:t>ly barcodes containing at least 55% of highly variable genes were retained. In</w:t>
      </w:r>
      <w:commentRangeEnd w:id="23"/>
      <w:r w:rsidRPr="007A682B">
        <w:rPr>
          <w:rStyle w:val="CommentReference"/>
          <w:rFonts w:ascii="Arial" w:hAnsi="Arial" w:cs="Arial"/>
          <w:color w:val="000000" w:themeColor="text1"/>
          <w:sz w:val="20"/>
          <w:szCs w:val="20"/>
        </w:rPr>
        <w:commentReference w:id="23"/>
      </w:r>
      <w:commentRangeEnd w:id="24"/>
      <w:r w:rsidR="009613F6" w:rsidRPr="007A682B">
        <w:rPr>
          <w:rStyle w:val="CommentReference"/>
          <w:rFonts w:ascii="Arial" w:hAnsi="Arial" w:cs="Arial"/>
          <w:color w:val="000000" w:themeColor="text1"/>
          <w:sz w:val="20"/>
          <w:szCs w:val="20"/>
        </w:rPr>
        <w:commentReference w:id="24"/>
      </w:r>
      <w:r w:rsidRPr="007A682B">
        <w:rPr>
          <w:rFonts w:ascii="Arial" w:hAnsi="Arial" w:cs="Arial"/>
          <w:color w:val="000000" w:themeColor="text1"/>
          <w:sz w:val="20"/>
          <w:szCs w:val="20"/>
        </w:rPr>
        <w:t xml:space="preserve"> addition, barcodes in which the top 50 or top 100 most highly expressed genes accounted for more than 50% or 60% of total gene expression, respectively, were removed.</w:t>
      </w:r>
    </w:p>
    <w:p w14:paraId="0F568A2F" w14:textId="77777777" w:rsidR="009E60BC" w:rsidRPr="007A682B" w:rsidRDefault="009E60BC" w:rsidP="009E60BC">
      <w:pPr>
        <w:pStyle w:val="Default"/>
        <w:rPr>
          <w:rFonts w:ascii="Arial" w:hAnsi="Arial" w:cs="Arial"/>
          <w:color w:val="000000" w:themeColor="text1"/>
          <w:sz w:val="20"/>
          <w:szCs w:val="20"/>
        </w:rPr>
      </w:pPr>
    </w:p>
    <w:p w14:paraId="5F9E2C52" w14:textId="05FFDB75" w:rsidR="009E60BC" w:rsidRPr="007A682B" w:rsidRDefault="009E60BC" w:rsidP="009E60BC">
      <w:pPr>
        <w:pStyle w:val="Default"/>
        <w:rPr>
          <w:rFonts w:ascii="Arial" w:hAnsi="Arial" w:cs="Arial"/>
          <w:color w:val="000000" w:themeColor="text1"/>
          <w:sz w:val="20"/>
          <w:szCs w:val="20"/>
        </w:rPr>
      </w:pPr>
      <w:commentRangeStart w:id="25"/>
      <w:commentRangeStart w:id="26"/>
      <w:r w:rsidRPr="007A682B">
        <w:rPr>
          <w:rFonts w:ascii="Arial" w:hAnsi="Arial" w:cs="Arial"/>
          <w:color w:val="000000" w:themeColor="text1"/>
          <w:sz w:val="20"/>
          <w:szCs w:val="20"/>
        </w:rPr>
        <w:t>Following pool-level quality control, samples were merged and additional filtering was performed on the combined dataset. Nuclei were retained if they met the following criteria: 200 &lt; nCount_RNA &lt; 25,000; 200 &lt; nFeature_RNA &lt; 9,000; nCount_ATAC &lt; 25,000; nFeature_ATAC &lt; 16,000; mitochondrial reads &lt; 12%; protein-coding reads &gt; 85%; ribosomal reads &lt; 3%; TSS enrichment &gt; 0.8; and nucleosome signal &lt; 2.</w:t>
      </w:r>
      <w:commentRangeEnd w:id="25"/>
      <w:r w:rsidRPr="007A682B">
        <w:rPr>
          <w:rStyle w:val="CommentReference"/>
          <w:rFonts w:ascii="Arial" w:hAnsi="Arial" w:cs="Arial"/>
          <w:color w:val="000000" w:themeColor="text1"/>
          <w:sz w:val="20"/>
          <w:szCs w:val="20"/>
        </w:rPr>
        <w:commentReference w:id="25"/>
      </w:r>
      <w:commentRangeEnd w:id="26"/>
      <w:r w:rsidR="009613F6" w:rsidRPr="007A682B">
        <w:rPr>
          <w:rStyle w:val="CommentReference"/>
          <w:rFonts w:ascii="Arial" w:hAnsi="Arial" w:cs="Arial"/>
          <w:color w:val="000000" w:themeColor="text1"/>
          <w:sz w:val="20"/>
          <w:szCs w:val="20"/>
        </w:rPr>
        <w:commentReference w:id="26"/>
      </w:r>
    </w:p>
    <w:p w14:paraId="76D6F786" w14:textId="77777777" w:rsidR="00771E24" w:rsidRPr="007A682B" w:rsidRDefault="00771E24" w:rsidP="00753C87">
      <w:pPr>
        <w:rPr>
          <w:rFonts w:ascii="Arial" w:hAnsi="Arial" w:cs="Arial"/>
          <w:sz w:val="20"/>
          <w:szCs w:val="20"/>
          <w:u w:val="single"/>
        </w:rPr>
      </w:pPr>
    </w:p>
    <w:p w14:paraId="64D2DC7D" w14:textId="0519263D"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Normalization and Initial Clustering </w:t>
      </w:r>
    </w:p>
    <w:p w14:paraId="24BDFE98" w14:textId="77777777" w:rsidR="009E60BC" w:rsidRPr="007A682B" w:rsidRDefault="009E60BC" w:rsidP="00771E24">
      <w:pPr>
        <w:pStyle w:val="Default"/>
        <w:rPr>
          <w:rFonts w:ascii="Arial" w:hAnsi="Arial" w:cs="Arial"/>
          <w:color w:val="000000" w:themeColor="text1"/>
          <w:sz w:val="20"/>
          <w:szCs w:val="20"/>
          <w:u w:val="single"/>
        </w:rPr>
      </w:pPr>
    </w:p>
    <w:p w14:paraId="04BC3FBD" w14:textId="5AD3CC55" w:rsidR="00357350"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tab/>
        <w:t xml:space="preserve">Clustering was performed broadly following a standard Seurat pipeline. For the RNA modality, raw counts were normalized using LogNormalize() in Seurat. The top variable features were identified using FindVariableFeatures() (nfeatures = 4,000), and data were scaled using ScaleData() (scale.max = 50). Dimensionality reduction was then performed using RunPCA() (npcs = 50), followed by integration using IntegrateLayers() with HarmonyIntegration() </w:t>
      </w:r>
      <w:r w:rsidRPr="007A682B">
        <w:rPr>
          <w:rFonts w:ascii="Arial" w:hAnsi="Arial" w:cs="Arial"/>
          <w:color w:val="000000" w:themeColor="text1"/>
          <w:sz w:val="20"/>
          <w:szCs w:val="20"/>
        </w:rPr>
        <w:fldChar w:fldCharType="begin"/>
      </w:r>
      <w:r w:rsidR="00522792">
        <w:rPr>
          <w:rFonts w:ascii="Arial" w:hAnsi="Arial" w:cs="Arial"/>
          <w:color w:val="000000" w:themeColor="text1"/>
          <w:sz w:val="20"/>
          <w:szCs w:val="20"/>
        </w:rPr>
        <w:instrText xml:space="preserve"> ADDIN ZOTERO_ITEM CSL_CITATION {"citationID":"HuavlTFa","properties":{"unsorted":false,"formattedCitation":"(61)","plainCitation":"(61)","noteIndex":0},"citationItems":[{"id":3208,"uris":["http://zotero.org/users/11313215/items/LZ5PT7U5"],"itemData":{"id":3208,"type":"article-journal","abstract":"The emerging diversity of single cell RNAseq datasets allows for the full transcriptional characterization of cell types across a wide variety of biological and clinical conditions. However, it is challenging to analyze them together, particularly when datasets are assayed with different technologies. Here, real biological differences are interspersed with technical differences. We present Harmony,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We show that Harmony requires dramatically fewer computational resources. It is the only currently available algorithm that makes the integration of ~106 cells feasible on a personal computer. We apply Harmony to PBMCs from datasets with large experimental differences, 5 studies of pancreatic islet cells, mouse embryogenesis datasets, and cross-modality spatial integration.","container-title":"Nature methods","DOI":"10.1038/s41592-019-0619-0","ISSN":"1548-7091","issue":"12","journalAbbreviation":"Nat Methods","page":"1289-1296","PMID":"31740819","PMCID":"PMC6884693","source":"PubMed Central","title":"Fast, sensitive, and accurate integration of single cell data with Harmony","volume":"16","author":[{"family":"Korsunsky","given":"Ilya"},{"family":"Millard","given":"Nghia"},{"family":"Fan","given":"Jean"},{"family":"Slowikowski","given":"Kamil"},{"family":"Zhang","given":"Fan"},{"family":"Wei","given":"Kevin"},{"family":"Baglaenko","given":"Yuriy"},{"family":"Brenner","given":"Michael"},{"family":"Loh","given":"Po-ru"},{"family":"Raychaudhuri","given":"Soumya"}],"issued":{"date-parts":[["2019",12]]}}}],"schema":"https://github.com/citation-style-language/schema/raw/master/csl-citation.json"} </w:instrText>
      </w:r>
      <w:r w:rsidRPr="007A682B">
        <w:rPr>
          <w:rFonts w:ascii="Arial" w:hAnsi="Arial" w:cs="Arial"/>
          <w:color w:val="000000" w:themeColor="text1"/>
          <w:sz w:val="20"/>
          <w:szCs w:val="20"/>
        </w:rPr>
        <w:fldChar w:fldCharType="separate"/>
      </w:r>
      <w:r w:rsidR="00522792">
        <w:rPr>
          <w:rFonts w:ascii="Arial" w:hAnsi="Arial" w:cs="Arial"/>
          <w:noProof/>
          <w:color w:val="000000" w:themeColor="text1"/>
          <w:sz w:val="20"/>
          <w:szCs w:val="20"/>
        </w:rPr>
        <w:t>(61)</w:t>
      </w:r>
      <w:r w:rsidRPr="007A682B">
        <w:rPr>
          <w:rFonts w:ascii="Arial" w:hAnsi="Arial" w:cs="Arial"/>
          <w:color w:val="000000" w:themeColor="text1"/>
          <w:sz w:val="20"/>
          <w:szCs w:val="20"/>
        </w:rPr>
        <w:fldChar w:fldCharType="end"/>
      </w:r>
      <w:r w:rsidRPr="007A682B">
        <w:rPr>
          <w:rFonts w:ascii="Arial" w:hAnsi="Arial" w:cs="Arial"/>
          <w:color w:val="000000" w:themeColor="text1"/>
          <w:sz w:val="20"/>
          <w:szCs w:val="20"/>
        </w:rPr>
        <w:t>.</w:t>
      </w:r>
    </w:p>
    <w:p w14:paraId="44E5EC48" w14:textId="77777777" w:rsidR="00357350" w:rsidRPr="007A682B" w:rsidRDefault="00357350" w:rsidP="00357350">
      <w:pPr>
        <w:pStyle w:val="Default"/>
        <w:rPr>
          <w:rFonts w:ascii="Arial" w:hAnsi="Arial" w:cs="Arial"/>
          <w:color w:val="000000" w:themeColor="text1"/>
          <w:sz w:val="20"/>
          <w:szCs w:val="20"/>
        </w:rPr>
      </w:pPr>
    </w:p>
    <w:p w14:paraId="43A66FF5" w14:textId="77777777" w:rsidR="00357350"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t xml:space="preserve">For the ATAC modality, the top features within each sequencing pool were identified using FindTopFeatures() (min.cutoff = 10). Term frequency–inverse document frequency (TF-IDF) normalization was performed using RunTFIDF(), followed by singular value decomposition using RunSVD() (n = 50) with features identified by FindTopFeatures(). Pools were then merged, and the same processing steps were applied to the combined dataset. Integration anchors were identified using </w:t>
      </w:r>
      <w:r w:rsidRPr="007A682B">
        <w:rPr>
          <w:rFonts w:ascii="Arial" w:hAnsi="Arial" w:cs="Arial"/>
          <w:color w:val="000000" w:themeColor="text1"/>
          <w:sz w:val="20"/>
          <w:szCs w:val="20"/>
        </w:rPr>
        <w:lastRenderedPageBreak/>
        <w:t>FindIntegrationAnchors() (anchor.features = VariableFeatures, dims = 2:30, n.trees = 100, l2.norm = FALSE, scale = FALSE, max.features = 500). IntegrateEmbeddings() was then used with these anchors to generate a unified latent semantic indexing (LSI) reduction.</w:t>
      </w:r>
    </w:p>
    <w:p w14:paraId="6321CFC3" w14:textId="77777777" w:rsidR="00357350" w:rsidRPr="007A682B" w:rsidRDefault="00357350" w:rsidP="00357350">
      <w:pPr>
        <w:pStyle w:val="Default"/>
        <w:rPr>
          <w:rFonts w:ascii="Arial" w:hAnsi="Arial" w:cs="Arial"/>
          <w:color w:val="000000" w:themeColor="text1"/>
          <w:sz w:val="20"/>
          <w:szCs w:val="20"/>
        </w:rPr>
      </w:pPr>
    </w:p>
    <w:p w14:paraId="4269487E" w14:textId="3F3C8C44" w:rsidR="009E60BC"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t xml:space="preserve">A weighted nearest-neighbor graph integrating both modalities was constructed using FindMultiModalNeighbors() (RNA dimensions = 1:50; ATAC dimensions = 2:50; prune.SNN = 0), using the RNA Harmony and ATAC LSI reductions. A uniform manifold approximation and projection (UMAP) was generated using RunUMAP() (min.dist = 0.4, metric = "euclidean"), and clusters were identified using FindClusters() (algorithm = 3, resolution = 0.4). An initial clustering resolution of 0.4 was selected based on the method described by Bai and Chu (2024) </w:t>
      </w:r>
      <w:r w:rsidRPr="007A682B">
        <w:rPr>
          <w:rFonts w:ascii="Arial" w:hAnsi="Arial" w:cs="Arial"/>
          <w:color w:val="000000" w:themeColor="text1"/>
          <w:sz w:val="20"/>
          <w:szCs w:val="20"/>
        </w:rPr>
        <w:fldChar w:fldCharType="begin"/>
      </w:r>
      <w:r w:rsidR="00522792">
        <w:rPr>
          <w:rFonts w:ascii="Arial" w:hAnsi="Arial" w:cs="Arial"/>
          <w:color w:val="000000" w:themeColor="text1"/>
          <w:sz w:val="20"/>
          <w:szCs w:val="20"/>
        </w:rPr>
        <w:instrText xml:space="preserve"> ADDIN ZOTERO_ITEM CSL_CITATION {"citationID":"gGtPOlyE","properties":{"unsorted":false,"formattedCitation":"(62)","plainCitation":"(62)","noteIndex":0},"citationItems":[{"id":3490,"uris":["http://zotero.org/users/11313215/items/8DNNEG88"],"itemData":{"id":3490,"type":"article","abstract":"We consider the problem of estimating the number of clusters (k) in a dataset. We propose a non-parametric approach to the problem that utilizes similarity graphs to construct a robust statistic that effectively captures similarity information among observations. This graph-based statistic is applicable to datasets of any dimension, is computationally efficient to obtain, and can be paired with any kind of clustering technique. Asymptotic theory is developed to establish the selection consistency of the proposed approach. Simulation studies demonstrate that the graph-based statistic outperforms existing methods for estimating k, especially in the high-dimensional setting. We illustrate its utility on an imaging dataset and an RNA-seq dataset.","DOI":"10.48550/arXiv.2402.15600","note":"arXiv:2402.15600 [stat]","number":"arXiv:2402.15600","publisher":"arXiv","source":"arXiv.org","title":"A Graph-based Approach to Estimating the Number of Clusters","URL":"http://arxiv.org/abs/2402.15600","author":[{"family":"Bai","given":"Yichuan"},{"family":"Chu","given":"Lynna"}],"accessed":{"date-parts":[["2025",3,11]]},"issued":{"date-parts":[["2024",11,5]]}}}],"schema":"https://github.com/citation-style-language/schema/raw/master/csl-citation.json"} </w:instrText>
      </w:r>
      <w:r w:rsidRPr="007A682B">
        <w:rPr>
          <w:rFonts w:ascii="Arial" w:hAnsi="Arial" w:cs="Arial"/>
          <w:color w:val="000000" w:themeColor="text1"/>
          <w:sz w:val="20"/>
          <w:szCs w:val="20"/>
        </w:rPr>
        <w:fldChar w:fldCharType="separate"/>
      </w:r>
      <w:r w:rsidR="00522792">
        <w:rPr>
          <w:rFonts w:ascii="Arial" w:hAnsi="Arial" w:cs="Arial"/>
          <w:noProof/>
          <w:color w:val="000000" w:themeColor="text1"/>
          <w:sz w:val="20"/>
          <w:szCs w:val="20"/>
        </w:rPr>
        <w:t>(62)</w:t>
      </w:r>
      <w:r w:rsidRPr="007A682B">
        <w:rPr>
          <w:rFonts w:ascii="Arial" w:hAnsi="Arial" w:cs="Arial"/>
          <w:color w:val="000000" w:themeColor="text1"/>
          <w:sz w:val="20"/>
          <w:szCs w:val="20"/>
        </w:rPr>
        <w:fldChar w:fldCharType="end"/>
      </w:r>
      <w:r w:rsidRPr="007A682B">
        <w:rPr>
          <w:rFonts w:ascii="Arial" w:hAnsi="Arial" w:cs="Arial"/>
          <w:color w:val="000000" w:themeColor="text1"/>
          <w:sz w:val="20"/>
          <w:szCs w:val="20"/>
        </w:rPr>
        <w:t>.</w:t>
      </w:r>
    </w:p>
    <w:p w14:paraId="25426806" w14:textId="77777777" w:rsidR="009E60BC" w:rsidRPr="007A682B" w:rsidRDefault="009E60BC" w:rsidP="0013365A">
      <w:pPr>
        <w:rPr>
          <w:rFonts w:ascii="Arial" w:hAnsi="Arial" w:cs="Arial"/>
          <w:sz w:val="20"/>
          <w:szCs w:val="20"/>
        </w:rPr>
      </w:pPr>
    </w:p>
    <w:p w14:paraId="1CD9A0E2" w14:textId="5BE18CEE" w:rsidR="00294540" w:rsidRPr="007A682B" w:rsidRDefault="00294540" w:rsidP="00753C87">
      <w:pPr>
        <w:rPr>
          <w:rFonts w:ascii="Arial" w:hAnsi="Arial" w:cs="Arial"/>
          <w:sz w:val="20"/>
          <w:szCs w:val="20"/>
          <w:u w:val="single"/>
        </w:rPr>
      </w:pPr>
      <w:r w:rsidRPr="007A682B">
        <w:rPr>
          <w:rFonts w:ascii="Arial" w:hAnsi="Arial" w:cs="Arial"/>
          <w:sz w:val="20"/>
          <w:szCs w:val="20"/>
          <w:u w:val="single"/>
        </w:rPr>
        <w:t xml:space="preserve">Removal of </w:t>
      </w:r>
      <w:r w:rsidR="00771E24" w:rsidRPr="007A682B">
        <w:rPr>
          <w:rFonts w:ascii="Arial" w:hAnsi="Arial" w:cs="Arial"/>
          <w:sz w:val="20"/>
          <w:szCs w:val="20"/>
          <w:u w:val="single"/>
        </w:rPr>
        <w:t>D</w:t>
      </w:r>
      <w:r w:rsidRPr="007A682B">
        <w:rPr>
          <w:rFonts w:ascii="Arial" w:hAnsi="Arial" w:cs="Arial"/>
          <w:sz w:val="20"/>
          <w:szCs w:val="20"/>
          <w:u w:val="single"/>
        </w:rPr>
        <w:t xml:space="preserve">issection </w:t>
      </w:r>
      <w:r w:rsidR="00771E24" w:rsidRPr="007A682B">
        <w:rPr>
          <w:rFonts w:ascii="Arial" w:hAnsi="Arial" w:cs="Arial"/>
          <w:sz w:val="20"/>
          <w:szCs w:val="20"/>
          <w:u w:val="single"/>
        </w:rPr>
        <w:t>E</w:t>
      </w:r>
      <w:r w:rsidRPr="007A682B">
        <w:rPr>
          <w:rFonts w:ascii="Arial" w:hAnsi="Arial" w:cs="Arial"/>
          <w:sz w:val="20"/>
          <w:szCs w:val="20"/>
          <w:u w:val="single"/>
        </w:rPr>
        <w:t>rrors</w:t>
      </w:r>
    </w:p>
    <w:p w14:paraId="4C8C6DD5" w14:textId="49935C24" w:rsidR="003341ED" w:rsidRPr="007A682B" w:rsidRDefault="00771E24" w:rsidP="00753C87">
      <w:pPr>
        <w:rPr>
          <w:rFonts w:ascii="Arial" w:hAnsi="Arial" w:cs="Arial"/>
          <w:sz w:val="20"/>
          <w:szCs w:val="20"/>
        </w:rPr>
      </w:pPr>
      <w:r w:rsidRPr="007A682B">
        <w:rPr>
          <w:rFonts w:ascii="Arial" w:hAnsi="Arial" w:cs="Arial"/>
          <w:sz w:val="20"/>
          <w:szCs w:val="20"/>
        </w:rPr>
        <w:tab/>
        <w:t xml:space="preserve">To remove clusters likely the result of </w:t>
      </w:r>
      <w:r w:rsidR="0013365A" w:rsidRPr="007A682B">
        <w:rPr>
          <w:rFonts w:ascii="Arial" w:hAnsi="Arial" w:cs="Arial"/>
          <w:sz w:val="20"/>
          <w:szCs w:val="20"/>
        </w:rPr>
        <w:t>dissection errors, we first excluded any clusters that appeared in. &lt; 90% of individuals. Next, we calculated the coefficient of variation (CV) for each clusters relative abundance across all individuals and excluded any clusters with a CV higher than</w:t>
      </w:r>
      <w:r w:rsidR="00922B58">
        <w:rPr>
          <w:rFonts w:ascii="Arial" w:hAnsi="Arial" w:cs="Arial"/>
          <w:sz w:val="20"/>
          <w:szCs w:val="20"/>
        </w:rPr>
        <w:t xml:space="preserve"> </w:t>
      </w:r>
      <w:r w:rsidR="002E7186">
        <w:rPr>
          <w:rFonts w:ascii="Arial" w:hAnsi="Arial" w:cs="Arial"/>
          <w:sz w:val="20"/>
          <w:szCs w:val="20"/>
        </w:rPr>
        <w:t>0.</w:t>
      </w:r>
      <w:r w:rsidR="00922B58">
        <w:rPr>
          <w:rFonts w:ascii="Arial" w:hAnsi="Arial" w:cs="Arial"/>
          <w:sz w:val="20"/>
          <w:szCs w:val="20"/>
        </w:rPr>
        <w:t xml:space="preserve">5. </w:t>
      </w:r>
    </w:p>
    <w:p w14:paraId="17869912" w14:textId="77777777" w:rsidR="00B07A8D" w:rsidRPr="007A682B" w:rsidRDefault="00B07A8D" w:rsidP="00753C87">
      <w:pPr>
        <w:rPr>
          <w:rFonts w:ascii="Arial" w:hAnsi="Arial" w:cs="Arial"/>
          <w:sz w:val="20"/>
          <w:szCs w:val="20"/>
        </w:rPr>
      </w:pPr>
    </w:p>
    <w:p w14:paraId="4BB6BE5D" w14:textId="47376D79" w:rsidR="00294540" w:rsidRPr="007A682B" w:rsidRDefault="00771E24" w:rsidP="00753C87">
      <w:pPr>
        <w:rPr>
          <w:rFonts w:ascii="Arial" w:hAnsi="Arial" w:cs="Arial"/>
          <w:sz w:val="20"/>
          <w:szCs w:val="20"/>
          <w:u w:val="single"/>
        </w:rPr>
      </w:pPr>
      <w:r w:rsidRPr="007A682B">
        <w:rPr>
          <w:rFonts w:ascii="Arial" w:hAnsi="Arial" w:cs="Arial"/>
          <w:sz w:val="20"/>
          <w:szCs w:val="20"/>
          <w:u w:val="single"/>
        </w:rPr>
        <w:t>Final</w:t>
      </w:r>
      <w:r w:rsidR="00294540" w:rsidRPr="007A682B">
        <w:rPr>
          <w:rFonts w:ascii="Arial" w:hAnsi="Arial" w:cs="Arial"/>
          <w:sz w:val="20"/>
          <w:szCs w:val="20"/>
          <w:u w:val="single"/>
        </w:rPr>
        <w:t xml:space="preserve"> Clustering</w:t>
      </w:r>
    </w:p>
    <w:p w14:paraId="1130ECCD" w14:textId="5B5EA80A" w:rsidR="00294540" w:rsidRPr="007A682B" w:rsidRDefault="00294540" w:rsidP="00753C87">
      <w:pPr>
        <w:rPr>
          <w:rFonts w:ascii="Arial" w:hAnsi="Arial" w:cs="Arial"/>
          <w:sz w:val="20"/>
          <w:szCs w:val="20"/>
        </w:rPr>
      </w:pPr>
      <w:r w:rsidRPr="007A682B">
        <w:rPr>
          <w:rFonts w:ascii="Arial" w:hAnsi="Arial" w:cs="Arial"/>
          <w:sz w:val="20"/>
          <w:szCs w:val="20"/>
        </w:rPr>
        <w:tab/>
        <w:t xml:space="preserve">In order to find the optimal set of parameters for </w:t>
      </w:r>
      <w:r w:rsidR="00E46755" w:rsidRPr="007A682B">
        <w:rPr>
          <w:rFonts w:ascii="Arial" w:hAnsi="Arial" w:cs="Arial"/>
          <w:sz w:val="20"/>
          <w:szCs w:val="20"/>
        </w:rPr>
        <w:t xml:space="preserve">WNN clustering, we next performed a parameter sweep across RNA principal </w:t>
      </w:r>
      <w:r w:rsidR="00B07A8D" w:rsidRPr="007A682B">
        <w:rPr>
          <w:rFonts w:ascii="Arial" w:hAnsi="Arial" w:cs="Arial"/>
          <w:sz w:val="20"/>
          <w:szCs w:val="20"/>
        </w:rPr>
        <w:t>componen</w:t>
      </w:r>
      <w:r w:rsidR="00E46755" w:rsidRPr="007A682B">
        <w:rPr>
          <w:rFonts w:ascii="Arial" w:hAnsi="Arial" w:cs="Arial"/>
          <w:sz w:val="20"/>
          <w:szCs w:val="20"/>
        </w:rPr>
        <w:t>ts (30-50), ATAC LSI com</w:t>
      </w:r>
      <w:r w:rsidR="00F27886">
        <w:rPr>
          <w:rFonts w:ascii="Arial" w:hAnsi="Arial" w:cs="Arial"/>
          <w:sz w:val="20"/>
          <w:szCs w:val="20"/>
        </w:rPr>
        <w:t>po</w:t>
      </w:r>
      <w:r w:rsidR="00E46755" w:rsidRPr="007A682B">
        <w:rPr>
          <w:rFonts w:ascii="Arial" w:hAnsi="Arial" w:cs="Arial"/>
          <w:sz w:val="20"/>
          <w:szCs w:val="20"/>
        </w:rPr>
        <w:t>nents (2-50), k-nearest neighbors (30, 40, 50), and Leiden clustering resolution (0.4-1.5). We then selected the combination with the highest mean pairwise Adjusted Rand Index, resulting in our final clustering resolution for downstream analysis being composed of 40 RNA principal components, 45 ATAC LSI components, and 0.8 clustering resolution.</w:t>
      </w:r>
    </w:p>
    <w:p w14:paraId="1122E7D4" w14:textId="77777777" w:rsidR="00B07A8D" w:rsidRPr="007A682B" w:rsidRDefault="00B07A8D" w:rsidP="00753C87">
      <w:pPr>
        <w:rPr>
          <w:rFonts w:ascii="Arial" w:hAnsi="Arial" w:cs="Arial"/>
          <w:sz w:val="20"/>
          <w:szCs w:val="20"/>
        </w:rPr>
      </w:pPr>
    </w:p>
    <w:p w14:paraId="32DDB200" w14:textId="2C9ADC90" w:rsidR="00991F18" w:rsidRPr="007A682B" w:rsidRDefault="00991F18" w:rsidP="00753C87">
      <w:pPr>
        <w:rPr>
          <w:rFonts w:ascii="Arial" w:hAnsi="Arial" w:cs="Arial"/>
          <w:b/>
          <w:bCs/>
          <w:sz w:val="20"/>
          <w:szCs w:val="20"/>
        </w:rPr>
      </w:pPr>
      <w:r w:rsidRPr="007A682B">
        <w:rPr>
          <w:rFonts w:ascii="Arial" w:hAnsi="Arial" w:cs="Arial"/>
          <w:b/>
          <w:bCs/>
          <w:sz w:val="20"/>
          <w:szCs w:val="20"/>
        </w:rPr>
        <w:t>Spatial Transcriptomics</w:t>
      </w:r>
    </w:p>
    <w:p w14:paraId="5C0F3F9A" w14:textId="77777777" w:rsidR="00202DDC" w:rsidRPr="007A682B" w:rsidRDefault="00202DDC" w:rsidP="00753C87">
      <w:pPr>
        <w:rPr>
          <w:rFonts w:ascii="Arial" w:hAnsi="Arial" w:cs="Arial"/>
          <w:sz w:val="20"/>
          <w:szCs w:val="20"/>
          <w:u w:val="single"/>
        </w:rPr>
      </w:pPr>
    </w:p>
    <w:p w14:paraId="11B165F2" w14:textId="24C95D5B" w:rsidR="00B37FE2" w:rsidRPr="007A682B" w:rsidRDefault="00B37FE2" w:rsidP="00753C87">
      <w:pPr>
        <w:rPr>
          <w:rFonts w:ascii="Arial" w:hAnsi="Arial" w:cs="Arial"/>
          <w:sz w:val="20"/>
          <w:szCs w:val="20"/>
          <w:u w:val="single"/>
        </w:rPr>
      </w:pPr>
      <w:r w:rsidRPr="007A682B">
        <w:rPr>
          <w:rFonts w:ascii="Arial" w:hAnsi="Arial" w:cs="Arial"/>
          <w:sz w:val="20"/>
          <w:szCs w:val="20"/>
          <w:u w:val="single"/>
        </w:rPr>
        <w:t>Tissue Collection and Sectioning</w:t>
      </w:r>
    </w:p>
    <w:p w14:paraId="338769FE" w14:textId="77777777" w:rsidR="00C864D6" w:rsidRPr="007A682B" w:rsidRDefault="00C864D6" w:rsidP="00753C87">
      <w:pPr>
        <w:rPr>
          <w:rFonts w:ascii="Arial" w:hAnsi="Arial" w:cs="Arial"/>
          <w:sz w:val="20"/>
          <w:szCs w:val="20"/>
          <w:u w:val="single"/>
        </w:rPr>
      </w:pPr>
    </w:p>
    <w:p w14:paraId="685633C3" w14:textId="46AEBCB3" w:rsidR="007E445A" w:rsidRPr="007A682B" w:rsidRDefault="007E445A" w:rsidP="007E445A">
      <w:pPr>
        <w:rPr>
          <w:rFonts w:ascii="Arial" w:hAnsi="Arial" w:cs="Arial"/>
          <w:sz w:val="20"/>
          <w:szCs w:val="20"/>
        </w:rPr>
      </w:pPr>
      <w:r w:rsidRPr="007A682B">
        <w:rPr>
          <w:rFonts w:ascii="Arial" w:hAnsi="Arial" w:cs="Arial"/>
          <w:sz w:val="20"/>
          <w:szCs w:val="20"/>
        </w:rPr>
        <w:t>Six males and six females from six tanks containing established male–female reproductive pairs were sampled (12 fish total</w:t>
      </w:r>
      <w:commentRangeStart w:id="27"/>
      <w:r w:rsidRPr="007A682B">
        <w:rPr>
          <w:rFonts w:ascii="Arial" w:hAnsi="Arial" w:cs="Arial"/>
          <w:sz w:val="20"/>
          <w:szCs w:val="20"/>
        </w:rPr>
        <w:t xml:space="preserve">; </w:t>
      </w:r>
      <w:r w:rsidRPr="007A682B">
        <w:rPr>
          <w:rFonts w:ascii="Arial" w:hAnsi="Arial" w:cs="Arial"/>
          <w:sz w:val="20"/>
          <w:szCs w:val="20"/>
          <w:highlight w:val="yellow"/>
        </w:rPr>
        <w:t xml:space="preserve">see Supplementary Table </w:t>
      </w:r>
      <w:r w:rsidR="004A27C9" w:rsidRPr="004A27C9">
        <w:rPr>
          <w:rFonts w:ascii="Arial" w:hAnsi="Arial" w:cs="Arial"/>
          <w:sz w:val="20"/>
          <w:szCs w:val="20"/>
          <w:highlight w:val="yellow"/>
        </w:rPr>
        <w:t>xx</w:t>
      </w:r>
      <w:r w:rsidRPr="007A682B">
        <w:rPr>
          <w:rFonts w:ascii="Arial" w:hAnsi="Arial" w:cs="Arial"/>
          <w:sz w:val="20"/>
          <w:szCs w:val="20"/>
          <w:highlight w:val="yellow"/>
        </w:rPr>
        <w:t xml:space="preserve"> for lengths and weights</w:t>
      </w:r>
      <w:commentRangeEnd w:id="27"/>
      <w:r w:rsidR="00913D54" w:rsidRPr="007A682B">
        <w:rPr>
          <w:rStyle w:val="CommentReference"/>
          <w:rFonts w:ascii="Arial" w:hAnsi="Arial" w:cs="Arial"/>
          <w:sz w:val="20"/>
          <w:szCs w:val="20"/>
        </w:rPr>
        <w:commentReference w:id="27"/>
      </w:r>
      <w:r w:rsidRPr="007A682B">
        <w:rPr>
          <w:rFonts w:ascii="Arial" w:hAnsi="Arial" w:cs="Arial"/>
          <w:sz w:val="20"/>
          <w:szCs w:val="20"/>
        </w:rPr>
        <w:t>). Fish were decapitated, and brains were rapidly removed and placed in molds containing chilled OCT maintained at wet-ice temperature. Each mold contained four brains representing two reproductive pairs from two tanks (two males and two females). Brains were arranged with the anterior end facing down and the spinal cord facing up, with the two female brains positioned in the top row and the two male brains in the bottom row. This arrangement was designed to maximize the amount of brain tissue that could be accommodated within the capture area of each Visium HD slide.</w:t>
      </w:r>
    </w:p>
    <w:p w14:paraId="4E0CA79D" w14:textId="77777777" w:rsidR="007E445A" w:rsidRPr="007A682B" w:rsidRDefault="007E445A" w:rsidP="007E445A">
      <w:pPr>
        <w:rPr>
          <w:rFonts w:ascii="Arial" w:hAnsi="Arial" w:cs="Arial"/>
          <w:sz w:val="20"/>
          <w:szCs w:val="20"/>
        </w:rPr>
      </w:pPr>
    </w:p>
    <w:p w14:paraId="568721D4" w14:textId="77777777" w:rsidR="007E445A" w:rsidRPr="007A682B" w:rsidRDefault="007E445A" w:rsidP="007E445A">
      <w:pPr>
        <w:rPr>
          <w:rFonts w:ascii="Arial" w:hAnsi="Arial" w:cs="Arial"/>
          <w:sz w:val="20"/>
          <w:szCs w:val="20"/>
        </w:rPr>
      </w:pPr>
      <w:r w:rsidRPr="007A682B">
        <w:rPr>
          <w:rFonts w:ascii="Arial" w:hAnsi="Arial" w:cs="Arial"/>
          <w:sz w:val="20"/>
          <w:szCs w:val="20"/>
        </w:rPr>
        <w:t>Following embedding, molds were frozen at −80°C and transferred directly to a cryostat for fresh-frozen sectioning. Brains were sectioned at 10 μm, and sections were selected for Visium HD based on tissue quality and anatomical coverage, with the goal of maximizing the brain area represented and sampling across the rostrocaudal extent of the dissected regions. Four sections were placed on each Visium HD slide, with each section containing tissue from four fish representing two tanks. Four Visium HD slides were prepared. Two slides contained sections from the same four fish (two reproductive pairs), whereas the remaining two slides contained sections from the other eight fish (four reproductive pairs). Thus, all 12 fish were represented across the four slides, with four fish represented on two slides.</w:t>
      </w:r>
    </w:p>
    <w:p w14:paraId="19299C28" w14:textId="77777777" w:rsidR="007E445A" w:rsidRPr="007A682B" w:rsidRDefault="007E445A" w:rsidP="007E445A">
      <w:pPr>
        <w:rPr>
          <w:rFonts w:ascii="Arial" w:hAnsi="Arial" w:cs="Arial"/>
          <w:sz w:val="20"/>
          <w:szCs w:val="20"/>
        </w:rPr>
      </w:pPr>
    </w:p>
    <w:p w14:paraId="2B242D11" w14:textId="6C5871B6" w:rsidR="00B37FE2" w:rsidRPr="007A682B" w:rsidRDefault="007E445A" w:rsidP="007E445A">
      <w:pPr>
        <w:rPr>
          <w:rFonts w:ascii="Arial" w:hAnsi="Arial" w:cs="Arial"/>
          <w:sz w:val="20"/>
          <w:szCs w:val="20"/>
        </w:rPr>
      </w:pPr>
      <w:r w:rsidRPr="007A682B">
        <w:rPr>
          <w:rFonts w:ascii="Arial" w:hAnsi="Arial" w:cs="Arial"/>
          <w:sz w:val="20"/>
          <w:szCs w:val="20"/>
        </w:rPr>
        <w:t>Sections were briefly thawed to promote adherence to the slide and then immediately returned to frozen conditions on dry ice or at −80°C until Visium HD processing. Although every effort was made to maintain a consistent plane of section, some brains were sectioned at slightly oblique angles.</w:t>
      </w:r>
    </w:p>
    <w:p w14:paraId="1CC6281A" w14:textId="77777777" w:rsidR="007E445A" w:rsidRPr="007A682B" w:rsidRDefault="007E445A" w:rsidP="007E445A">
      <w:pPr>
        <w:rPr>
          <w:rFonts w:ascii="Arial" w:hAnsi="Arial" w:cs="Arial"/>
          <w:sz w:val="20"/>
          <w:szCs w:val="20"/>
        </w:rPr>
      </w:pPr>
    </w:p>
    <w:p w14:paraId="3AC04917" w14:textId="72A9D2AB" w:rsidR="00D804D0" w:rsidRPr="00D804D0" w:rsidRDefault="00D804D0" w:rsidP="00D804D0">
      <w:pPr>
        <w:rPr>
          <w:rFonts w:ascii="Arial" w:hAnsi="Arial" w:cs="Arial"/>
          <w:sz w:val="20"/>
          <w:szCs w:val="20"/>
          <w:u w:val="single"/>
        </w:rPr>
      </w:pPr>
      <w:r w:rsidRPr="00D804D0">
        <w:rPr>
          <w:rFonts w:ascii="Arial" w:hAnsi="Arial" w:cs="Arial"/>
          <w:sz w:val="20"/>
          <w:szCs w:val="20"/>
          <w:u w:val="single"/>
        </w:rPr>
        <w:t>Visium HD3’ Spatial transcriptomic</w:t>
      </w:r>
      <w:r>
        <w:rPr>
          <w:rFonts w:ascii="Arial" w:hAnsi="Arial" w:cs="Arial"/>
          <w:sz w:val="20"/>
          <w:szCs w:val="20"/>
          <w:u w:val="single"/>
        </w:rPr>
        <w:t>s</w:t>
      </w:r>
    </w:p>
    <w:p w14:paraId="21FCE4A7" w14:textId="77777777" w:rsidR="00D804D0" w:rsidRDefault="00D804D0" w:rsidP="00D804D0">
      <w:pPr>
        <w:rPr>
          <w:rFonts w:ascii="Arial" w:hAnsi="Arial" w:cs="Arial"/>
          <w:sz w:val="20"/>
          <w:szCs w:val="20"/>
        </w:rPr>
      </w:pPr>
    </w:p>
    <w:p w14:paraId="7AA44199" w14:textId="6C620552" w:rsidR="00E079F4" w:rsidRPr="00D804D0" w:rsidRDefault="00D804D0" w:rsidP="00D804D0">
      <w:pPr>
        <w:rPr>
          <w:rFonts w:ascii="Arial" w:hAnsi="Arial" w:cs="Arial"/>
          <w:sz w:val="20"/>
          <w:szCs w:val="20"/>
        </w:rPr>
      </w:pPr>
      <w:r w:rsidRPr="00D804D0">
        <w:rPr>
          <w:rFonts w:ascii="Arial" w:hAnsi="Arial" w:cs="Arial"/>
          <w:sz w:val="20"/>
          <w:szCs w:val="20"/>
        </w:rPr>
        <w:t xml:space="preserve">For Visium HD 3′ Spatial Gene Expression analysis, fresh frozen tissue sections were prepared according to the manufacturer's recommended tissue preparation workflow (CG000804, Rev B, 10x Genomics, USA). The workflow includes tissue sectioning, fixation, hematoxylin and eosin (H&amp;E) staining, and high-resolution imaging using Zeiss Axiocam 712 color camera fitted with a Zeiss LSM 980 Axioobserver </w:t>
      </w:r>
      <w:r w:rsidRPr="00D804D0">
        <w:rPr>
          <w:rFonts w:ascii="Arial" w:hAnsi="Arial" w:cs="Arial"/>
          <w:sz w:val="20"/>
          <w:szCs w:val="20"/>
        </w:rPr>
        <w:lastRenderedPageBreak/>
        <w:t>microscope system (Carl Zeiss, Germany). Visium HD 3′ is designed specifically for fresh frozen tissue and uses polyadenylated RNA for capturing the whole transcriptome. Quality control of both RIN (RNA integrity) and tissue morphology were evaluated in all blocks and only blocks with over RIN score of 7 with good morphology used for the assay. Following high-resolution imaging, sections were processed following the Gene Expression workflow from 10x Genomics (Pleasanton, CA-Visium HD 3' Spatial Gene Expression, CG000805, Rev B). Upon processing the sections further, the CytAssist (10x Genomics) system was used to transfer the RNA from tissue sections to a Visium HD3’ GE slides with oligonucleotides containing spatial barcodes (6.5x6.5 mm capture areas) for 30 min according to the manufacturer protocols. Polyadenylated tails of mRNA molecules released from the tissue were captured by unique molecular identifiers and hybridized to poly(dT) sequences. Captured RNA was subjected to reverse transcription to generate spatially barcoded cDNA that were delivered to DNA services for library construction and sequencing. The high</w:t>
      </w:r>
      <w:r>
        <w:rPr>
          <w:rFonts w:ascii="Arial" w:hAnsi="Arial" w:cs="Arial"/>
          <w:sz w:val="20"/>
          <w:szCs w:val="20"/>
        </w:rPr>
        <w:t>-</w:t>
      </w:r>
      <w:r w:rsidRPr="00D804D0">
        <w:rPr>
          <w:rFonts w:ascii="Arial" w:hAnsi="Arial" w:cs="Arial"/>
          <w:sz w:val="20"/>
          <w:szCs w:val="20"/>
        </w:rPr>
        <w:t>resolution images from the microscope as well as CytAssist images were uploaded for alignment of sections from the two systems to overlay the sequenced data by HPCBio services.</w:t>
      </w:r>
    </w:p>
    <w:p w14:paraId="14935424" w14:textId="77777777" w:rsidR="00D804D0" w:rsidRDefault="00D804D0" w:rsidP="00E079F4">
      <w:pPr>
        <w:rPr>
          <w:rFonts w:ascii="Arial" w:hAnsi="Arial" w:cs="Arial"/>
          <w:sz w:val="20"/>
          <w:szCs w:val="20"/>
          <w:u w:val="single"/>
        </w:rPr>
      </w:pPr>
    </w:p>
    <w:p w14:paraId="0A75713D" w14:textId="4685C2EA" w:rsidR="00E079F4" w:rsidRPr="00E079F4" w:rsidRDefault="00E079F4" w:rsidP="00E079F4">
      <w:pPr>
        <w:rPr>
          <w:rFonts w:ascii="Arial" w:hAnsi="Arial" w:cs="Arial"/>
          <w:sz w:val="20"/>
          <w:szCs w:val="20"/>
          <w:u w:val="single"/>
        </w:rPr>
      </w:pPr>
      <w:r w:rsidRPr="00E079F4">
        <w:rPr>
          <w:rFonts w:ascii="Arial" w:hAnsi="Arial" w:cs="Arial"/>
          <w:sz w:val="20"/>
          <w:szCs w:val="20"/>
          <w:u w:val="single"/>
        </w:rPr>
        <w:t>Final construction and sequencing of 10x Visium libraries</w:t>
      </w:r>
    </w:p>
    <w:p w14:paraId="5685DECA" w14:textId="77777777" w:rsidR="00E079F4" w:rsidRPr="00E079F4" w:rsidRDefault="00E079F4" w:rsidP="00E079F4">
      <w:pPr>
        <w:rPr>
          <w:rFonts w:ascii="Arial" w:hAnsi="Arial" w:cs="Arial"/>
          <w:sz w:val="20"/>
          <w:szCs w:val="20"/>
        </w:rPr>
      </w:pPr>
    </w:p>
    <w:p w14:paraId="5E066534" w14:textId="77777777" w:rsidR="001F62FB" w:rsidRDefault="00E079F4" w:rsidP="00E079F4">
      <w:pPr>
        <w:ind w:firstLine="720"/>
        <w:rPr>
          <w:rFonts w:ascii="Arial" w:hAnsi="Arial" w:cs="Arial"/>
          <w:sz w:val="20"/>
          <w:szCs w:val="20"/>
        </w:rPr>
      </w:pPr>
      <w:r w:rsidRPr="00E079F4">
        <w:rPr>
          <w:rFonts w:ascii="Arial" w:hAnsi="Arial" w:cs="Arial"/>
          <w:sz w:val="20"/>
          <w:szCs w:val="20"/>
        </w:rPr>
        <w:t xml:space="preserve">Spatially barcoded cDNAs were immediately brought to the </w:t>
      </w:r>
      <w:r>
        <w:rPr>
          <w:rFonts w:ascii="Arial" w:hAnsi="Arial" w:cs="Arial"/>
          <w:sz w:val="20"/>
          <w:szCs w:val="20"/>
        </w:rPr>
        <w:t xml:space="preserve">UIUC Carver Biotech </w:t>
      </w:r>
      <w:r w:rsidRPr="00E079F4">
        <w:rPr>
          <w:rFonts w:ascii="Arial" w:hAnsi="Arial" w:cs="Arial"/>
          <w:sz w:val="20"/>
          <w:szCs w:val="20"/>
        </w:rPr>
        <w:t>DNA Service</w:t>
      </w:r>
    </w:p>
    <w:p w14:paraId="70B5FC7A" w14:textId="0D645B11" w:rsidR="00B37FE2" w:rsidRPr="00E079F4" w:rsidRDefault="00E079F4" w:rsidP="00E079F4">
      <w:pPr>
        <w:ind w:firstLine="720"/>
        <w:rPr>
          <w:rFonts w:ascii="Arial" w:hAnsi="Arial" w:cs="Arial"/>
          <w:sz w:val="20"/>
          <w:szCs w:val="20"/>
        </w:rPr>
      </w:pPr>
      <w:r w:rsidRPr="00E079F4">
        <w:rPr>
          <w:rFonts w:ascii="Arial" w:hAnsi="Arial" w:cs="Arial"/>
          <w:sz w:val="20"/>
          <w:szCs w:val="20"/>
        </w:rPr>
        <w:t>s Core for amplification, strictly following the 10x Genomics Visium HD 3’ Fresh Frozen protocol. The amplified cDNAs were enzymatically fragmented and converted into sequencing-ready, dual-indexed libraries through standard end-repair, A-tailing, adaptor ligation, and PCR. The final libraries were quantitated on Qubit (Life Technologies, Grand Island, NY) and the average size determined on the Fragment Analyzer (Agilent Technologies, Santa Clara, CA). The libraries were pooled by calculated capture spot coverage via Loupe Browser and the pool diluted to 5nM concentration, then further quantitated by qPCR on a Bio-Rad CFX Connect Real-Time System (Bio-Rad Laboratories, Inc. CA). The final pool was sequenced on one lane of 25B flowcell on an Illumina NovaSeq X Plus (Illumina, San Diego, CA) to a length of 43nt (read 1, contains the spot barcode and unique molecular identifier used for removing PCR duplicates), 10nt for each index (libraries contain unique dual indexes to prevent index switching) and 75nt for read 2 (the cDNA read). Fastq.gz files were generated and demultiplexed with bcl-convert v4.3.6 Conversion Software (Illumina).</w:t>
      </w:r>
    </w:p>
    <w:p w14:paraId="2A436C34" w14:textId="77777777" w:rsidR="00E079F4" w:rsidRPr="007A682B" w:rsidRDefault="00E079F4" w:rsidP="00E079F4">
      <w:pPr>
        <w:rPr>
          <w:rFonts w:ascii="Arial" w:hAnsi="Arial" w:cs="Arial"/>
          <w:sz w:val="20"/>
          <w:szCs w:val="20"/>
          <w:u w:val="single"/>
        </w:rPr>
      </w:pPr>
    </w:p>
    <w:p w14:paraId="0FA04961" w14:textId="77777777" w:rsidR="00CD54AF" w:rsidRPr="007A682B" w:rsidRDefault="00CD54AF" w:rsidP="00CD54AF">
      <w:pPr>
        <w:rPr>
          <w:rFonts w:ascii="Arial" w:hAnsi="Arial" w:cs="Arial"/>
          <w:sz w:val="20"/>
          <w:szCs w:val="20"/>
          <w:u w:val="single"/>
        </w:rPr>
      </w:pPr>
      <w:r w:rsidRPr="007A682B">
        <w:rPr>
          <w:rFonts w:ascii="Arial" w:hAnsi="Arial" w:cs="Arial"/>
          <w:sz w:val="20"/>
          <w:szCs w:val="20"/>
          <w:u w:val="single"/>
        </w:rPr>
        <w:t>Read Alignment</w:t>
      </w:r>
    </w:p>
    <w:p w14:paraId="132BBD5F" w14:textId="77777777" w:rsidR="00CD54AF" w:rsidRDefault="00CD54AF" w:rsidP="00CD54AF">
      <w:pPr>
        <w:rPr>
          <w:rFonts w:ascii="Arial" w:hAnsi="Arial" w:cs="Arial"/>
          <w:sz w:val="20"/>
          <w:szCs w:val="20"/>
        </w:rPr>
      </w:pPr>
      <w:r w:rsidRPr="007A682B">
        <w:rPr>
          <w:rFonts w:ascii="Arial" w:hAnsi="Arial" w:cs="Arial"/>
          <w:sz w:val="20"/>
          <w:szCs w:val="20"/>
        </w:rPr>
        <w:tab/>
        <w:t xml:space="preserve">Reads were aligned </w:t>
      </w:r>
      <w:r>
        <w:rPr>
          <w:rFonts w:ascii="Arial" w:hAnsi="Arial" w:cs="Arial"/>
          <w:sz w:val="20"/>
          <w:szCs w:val="20"/>
        </w:rPr>
        <w:t xml:space="preserve">to </w:t>
      </w:r>
      <w:r w:rsidRPr="006F2025">
        <w:rPr>
          <w:rFonts w:ascii="Arial" w:hAnsi="Arial" w:cs="Arial"/>
          <w:sz w:val="20"/>
          <w:szCs w:val="20"/>
        </w:rPr>
        <w:t>Genome assembly ASM2253959v1</w:t>
      </w:r>
      <w:r>
        <w:rPr>
          <w:rFonts w:ascii="Arial" w:hAnsi="Arial" w:cs="Arial"/>
          <w:sz w:val="20"/>
          <w:szCs w:val="20"/>
        </w:rPr>
        <w:t xml:space="preserve"> (NCBI Annotation </w:t>
      </w:r>
      <w:r w:rsidRPr="006F2025">
        <w:rPr>
          <w:rFonts w:ascii="Arial" w:hAnsi="Arial" w:cs="Arial"/>
          <w:sz w:val="20"/>
          <w:szCs w:val="20"/>
        </w:rPr>
        <w:t>GCF_022539595.1-RS_2023_03</w:t>
      </w:r>
      <w:r>
        <w:rPr>
          <w:rFonts w:ascii="Arial" w:hAnsi="Arial" w:cs="Arial"/>
          <w:sz w:val="20"/>
          <w:szCs w:val="20"/>
        </w:rPr>
        <w:t xml:space="preserve">) </w:t>
      </w:r>
      <w:r w:rsidRPr="007A682B">
        <w:rPr>
          <w:rFonts w:ascii="Arial" w:hAnsi="Arial" w:cs="Arial"/>
          <w:sz w:val="20"/>
          <w:szCs w:val="20"/>
        </w:rPr>
        <w:t xml:space="preserve">using </w:t>
      </w:r>
      <w:r>
        <w:rPr>
          <w:rFonts w:ascii="Arial" w:hAnsi="Arial" w:cs="Arial"/>
          <w:sz w:val="20"/>
          <w:szCs w:val="20"/>
        </w:rPr>
        <w:t>S</w:t>
      </w:r>
      <w:r w:rsidRPr="007A682B">
        <w:rPr>
          <w:rFonts w:ascii="Arial" w:hAnsi="Arial" w:cs="Arial"/>
          <w:sz w:val="20"/>
          <w:szCs w:val="20"/>
        </w:rPr>
        <w:t xml:space="preserve">pace </w:t>
      </w:r>
      <w:r>
        <w:rPr>
          <w:rFonts w:ascii="Arial" w:hAnsi="Arial" w:cs="Arial"/>
          <w:sz w:val="20"/>
          <w:szCs w:val="20"/>
        </w:rPr>
        <w:t>R</w:t>
      </w:r>
      <w:r w:rsidRPr="007A682B">
        <w:rPr>
          <w:rFonts w:ascii="Arial" w:hAnsi="Arial" w:cs="Arial"/>
          <w:sz w:val="20"/>
          <w:szCs w:val="20"/>
        </w:rPr>
        <w:t>ang</w:t>
      </w:r>
      <w:r>
        <w:rPr>
          <w:rFonts w:ascii="Arial" w:hAnsi="Arial" w:cs="Arial"/>
          <w:sz w:val="20"/>
          <w:szCs w:val="20"/>
        </w:rPr>
        <w:t>er (</w:t>
      </w:r>
      <w:r w:rsidRPr="007A682B">
        <w:rPr>
          <w:rFonts w:ascii="Arial" w:hAnsi="Arial" w:cs="Arial"/>
          <w:sz w:val="20"/>
          <w:szCs w:val="20"/>
        </w:rPr>
        <w:t>v</w:t>
      </w:r>
      <w:r>
        <w:rPr>
          <w:rFonts w:ascii="Arial" w:hAnsi="Arial" w:cs="Arial"/>
          <w:sz w:val="20"/>
          <w:szCs w:val="20"/>
        </w:rPr>
        <w:t xml:space="preserve">4.0.1; 10x Genomics) using default parameters. Loupe Browser (v9.1.0; 10x Genomics) was used to output the segmented cell IDs per animal with brain region annotations. </w:t>
      </w:r>
    </w:p>
    <w:p w14:paraId="100CA2A8" w14:textId="77777777" w:rsidR="00CD54AF" w:rsidRPr="007A682B" w:rsidRDefault="00CD54AF" w:rsidP="00CD54AF">
      <w:pPr>
        <w:rPr>
          <w:rFonts w:ascii="Arial" w:hAnsi="Arial" w:cs="Arial"/>
          <w:b/>
          <w:bCs/>
          <w:sz w:val="20"/>
          <w:szCs w:val="20"/>
        </w:rPr>
      </w:pPr>
    </w:p>
    <w:p w14:paraId="4FC8C2E6" w14:textId="77777777" w:rsidR="00CD54AF" w:rsidRPr="007A682B" w:rsidRDefault="00CD54AF" w:rsidP="00CD54AF">
      <w:pPr>
        <w:rPr>
          <w:rFonts w:ascii="Arial" w:hAnsi="Arial" w:cs="Arial"/>
          <w:sz w:val="20"/>
          <w:szCs w:val="20"/>
          <w:u w:val="single"/>
        </w:rPr>
      </w:pPr>
      <w:r w:rsidRPr="007A682B">
        <w:rPr>
          <w:rFonts w:ascii="Arial" w:hAnsi="Arial" w:cs="Arial"/>
          <w:sz w:val="20"/>
          <w:szCs w:val="20"/>
          <w:u w:val="single"/>
        </w:rPr>
        <w:t xml:space="preserve">Quality Control and Sketching </w:t>
      </w:r>
    </w:p>
    <w:p w14:paraId="63E9D069" w14:textId="45A5071F" w:rsidR="00CD54AF" w:rsidRPr="007A682B" w:rsidRDefault="00CD54AF" w:rsidP="00CD54AF">
      <w:pPr>
        <w:rPr>
          <w:rFonts w:ascii="Arial" w:hAnsi="Arial" w:cs="Arial"/>
          <w:sz w:val="20"/>
          <w:szCs w:val="20"/>
        </w:rPr>
      </w:pPr>
      <w:r w:rsidRPr="007A682B">
        <w:rPr>
          <w:rFonts w:ascii="Arial" w:hAnsi="Arial" w:cs="Arial"/>
          <w:sz w:val="20"/>
          <w:szCs w:val="20"/>
        </w:rPr>
        <w:tab/>
      </w:r>
      <w:r>
        <w:rPr>
          <w:rFonts w:ascii="Arial" w:hAnsi="Arial" w:cs="Arial"/>
          <w:sz w:val="20"/>
          <w:szCs w:val="20"/>
        </w:rPr>
        <w:t>Each slide’s data was read into R (v4.5.0 using Seurat (v</w:t>
      </w:r>
      <w:r w:rsidRPr="00257975">
        <w:rPr>
          <w:rFonts w:ascii="Arial" w:hAnsi="Arial" w:cs="Arial"/>
          <w:sz w:val="20"/>
          <w:szCs w:val="20"/>
        </w:rPr>
        <w:t>5.3.1</w:t>
      </w:r>
      <w:r>
        <w:rPr>
          <w:rFonts w:ascii="Arial" w:hAnsi="Arial" w:cs="Arial"/>
          <w:sz w:val="20"/>
          <w:szCs w:val="20"/>
        </w:rPr>
        <w:t>) and separated by sample using the cell IDs, then all 12 samples merged into one Seurat object without layers,</w:t>
      </w:r>
      <w:r w:rsidRPr="007A682B">
        <w:rPr>
          <w:rFonts w:ascii="Arial" w:hAnsi="Arial" w:cs="Arial"/>
          <w:sz w:val="20"/>
          <w:szCs w:val="20"/>
        </w:rPr>
        <w:t xml:space="preserve"> resulting in 463,466 total </w:t>
      </w:r>
      <w:r>
        <w:rPr>
          <w:rFonts w:ascii="Arial" w:hAnsi="Arial" w:cs="Arial"/>
          <w:sz w:val="20"/>
          <w:szCs w:val="20"/>
        </w:rPr>
        <w:t>cells</w:t>
      </w:r>
      <w:r w:rsidRPr="007A682B">
        <w:rPr>
          <w:rFonts w:ascii="Arial" w:hAnsi="Arial" w:cs="Arial"/>
          <w:sz w:val="20"/>
          <w:szCs w:val="20"/>
        </w:rPr>
        <w:t xml:space="preserve">. </w:t>
      </w:r>
      <w:r>
        <w:rPr>
          <w:rFonts w:ascii="Arial" w:hAnsi="Arial" w:cs="Arial"/>
          <w:sz w:val="20"/>
          <w:szCs w:val="20"/>
        </w:rPr>
        <w:t>Cells</w:t>
      </w:r>
      <w:r w:rsidRPr="007A682B">
        <w:rPr>
          <w:rFonts w:ascii="Arial" w:hAnsi="Arial" w:cs="Arial"/>
          <w:sz w:val="20"/>
          <w:szCs w:val="20"/>
        </w:rPr>
        <w:t xml:space="preserve"> with &lt;25 UMIs or ≥50% mitochondrial reads were discarded, resulting in 433,999 </w:t>
      </w:r>
      <w:r>
        <w:rPr>
          <w:rFonts w:ascii="Arial" w:hAnsi="Arial" w:cs="Arial"/>
          <w:sz w:val="20"/>
          <w:szCs w:val="20"/>
        </w:rPr>
        <w:t>cells</w:t>
      </w:r>
      <w:r w:rsidRPr="007A682B">
        <w:rPr>
          <w:rFonts w:ascii="Arial" w:hAnsi="Arial" w:cs="Arial"/>
          <w:sz w:val="20"/>
          <w:szCs w:val="20"/>
        </w:rPr>
        <w:t xml:space="preserve"> for downstream analysis. </w:t>
      </w:r>
      <w:r>
        <w:rPr>
          <w:rFonts w:ascii="Arial" w:hAnsi="Arial" w:cs="Arial"/>
          <w:sz w:val="20"/>
          <w:szCs w:val="20"/>
        </w:rPr>
        <w:t xml:space="preserve">5,641 genes were also removed because they were not detected in at least 10 cells, leaving </w:t>
      </w:r>
      <w:r w:rsidRPr="00FE73F1">
        <w:rPr>
          <w:rFonts w:ascii="Arial" w:hAnsi="Arial" w:cs="Arial"/>
          <w:sz w:val="20"/>
          <w:szCs w:val="20"/>
        </w:rPr>
        <w:t>22</w:t>
      </w:r>
      <w:r>
        <w:rPr>
          <w:rFonts w:ascii="Arial" w:hAnsi="Arial" w:cs="Arial"/>
          <w:sz w:val="20"/>
          <w:szCs w:val="20"/>
        </w:rPr>
        <w:t>,</w:t>
      </w:r>
      <w:r w:rsidRPr="00FE73F1">
        <w:rPr>
          <w:rFonts w:ascii="Arial" w:hAnsi="Arial" w:cs="Arial"/>
          <w:sz w:val="20"/>
          <w:szCs w:val="20"/>
        </w:rPr>
        <w:t>363</w:t>
      </w:r>
      <w:r>
        <w:rPr>
          <w:rFonts w:ascii="Arial" w:hAnsi="Arial" w:cs="Arial"/>
          <w:sz w:val="20"/>
          <w:szCs w:val="20"/>
        </w:rPr>
        <w:t xml:space="preserve"> genes for further analysis. </w:t>
      </w:r>
    </w:p>
    <w:p w14:paraId="15C88F02" w14:textId="77777777" w:rsidR="0055180A" w:rsidRPr="007A682B" w:rsidRDefault="0055180A" w:rsidP="00753C87">
      <w:pPr>
        <w:rPr>
          <w:rFonts w:ascii="Arial" w:hAnsi="Arial" w:cs="Arial"/>
          <w:sz w:val="20"/>
          <w:szCs w:val="20"/>
        </w:rPr>
      </w:pPr>
    </w:p>
    <w:p w14:paraId="74E2F449" w14:textId="510AF7B4" w:rsidR="00686A03" w:rsidRPr="007A682B" w:rsidRDefault="00686A03" w:rsidP="00753C87">
      <w:pPr>
        <w:rPr>
          <w:rFonts w:ascii="Arial" w:hAnsi="Arial" w:cs="Arial"/>
          <w:b/>
          <w:bCs/>
          <w:sz w:val="20"/>
          <w:szCs w:val="20"/>
        </w:rPr>
      </w:pPr>
      <w:r w:rsidRPr="007A682B">
        <w:rPr>
          <w:rFonts w:ascii="Arial" w:hAnsi="Arial" w:cs="Arial"/>
          <w:b/>
          <w:bCs/>
          <w:sz w:val="20"/>
          <w:szCs w:val="20"/>
        </w:rPr>
        <w:t>Neuroanatomical Annotation</w:t>
      </w:r>
    </w:p>
    <w:p w14:paraId="63C82243" w14:textId="61CEFC53" w:rsidR="00686A03" w:rsidRPr="007A682B" w:rsidRDefault="00FA7CDB" w:rsidP="00555CB5">
      <w:pPr>
        <w:ind w:firstLine="720"/>
        <w:rPr>
          <w:rFonts w:ascii="Arial" w:hAnsi="Arial" w:cs="Arial"/>
          <w:sz w:val="20"/>
          <w:szCs w:val="20"/>
        </w:rPr>
      </w:pPr>
      <w:r w:rsidRPr="007A682B">
        <w:rPr>
          <w:rFonts w:ascii="Arial" w:hAnsi="Arial" w:cs="Arial"/>
          <w:sz w:val="20"/>
          <w:szCs w:val="20"/>
        </w:rPr>
        <w:t xml:space="preserve">Because there is no published atlas for any anemonefish brain, we relied </w:t>
      </w:r>
      <w:r w:rsidR="006056B6" w:rsidRPr="007A682B">
        <w:rPr>
          <w:rFonts w:ascii="Arial" w:hAnsi="Arial" w:cs="Arial"/>
          <w:sz w:val="20"/>
          <w:szCs w:val="20"/>
        </w:rPr>
        <w:t xml:space="preserve">on a published atlas from </w:t>
      </w:r>
      <w:r w:rsidR="006056B6" w:rsidRPr="007A682B">
        <w:rPr>
          <w:rFonts w:ascii="Arial" w:hAnsi="Arial" w:cs="Arial"/>
          <w:i/>
          <w:iCs/>
          <w:sz w:val="20"/>
          <w:szCs w:val="20"/>
        </w:rPr>
        <w:t>Astatotilapia burtoni</w:t>
      </w:r>
      <w:r w:rsidR="0005005F" w:rsidRPr="007A682B">
        <w:rPr>
          <w:rFonts w:ascii="Arial" w:hAnsi="Arial" w:cs="Arial"/>
          <w:sz w:val="20"/>
          <w:szCs w:val="20"/>
        </w:rPr>
        <w:t xml:space="preserve"> </w:t>
      </w:r>
      <w:r w:rsidR="0005005F" w:rsidRPr="007A682B">
        <w:rPr>
          <w:rFonts w:ascii="Arial" w:hAnsi="Arial" w:cs="Arial"/>
          <w:sz w:val="20"/>
          <w:szCs w:val="20"/>
        </w:rPr>
        <w:fldChar w:fldCharType="begin"/>
      </w:r>
      <w:r w:rsidR="00522792">
        <w:rPr>
          <w:rFonts w:ascii="Arial" w:hAnsi="Arial" w:cs="Arial"/>
          <w:sz w:val="20"/>
          <w:szCs w:val="20"/>
        </w:rPr>
        <w:instrText xml:space="preserve"> ADDIN ZOTERO_ITEM CSL_CITATION {"citationID":"pOiFwZiB","properties":{"unsorted":false,"formattedCitation":"(63)","plainCitation":"(63)","noteIndex":0},"citationItems":[{"id":6395,"uris":["http://zotero.org/users/11313215/items/QTQQG9ZG"],"itemData":{"id":6395,"type":"article-journal","abstract":"Neural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rsidRPr="007A682B">
        <w:rPr>
          <w:rFonts w:ascii="Arial" w:hAnsi="Arial" w:cs="Arial"/>
          <w:sz w:val="20"/>
          <w:szCs w:val="20"/>
        </w:rPr>
        <w:fldChar w:fldCharType="separate"/>
      </w:r>
      <w:r w:rsidR="00522792">
        <w:rPr>
          <w:rFonts w:ascii="Arial" w:hAnsi="Arial" w:cs="Arial"/>
          <w:sz w:val="20"/>
          <w:szCs w:val="20"/>
        </w:rPr>
        <w:t>(63)</w:t>
      </w:r>
      <w:r w:rsidR="0005005F" w:rsidRPr="007A682B">
        <w:rPr>
          <w:rFonts w:ascii="Arial" w:hAnsi="Arial" w:cs="Arial"/>
          <w:sz w:val="20"/>
          <w:szCs w:val="20"/>
        </w:rPr>
        <w:fldChar w:fldCharType="end"/>
      </w:r>
      <w:r w:rsidR="0005005F" w:rsidRPr="007A682B">
        <w:rPr>
          <w:rFonts w:ascii="Arial" w:hAnsi="Arial" w:cs="Arial"/>
          <w:sz w:val="20"/>
          <w:szCs w:val="20"/>
        </w:rPr>
        <w:t xml:space="preserve"> </w:t>
      </w:r>
      <w:r w:rsidR="00364E61" w:rsidRPr="007A682B">
        <w:rPr>
          <w:rFonts w:ascii="Arial" w:hAnsi="Arial" w:cs="Arial"/>
          <w:sz w:val="20"/>
          <w:szCs w:val="20"/>
        </w:rPr>
        <w:t xml:space="preserve">in combination with unbiased clustering and gene expression </w:t>
      </w:r>
      <w:r w:rsidR="007B3AC0" w:rsidRPr="007A682B">
        <w:rPr>
          <w:rFonts w:ascii="Arial" w:hAnsi="Arial" w:cs="Arial"/>
          <w:sz w:val="20"/>
          <w:szCs w:val="20"/>
        </w:rPr>
        <w:t>(see “Spatial Transcriptomics”)</w:t>
      </w:r>
      <w:r w:rsidR="00364E61" w:rsidRPr="007A682B">
        <w:rPr>
          <w:rFonts w:ascii="Arial" w:hAnsi="Arial" w:cs="Arial"/>
          <w:sz w:val="20"/>
          <w:szCs w:val="20"/>
        </w:rPr>
        <w:t xml:space="preserve"> </w:t>
      </w:r>
      <w:r w:rsidR="0005005F" w:rsidRPr="007A682B">
        <w:rPr>
          <w:rFonts w:ascii="Arial" w:hAnsi="Arial" w:cs="Arial"/>
          <w:sz w:val="20"/>
          <w:szCs w:val="20"/>
        </w:rPr>
        <w:t xml:space="preserve">for </w:t>
      </w:r>
      <w:r w:rsidR="007B3AC0" w:rsidRPr="007A682B">
        <w:rPr>
          <w:rFonts w:ascii="Arial" w:hAnsi="Arial" w:cs="Arial"/>
          <w:sz w:val="20"/>
          <w:szCs w:val="20"/>
        </w:rPr>
        <w:t>our annotations</w:t>
      </w:r>
      <w:r w:rsidR="006056B6" w:rsidRPr="007A682B">
        <w:rPr>
          <w:rFonts w:ascii="Arial" w:hAnsi="Arial" w:cs="Arial"/>
          <w:sz w:val="20"/>
          <w:szCs w:val="20"/>
        </w:rPr>
        <w:t>.</w:t>
      </w:r>
      <w:r w:rsidR="007B3AC0" w:rsidRPr="007A682B">
        <w:rPr>
          <w:rFonts w:ascii="Arial" w:hAnsi="Arial" w:cs="Arial"/>
          <w:sz w:val="20"/>
          <w:szCs w:val="20"/>
        </w:rPr>
        <w:t xml:space="preserve"> Interestingly, we noted a few differences between the </w:t>
      </w:r>
      <w:r w:rsidR="007B3AC0" w:rsidRPr="007A682B">
        <w:rPr>
          <w:rFonts w:ascii="Arial" w:hAnsi="Arial" w:cs="Arial"/>
          <w:i/>
          <w:iCs/>
          <w:sz w:val="20"/>
          <w:szCs w:val="20"/>
        </w:rPr>
        <w:t xml:space="preserve">A. ocellaris </w:t>
      </w:r>
      <w:r w:rsidR="007B3AC0" w:rsidRPr="007A682B">
        <w:rPr>
          <w:rFonts w:ascii="Arial" w:hAnsi="Arial" w:cs="Arial"/>
          <w:sz w:val="20"/>
          <w:szCs w:val="20"/>
        </w:rPr>
        <w:t xml:space="preserve">and </w:t>
      </w:r>
      <w:r w:rsidR="007B3AC0" w:rsidRPr="007A682B">
        <w:rPr>
          <w:rFonts w:ascii="Arial" w:hAnsi="Arial" w:cs="Arial"/>
          <w:i/>
          <w:iCs/>
          <w:sz w:val="20"/>
          <w:szCs w:val="20"/>
        </w:rPr>
        <w:t xml:space="preserve">A. burtoni </w:t>
      </w:r>
      <w:r w:rsidR="007B3AC0" w:rsidRPr="007A682B">
        <w:rPr>
          <w:rFonts w:ascii="Arial" w:hAnsi="Arial" w:cs="Arial"/>
          <w:sz w:val="20"/>
          <w:szCs w:val="20"/>
        </w:rPr>
        <w:t xml:space="preserve">brains. </w:t>
      </w:r>
      <w:r w:rsidR="0026691F" w:rsidRPr="007A682B">
        <w:rPr>
          <w:rFonts w:ascii="Arial" w:hAnsi="Arial" w:cs="Arial"/>
          <w:sz w:val="20"/>
          <w:szCs w:val="20"/>
        </w:rPr>
        <w:t>Transcriptomically, Dl-v2</w:t>
      </w:r>
      <w:r w:rsidR="00685644" w:rsidRPr="007A682B">
        <w:rPr>
          <w:rFonts w:ascii="Arial" w:hAnsi="Arial" w:cs="Arial"/>
          <w:sz w:val="20"/>
          <w:szCs w:val="20"/>
        </w:rPr>
        <w:t xml:space="preserve"> (ventral part of the lateral zone of the dorsal telencephalon, subdivision 2)</w:t>
      </w:r>
      <w:r w:rsidR="00765A31" w:rsidRPr="007A682B">
        <w:rPr>
          <w:rFonts w:ascii="Arial" w:hAnsi="Arial" w:cs="Arial"/>
          <w:sz w:val="20"/>
          <w:szCs w:val="20"/>
        </w:rPr>
        <w:t xml:space="preserve"> and</w:t>
      </w:r>
      <w:r w:rsidR="0009486A" w:rsidRPr="007A682B">
        <w:rPr>
          <w:rFonts w:ascii="Arial" w:hAnsi="Arial" w:cs="Arial"/>
          <w:sz w:val="20"/>
          <w:szCs w:val="20"/>
        </w:rPr>
        <w:t xml:space="preserve"> Dl-g</w:t>
      </w:r>
      <w:r w:rsidR="00685644" w:rsidRPr="007A682B">
        <w:rPr>
          <w:rFonts w:ascii="Arial" w:hAnsi="Arial" w:cs="Arial"/>
          <w:sz w:val="20"/>
          <w:szCs w:val="20"/>
        </w:rPr>
        <w:t xml:space="preserve"> (granular zone of lateral zone of the dorsal telencephalon)</w:t>
      </w:r>
      <w:r w:rsidR="004958FF" w:rsidRPr="007A682B">
        <w:rPr>
          <w:rFonts w:ascii="Arial" w:hAnsi="Arial" w:cs="Arial"/>
          <w:sz w:val="20"/>
          <w:szCs w:val="20"/>
        </w:rPr>
        <w:t>, were distinct in their transcriptomes depending on rostral versus caudal position</w:t>
      </w:r>
      <w:r w:rsidR="00C05010" w:rsidRPr="007A682B">
        <w:rPr>
          <w:rFonts w:ascii="Arial" w:hAnsi="Arial" w:cs="Arial"/>
          <w:sz w:val="20"/>
          <w:szCs w:val="20"/>
        </w:rPr>
        <w:t xml:space="preserve"> or dorsal versus ventral position</w:t>
      </w:r>
      <w:r w:rsidR="004958FF" w:rsidRPr="007A682B">
        <w:rPr>
          <w:rFonts w:ascii="Arial" w:hAnsi="Arial" w:cs="Arial"/>
          <w:sz w:val="20"/>
          <w:szCs w:val="20"/>
        </w:rPr>
        <w:t>. Thus, we reannotated them as Dl-v2d</w:t>
      </w:r>
      <w:r w:rsidR="00765A31" w:rsidRPr="007A682B">
        <w:rPr>
          <w:rFonts w:ascii="Arial" w:hAnsi="Arial" w:cs="Arial"/>
          <w:sz w:val="20"/>
          <w:szCs w:val="20"/>
        </w:rPr>
        <w:t xml:space="preserve"> and </w:t>
      </w:r>
      <w:r w:rsidR="00F20567" w:rsidRPr="007A682B">
        <w:rPr>
          <w:rFonts w:ascii="Arial" w:hAnsi="Arial" w:cs="Arial"/>
          <w:sz w:val="20"/>
          <w:szCs w:val="20"/>
        </w:rPr>
        <w:t>Dl-gd</w:t>
      </w:r>
      <w:r w:rsidR="004958FF" w:rsidRPr="007A682B">
        <w:rPr>
          <w:rFonts w:ascii="Arial" w:hAnsi="Arial" w:cs="Arial"/>
          <w:sz w:val="20"/>
          <w:szCs w:val="20"/>
        </w:rPr>
        <w:t xml:space="preserve"> (dor</w:t>
      </w:r>
      <w:r w:rsidR="00C05010" w:rsidRPr="007A682B">
        <w:rPr>
          <w:rFonts w:ascii="Arial" w:hAnsi="Arial" w:cs="Arial"/>
          <w:sz w:val="20"/>
          <w:szCs w:val="20"/>
        </w:rPr>
        <w:t xml:space="preserve">sal </w:t>
      </w:r>
      <w:r w:rsidR="00485133" w:rsidRPr="007A682B">
        <w:rPr>
          <w:rFonts w:ascii="Arial" w:hAnsi="Arial" w:cs="Arial"/>
          <w:sz w:val="20"/>
          <w:szCs w:val="20"/>
        </w:rPr>
        <w:t>part</w:t>
      </w:r>
      <w:r w:rsidR="00C05010" w:rsidRPr="007A682B">
        <w:rPr>
          <w:rFonts w:ascii="Arial" w:hAnsi="Arial" w:cs="Arial"/>
          <w:sz w:val="20"/>
          <w:szCs w:val="20"/>
        </w:rPr>
        <w:t>)</w:t>
      </w:r>
      <w:r w:rsidR="00296CF0" w:rsidRPr="007A682B">
        <w:rPr>
          <w:rFonts w:ascii="Arial" w:hAnsi="Arial" w:cs="Arial"/>
          <w:sz w:val="20"/>
          <w:szCs w:val="20"/>
        </w:rPr>
        <w:t xml:space="preserve">. </w:t>
      </w:r>
      <w:r w:rsidR="00085EC5" w:rsidRPr="007A682B">
        <w:rPr>
          <w:rFonts w:ascii="Arial" w:hAnsi="Arial" w:cs="Arial"/>
          <w:sz w:val="20"/>
          <w:szCs w:val="20"/>
        </w:rPr>
        <w:t>We also noted a neuronal cluster of high cell density in the dorsolateral pallium</w:t>
      </w:r>
      <w:r w:rsidR="00685644" w:rsidRPr="007A682B">
        <w:rPr>
          <w:rFonts w:ascii="Arial" w:hAnsi="Arial" w:cs="Arial"/>
          <w:sz w:val="20"/>
          <w:szCs w:val="20"/>
        </w:rPr>
        <w:t xml:space="preserve"> ne</w:t>
      </w:r>
      <w:r w:rsidR="00C4164E" w:rsidRPr="007A682B">
        <w:rPr>
          <w:rFonts w:ascii="Arial" w:hAnsi="Arial" w:cs="Arial"/>
          <w:sz w:val="20"/>
          <w:szCs w:val="20"/>
        </w:rPr>
        <w:t>ar Dl-g</w:t>
      </w:r>
      <w:r w:rsidR="00085EC5" w:rsidRPr="007A682B">
        <w:rPr>
          <w:rFonts w:ascii="Arial" w:hAnsi="Arial" w:cs="Arial"/>
          <w:sz w:val="20"/>
          <w:szCs w:val="20"/>
        </w:rPr>
        <w:t xml:space="preserve"> that appeared to have no equivalent</w:t>
      </w:r>
      <w:r w:rsidR="00485133" w:rsidRPr="007A682B">
        <w:rPr>
          <w:rFonts w:ascii="Arial" w:hAnsi="Arial" w:cs="Arial"/>
          <w:sz w:val="20"/>
          <w:szCs w:val="20"/>
        </w:rPr>
        <w:t xml:space="preserve"> in </w:t>
      </w:r>
      <w:r w:rsidR="00485133" w:rsidRPr="007A682B">
        <w:rPr>
          <w:rFonts w:ascii="Arial" w:hAnsi="Arial" w:cs="Arial"/>
          <w:i/>
          <w:iCs/>
          <w:sz w:val="20"/>
          <w:szCs w:val="20"/>
        </w:rPr>
        <w:t>A. burtoni</w:t>
      </w:r>
      <w:r w:rsidR="00485133" w:rsidRPr="007A682B">
        <w:rPr>
          <w:rFonts w:ascii="Arial" w:hAnsi="Arial" w:cs="Arial"/>
          <w:sz w:val="20"/>
          <w:szCs w:val="20"/>
        </w:rPr>
        <w:t xml:space="preserve"> and had unique rostral and caudal transcriptomes. Thus, we labeled this dorsolateral</w:t>
      </w:r>
      <w:r w:rsidR="006915ED" w:rsidRPr="007A682B">
        <w:rPr>
          <w:rFonts w:ascii="Arial" w:hAnsi="Arial" w:cs="Arial"/>
          <w:sz w:val="20"/>
          <w:szCs w:val="20"/>
        </w:rPr>
        <w:t xml:space="preserve"> nucleus rostral and caudal parts (Dln-r and Dln-c)</w:t>
      </w:r>
      <w:r w:rsidR="00C4164E" w:rsidRPr="007A682B">
        <w:rPr>
          <w:rFonts w:ascii="Arial" w:hAnsi="Arial" w:cs="Arial"/>
          <w:sz w:val="20"/>
          <w:szCs w:val="20"/>
        </w:rPr>
        <w:t xml:space="preserve"> (</w:t>
      </w:r>
      <w:r w:rsidR="00C4164E" w:rsidRPr="007A682B">
        <w:rPr>
          <w:rFonts w:ascii="Arial" w:hAnsi="Arial" w:cs="Arial"/>
          <w:sz w:val="20"/>
          <w:szCs w:val="20"/>
          <w:highlight w:val="yellow"/>
        </w:rPr>
        <w:t>Figure S</w:t>
      </w:r>
      <w:r w:rsidR="00860220" w:rsidRPr="007A682B">
        <w:rPr>
          <w:rFonts w:ascii="Arial" w:hAnsi="Arial" w:cs="Arial"/>
          <w:sz w:val="20"/>
          <w:szCs w:val="20"/>
        </w:rPr>
        <w:t>3</w:t>
      </w:r>
      <w:r w:rsidR="00065EE2" w:rsidRPr="007A682B">
        <w:rPr>
          <w:rFonts w:ascii="Arial" w:hAnsi="Arial" w:cs="Arial"/>
          <w:sz w:val="20"/>
          <w:szCs w:val="20"/>
        </w:rPr>
        <w:t>)</w:t>
      </w:r>
      <w:r w:rsidR="006915ED" w:rsidRPr="007A682B">
        <w:rPr>
          <w:rFonts w:ascii="Arial" w:hAnsi="Arial" w:cs="Arial"/>
          <w:sz w:val="20"/>
          <w:szCs w:val="20"/>
        </w:rPr>
        <w:t xml:space="preserve">. </w:t>
      </w:r>
      <w:r w:rsidR="00277795" w:rsidRPr="007A682B">
        <w:rPr>
          <w:rFonts w:ascii="Arial" w:hAnsi="Arial" w:cs="Arial"/>
          <w:sz w:val="20"/>
          <w:szCs w:val="20"/>
        </w:rPr>
        <w:t>Because this cell type was largely dissected out in our dataset, we did not examine it f</w:t>
      </w:r>
      <w:r w:rsidR="00DA454B">
        <w:rPr>
          <w:rFonts w:ascii="Arial" w:hAnsi="Arial" w:cs="Arial"/>
          <w:sz w:val="20"/>
          <w:szCs w:val="20"/>
        </w:rPr>
        <w:t>u</w:t>
      </w:r>
      <w:r w:rsidR="00277795" w:rsidRPr="007A682B">
        <w:rPr>
          <w:rFonts w:ascii="Arial" w:hAnsi="Arial" w:cs="Arial"/>
          <w:sz w:val="20"/>
          <w:szCs w:val="20"/>
        </w:rPr>
        <w:t xml:space="preserve">rther. </w:t>
      </w:r>
    </w:p>
    <w:p w14:paraId="5D106664" w14:textId="77777777" w:rsidR="00B07A8D" w:rsidRPr="007A682B" w:rsidRDefault="00B07A8D" w:rsidP="00555CB5">
      <w:pPr>
        <w:ind w:firstLine="720"/>
        <w:rPr>
          <w:rFonts w:ascii="Arial" w:hAnsi="Arial" w:cs="Arial"/>
          <w:sz w:val="20"/>
          <w:szCs w:val="20"/>
        </w:rPr>
      </w:pPr>
    </w:p>
    <w:p w14:paraId="3485FDED" w14:textId="72755CF7" w:rsidR="00686A03" w:rsidRPr="007A682B" w:rsidRDefault="006145D5" w:rsidP="00753C87">
      <w:pPr>
        <w:rPr>
          <w:rFonts w:ascii="Arial" w:hAnsi="Arial" w:cs="Arial"/>
          <w:b/>
          <w:bCs/>
          <w:sz w:val="20"/>
          <w:szCs w:val="20"/>
        </w:rPr>
      </w:pPr>
      <w:r w:rsidRPr="007A682B">
        <w:rPr>
          <w:rFonts w:ascii="Arial" w:hAnsi="Arial" w:cs="Arial"/>
          <w:b/>
          <w:bCs/>
          <w:sz w:val="20"/>
          <w:szCs w:val="20"/>
        </w:rPr>
        <w:t xml:space="preserve">Projection of snMultiome Data </w:t>
      </w:r>
      <w:r w:rsidR="002A0494" w:rsidRPr="007A682B">
        <w:rPr>
          <w:rFonts w:ascii="Arial" w:hAnsi="Arial" w:cs="Arial"/>
          <w:b/>
          <w:bCs/>
          <w:sz w:val="20"/>
          <w:szCs w:val="20"/>
        </w:rPr>
        <w:t>onto</w:t>
      </w:r>
      <w:r w:rsidRPr="007A682B">
        <w:rPr>
          <w:rFonts w:ascii="Arial" w:hAnsi="Arial" w:cs="Arial"/>
          <w:b/>
          <w:bCs/>
          <w:sz w:val="20"/>
          <w:szCs w:val="20"/>
        </w:rPr>
        <w:t xml:space="preserve"> VisiumHD Data</w:t>
      </w:r>
      <w:r w:rsidR="009F4952" w:rsidRPr="007A682B">
        <w:rPr>
          <w:rFonts w:ascii="Arial" w:hAnsi="Arial" w:cs="Arial"/>
          <w:b/>
          <w:bCs/>
          <w:sz w:val="20"/>
          <w:szCs w:val="20"/>
        </w:rPr>
        <w:t xml:space="preserve"> </w:t>
      </w:r>
    </w:p>
    <w:p w14:paraId="501CF65B" w14:textId="44D3E474" w:rsidR="006145D5" w:rsidRPr="007A682B" w:rsidRDefault="0057324D" w:rsidP="00753C87">
      <w:pPr>
        <w:rPr>
          <w:rFonts w:ascii="Arial" w:hAnsi="Arial" w:cs="Arial"/>
          <w:sz w:val="20"/>
          <w:szCs w:val="20"/>
        </w:rPr>
      </w:pPr>
      <w:r w:rsidRPr="007A682B">
        <w:rPr>
          <w:rFonts w:ascii="Arial" w:hAnsi="Arial" w:cs="Arial"/>
          <w:sz w:val="20"/>
          <w:szCs w:val="20"/>
        </w:rPr>
        <w:tab/>
        <w:t xml:space="preserve">To map our snMultiome clusters onto the VisiumHD sections, we used </w:t>
      </w:r>
      <w:r w:rsidR="00B5051C" w:rsidRPr="007A682B">
        <w:rPr>
          <w:rFonts w:ascii="Arial" w:hAnsi="Arial" w:cs="Arial"/>
          <w:sz w:val="20"/>
          <w:szCs w:val="20"/>
        </w:rPr>
        <w:t>C</w:t>
      </w:r>
      <w:r w:rsidR="001E145A" w:rsidRPr="007A682B">
        <w:rPr>
          <w:rFonts w:ascii="Arial" w:hAnsi="Arial" w:cs="Arial"/>
          <w:sz w:val="20"/>
          <w:szCs w:val="20"/>
        </w:rPr>
        <w:t>ell2location</w:t>
      </w:r>
      <w:r w:rsidR="000A694F" w:rsidRPr="007A682B">
        <w:rPr>
          <w:rFonts w:ascii="Arial" w:hAnsi="Arial" w:cs="Arial"/>
          <w:sz w:val="20"/>
          <w:szCs w:val="20"/>
        </w:rPr>
        <w:t xml:space="preserve"> </w:t>
      </w:r>
      <w:r w:rsidRPr="007A682B">
        <w:rPr>
          <w:rFonts w:ascii="Arial" w:hAnsi="Arial" w:cs="Arial"/>
          <w:sz w:val="20"/>
          <w:szCs w:val="20"/>
        </w:rPr>
        <w:fldChar w:fldCharType="begin"/>
      </w:r>
      <w:r w:rsidR="00304DDF">
        <w:rPr>
          <w:rFonts w:ascii="Arial" w:hAnsi="Arial" w:cs="Arial"/>
          <w:sz w:val="20"/>
          <w:szCs w:val="20"/>
        </w:rPr>
        <w:instrText xml:space="preserve"> ADDIN ZOTERO_ITEM CSL_CITATION {"citationID":"IS8MyP8B","properties":{"unsorted":false,"formattedCitation":"(19)","plainCitation":"(19)","noteIndex":0},"citationItems":[{"id":6492,"uris":["http://zotero.org/users/11313215/items/BC3FN9G6"],"itemData":{"id":6492,"type":"article-journal","abstract":"Spatial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7A682B">
        <w:rPr>
          <w:rFonts w:ascii="Arial" w:hAnsi="Arial" w:cs="Arial"/>
          <w:sz w:val="20"/>
          <w:szCs w:val="20"/>
        </w:rPr>
        <w:fldChar w:fldCharType="separate"/>
      </w:r>
      <w:r w:rsidR="00304DDF">
        <w:rPr>
          <w:rFonts w:ascii="Arial" w:hAnsi="Arial" w:cs="Arial"/>
          <w:sz w:val="20"/>
          <w:szCs w:val="20"/>
        </w:rPr>
        <w:t>(19)</w:t>
      </w:r>
      <w:r w:rsidRPr="007A682B">
        <w:rPr>
          <w:rFonts w:ascii="Arial" w:hAnsi="Arial" w:cs="Arial"/>
          <w:sz w:val="20"/>
          <w:szCs w:val="20"/>
        </w:rPr>
        <w:fldChar w:fldCharType="end"/>
      </w:r>
      <w:r w:rsidR="000A694F" w:rsidRPr="007A682B">
        <w:rPr>
          <w:rFonts w:ascii="Arial" w:hAnsi="Arial" w:cs="Arial"/>
          <w:sz w:val="20"/>
          <w:szCs w:val="20"/>
        </w:rPr>
        <w:t>.</w:t>
      </w:r>
      <w:r w:rsidR="007D4E1D" w:rsidRPr="007A682B">
        <w:rPr>
          <w:rFonts w:ascii="Arial" w:hAnsi="Arial" w:cs="Arial"/>
          <w:sz w:val="20"/>
          <w:szCs w:val="20"/>
        </w:rPr>
        <w:t xml:space="preserve"> To do this, we first </w:t>
      </w:r>
      <w:r w:rsidR="00636B11" w:rsidRPr="007A682B">
        <w:rPr>
          <w:rFonts w:ascii="Arial" w:hAnsi="Arial" w:cs="Arial"/>
          <w:sz w:val="20"/>
          <w:szCs w:val="20"/>
        </w:rPr>
        <w:t xml:space="preserve">trained </w:t>
      </w:r>
      <w:r w:rsidR="00A967A5" w:rsidRPr="007A682B">
        <w:rPr>
          <w:rFonts w:ascii="Arial" w:hAnsi="Arial" w:cs="Arial"/>
          <w:sz w:val="20"/>
          <w:szCs w:val="20"/>
        </w:rPr>
        <w:t>regression models</w:t>
      </w:r>
      <w:r w:rsidR="00CF51E5" w:rsidRPr="007A682B">
        <w:rPr>
          <w:rFonts w:ascii="Arial" w:hAnsi="Arial" w:cs="Arial"/>
          <w:sz w:val="20"/>
          <w:szCs w:val="20"/>
        </w:rPr>
        <w:t xml:space="preserve"> (RegressionModel)</w:t>
      </w:r>
      <w:r w:rsidR="00A967A5" w:rsidRPr="007A682B">
        <w:rPr>
          <w:rFonts w:ascii="Arial" w:hAnsi="Arial" w:cs="Arial"/>
          <w:sz w:val="20"/>
          <w:szCs w:val="20"/>
        </w:rPr>
        <w:t xml:space="preserve"> on </w:t>
      </w:r>
      <w:r w:rsidR="008252DF" w:rsidRPr="007A682B">
        <w:rPr>
          <w:rFonts w:ascii="Arial" w:hAnsi="Arial" w:cs="Arial"/>
          <w:sz w:val="20"/>
          <w:szCs w:val="20"/>
        </w:rPr>
        <w:t>raw RNA counts</w:t>
      </w:r>
      <w:r w:rsidR="00B56453" w:rsidRPr="007A682B">
        <w:rPr>
          <w:rFonts w:ascii="Arial" w:hAnsi="Arial" w:cs="Arial"/>
          <w:sz w:val="20"/>
          <w:szCs w:val="20"/>
        </w:rPr>
        <w:t xml:space="preserve"> </w:t>
      </w:r>
      <w:r w:rsidR="000A04FB" w:rsidRPr="007A682B">
        <w:rPr>
          <w:rFonts w:ascii="Arial" w:hAnsi="Arial" w:cs="Arial"/>
          <w:sz w:val="20"/>
          <w:szCs w:val="20"/>
        </w:rPr>
        <w:t>excluding g</w:t>
      </w:r>
      <w:r w:rsidR="000A7BB6" w:rsidRPr="007A682B">
        <w:rPr>
          <w:rFonts w:ascii="Arial" w:hAnsi="Arial" w:cs="Arial"/>
          <w:sz w:val="20"/>
          <w:szCs w:val="20"/>
        </w:rPr>
        <w:t>e</w:t>
      </w:r>
      <w:r w:rsidR="00B56453" w:rsidRPr="007A682B">
        <w:rPr>
          <w:rFonts w:ascii="Arial" w:hAnsi="Arial" w:cs="Arial"/>
          <w:sz w:val="20"/>
          <w:szCs w:val="20"/>
        </w:rPr>
        <w:t>nes that were present in fewer than 10 cells</w:t>
      </w:r>
      <w:r w:rsidR="000A7BB6" w:rsidRPr="007A682B">
        <w:rPr>
          <w:rFonts w:ascii="Arial" w:hAnsi="Arial" w:cs="Arial"/>
          <w:sz w:val="20"/>
          <w:szCs w:val="20"/>
        </w:rPr>
        <w:t>.</w:t>
      </w:r>
      <w:r w:rsidR="000A04FB" w:rsidRPr="007A682B">
        <w:rPr>
          <w:rFonts w:ascii="Arial" w:hAnsi="Arial" w:cs="Arial"/>
          <w:sz w:val="20"/>
          <w:szCs w:val="20"/>
        </w:rPr>
        <w:t xml:space="preserve"> The model was conditioned on sample/pool identity as a batch covariate and on cluster identity </w:t>
      </w:r>
      <w:r w:rsidR="00CF0966" w:rsidRPr="007A682B">
        <w:rPr>
          <w:rFonts w:ascii="Arial" w:hAnsi="Arial" w:cs="Arial"/>
          <w:sz w:val="20"/>
          <w:szCs w:val="20"/>
        </w:rPr>
        <w:t>as the</w:t>
      </w:r>
      <w:r w:rsidR="000A04FB" w:rsidRPr="007A682B">
        <w:rPr>
          <w:rFonts w:ascii="Arial" w:hAnsi="Arial" w:cs="Arial"/>
          <w:sz w:val="20"/>
          <w:szCs w:val="20"/>
        </w:rPr>
        <w:t xml:space="preserve"> cell type label.</w:t>
      </w:r>
      <w:r w:rsidR="00CF0966" w:rsidRPr="007A682B">
        <w:rPr>
          <w:rFonts w:ascii="Arial" w:hAnsi="Arial" w:cs="Arial"/>
          <w:sz w:val="20"/>
          <w:szCs w:val="20"/>
        </w:rPr>
        <w:t xml:space="preserve"> The model was trained for 250 epochs with batch size set to </w:t>
      </w:r>
      <w:r w:rsidR="009B0FE5" w:rsidRPr="007A682B">
        <w:rPr>
          <w:rFonts w:ascii="Arial" w:hAnsi="Arial" w:cs="Arial"/>
          <w:sz w:val="20"/>
          <w:szCs w:val="20"/>
        </w:rPr>
        <w:t>4096 and posterior distributions were exported using 1000 posterior samples. Mean expression per cell cluster was extracted from the posterior</w:t>
      </w:r>
      <w:r w:rsidR="00CF51E5" w:rsidRPr="007A682B">
        <w:rPr>
          <w:rFonts w:ascii="Arial" w:hAnsi="Arial" w:cs="Arial"/>
          <w:sz w:val="20"/>
          <w:szCs w:val="20"/>
        </w:rPr>
        <w:t xml:space="preserve"> (means_per_cluster_mu_fg)</w:t>
      </w:r>
      <w:r w:rsidR="009B0FE5" w:rsidRPr="007A682B">
        <w:rPr>
          <w:rFonts w:ascii="Arial" w:hAnsi="Arial" w:cs="Arial"/>
          <w:sz w:val="20"/>
          <w:szCs w:val="20"/>
        </w:rPr>
        <w:t xml:space="preserve"> to construct the reference signature matrix </w:t>
      </w:r>
      <w:r w:rsidR="00CF51E5" w:rsidRPr="007A682B">
        <w:rPr>
          <w:rFonts w:ascii="Arial" w:hAnsi="Arial" w:cs="Arial"/>
          <w:sz w:val="20"/>
          <w:szCs w:val="20"/>
        </w:rPr>
        <w:t>for downstream mapping.</w:t>
      </w:r>
      <w:r w:rsidR="00FF1F55" w:rsidRPr="007A682B">
        <w:rPr>
          <w:rFonts w:ascii="Arial" w:hAnsi="Arial" w:cs="Arial"/>
          <w:sz w:val="20"/>
          <w:szCs w:val="20"/>
        </w:rPr>
        <w:t xml:space="preserve"> Next, we </w:t>
      </w:r>
      <w:r w:rsidR="00173A1E" w:rsidRPr="007A682B">
        <w:rPr>
          <w:rFonts w:ascii="Arial" w:hAnsi="Arial" w:cs="Arial"/>
          <w:sz w:val="20"/>
          <w:szCs w:val="20"/>
        </w:rPr>
        <w:t>fit the</w:t>
      </w:r>
      <w:r w:rsidR="00E71627" w:rsidRPr="007A682B">
        <w:rPr>
          <w:rFonts w:ascii="Arial" w:hAnsi="Arial" w:cs="Arial"/>
          <w:sz w:val="20"/>
          <w:szCs w:val="20"/>
        </w:rPr>
        <w:t xml:space="preserve"> model to the</w:t>
      </w:r>
      <w:r w:rsidR="00173A1E" w:rsidRPr="007A682B">
        <w:rPr>
          <w:rFonts w:ascii="Arial" w:hAnsi="Arial" w:cs="Arial"/>
          <w:sz w:val="20"/>
          <w:szCs w:val="20"/>
        </w:rPr>
        <w:t xml:space="preserve"> VisiumHD sketch assay</w:t>
      </w:r>
      <w:r w:rsidR="008E5D07" w:rsidRPr="007A682B">
        <w:rPr>
          <w:rFonts w:ascii="Arial" w:hAnsi="Arial" w:cs="Arial"/>
          <w:sz w:val="20"/>
          <w:szCs w:val="20"/>
        </w:rPr>
        <w:t xml:space="preserve"> (bin level)</w:t>
      </w:r>
      <w:r w:rsidR="00B965EE" w:rsidRPr="007A682B">
        <w:rPr>
          <w:rFonts w:ascii="Arial" w:hAnsi="Arial" w:cs="Arial"/>
          <w:sz w:val="20"/>
          <w:szCs w:val="20"/>
        </w:rPr>
        <w:t xml:space="preserve"> only including bins that would have been included in our dissection of the </w:t>
      </w:r>
      <w:r w:rsidR="002C130D" w:rsidRPr="007A682B">
        <w:rPr>
          <w:rFonts w:ascii="Arial" w:hAnsi="Arial" w:cs="Arial"/>
          <w:sz w:val="20"/>
          <w:szCs w:val="20"/>
        </w:rPr>
        <w:t>ventrocaudal telencephalon during snMultiome sequencing</w:t>
      </w:r>
      <w:r w:rsidR="00B73602" w:rsidRPr="007A682B">
        <w:rPr>
          <w:rFonts w:ascii="Arial" w:hAnsi="Arial" w:cs="Arial"/>
          <w:sz w:val="20"/>
          <w:szCs w:val="20"/>
        </w:rPr>
        <w:t>. Genes were intersected between the spatial sketch dataset and the reference signature matrix to restrict analysis to a shared gene set. The cell2location spatial mapping model (Cell2location)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w:t>
      </w:r>
      <w:r w:rsidR="009076FF" w:rsidRPr="007A682B">
        <w:rPr>
          <w:rFonts w:ascii="Arial" w:hAnsi="Arial" w:cs="Arial"/>
          <w:sz w:val="20"/>
          <w:szCs w:val="20"/>
        </w:rPr>
        <w:t xml:space="preserve"> </w:t>
      </w:r>
      <w:r w:rsidR="00C76F28" w:rsidRPr="007A682B">
        <w:rPr>
          <w:rFonts w:ascii="Arial" w:hAnsi="Arial" w:cs="Arial"/>
          <w:sz w:val="20"/>
          <w:szCs w:val="20"/>
        </w:rPr>
        <w:t>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metadata onto the full dataset via a shared PCA embedding (15 dimensions). This yielded a full-resolution spatial map of predicted dominant cell type identity across all tissue bins.</w:t>
      </w:r>
    </w:p>
    <w:p w14:paraId="3DC2B89E" w14:textId="77777777" w:rsidR="00B07A8D" w:rsidRPr="007A682B" w:rsidRDefault="00B07A8D" w:rsidP="00753C87">
      <w:pPr>
        <w:rPr>
          <w:rFonts w:ascii="Arial" w:hAnsi="Arial" w:cs="Arial"/>
          <w:sz w:val="20"/>
          <w:szCs w:val="20"/>
        </w:rPr>
      </w:pPr>
    </w:p>
    <w:p w14:paraId="44D96C0D" w14:textId="5C4B57C5" w:rsidR="00277514" w:rsidRPr="007A682B" w:rsidRDefault="00277514" w:rsidP="00753C87">
      <w:pPr>
        <w:rPr>
          <w:rFonts w:ascii="Arial" w:hAnsi="Arial" w:cs="Arial"/>
          <w:sz w:val="20"/>
          <w:szCs w:val="20"/>
        </w:rPr>
      </w:pPr>
      <w:r w:rsidRPr="007A682B">
        <w:rPr>
          <w:rFonts w:ascii="Arial" w:hAnsi="Arial" w:cs="Arial"/>
          <w:b/>
          <w:bCs/>
          <w:sz w:val="20"/>
          <w:szCs w:val="20"/>
        </w:rPr>
        <w:t>Cell Type Annotation</w:t>
      </w:r>
      <w:r w:rsidRPr="007A682B">
        <w:rPr>
          <w:rFonts w:ascii="Arial" w:hAnsi="Arial" w:cs="Arial"/>
          <w:b/>
          <w:bCs/>
          <w:sz w:val="20"/>
          <w:szCs w:val="20"/>
        </w:rPr>
        <w:br/>
      </w:r>
      <w:r w:rsidR="005F2690" w:rsidRPr="007A682B">
        <w:rPr>
          <w:rFonts w:ascii="Arial" w:hAnsi="Arial" w:cs="Arial"/>
          <w:b/>
          <w:bCs/>
          <w:sz w:val="20"/>
          <w:szCs w:val="20"/>
        </w:rPr>
        <w:tab/>
      </w:r>
      <w:r w:rsidR="00266E78" w:rsidRPr="007A682B">
        <w:rPr>
          <w:rFonts w:ascii="Arial" w:hAnsi="Arial" w:cs="Arial"/>
          <w:sz w:val="20"/>
          <w:szCs w:val="20"/>
        </w:rPr>
        <w:t xml:space="preserve">We annotated our snMultiome clusters using a combination of </w:t>
      </w:r>
      <w:r w:rsidR="00266E78" w:rsidRPr="007A682B">
        <w:rPr>
          <w:rFonts w:ascii="Arial" w:hAnsi="Arial" w:cs="Arial"/>
          <w:i/>
          <w:iCs/>
          <w:sz w:val="20"/>
          <w:szCs w:val="20"/>
        </w:rPr>
        <w:t xml:space="preserve">a priori </w:t>
      </w:r>
      <w:r w:rsidR="00266E78" w:rsidRPr="007A682B">
        <w:rPr>
          <w:rFonts w:ascii="Arial" w:hAnsi="Arial" w:cs="Arial"/>
          <w:sz w:val="20"/>
          <w:szCs w:val="20"/>
        </w:rPr>
        <w:t>marker genes</w:t>
      </w:r>
      <w:r w:rsidR="006A74D0" w:rsidRPr="007A682B">
        <w:rPr>
          <w:rFonts w:ascii="Arial" w:hAnsi="Arial" w:cs="Arial"/>
          <w:sz w:val="20"/>
          <w:szCs w:val="20"/>
        </w:rPr>
        <w:t xml:space="preserve"> (see Results)</w:t>
      </w:r>
      <w:r w:rsidR="00266E78" w:rsidRPr="007A682B">
        <w:rPr>
          <w:rFonts w:ascii="Arial" w:hAnsi="Arial" w:cs="Arial"/>
          <w:sz w:val="20"/>
          <w:szCs w:val="20"/>
        </w:rPr>
        <w:t xml:space="preserve"> </w:t>
      </w:r>
      <w:r w:rsidR="00740D5D" w:rsidRPr="007A682B">
        <w:rPr>
          <w:rFonts w:ascii="Arial" w:hAnsi="Arial" w:cs="Arial"/>
          <w:sz w:val="20"/>
          <w:szCs w:val="20"/>
        </w:rPr>
        <w:t>and spatial mapping from Cell2location.</w:t>
      </w:r>
      <w:r w:rsidR="00615890" w:rsidRPr="007A682B">
        <w:rPr>
          <w:rFonts w:ascii="Arial" w:hAnsi="Arial" w:cs="Arial"/>
          <w:sz w:val="20"/>
          <w:szCs w:val="20"/>
        </w:rPr>
        <w:t xml:space="preserve"> We annotated cell types first</w:t>
      </w:r>
      <w:r w:rsidR="006E1E2E" w:rsidRPr="007A682B">
        <w:rPr>
          <w:rFonts w:ascii="Arial" w:hAnsi="Arial" w:cs="Arial"/>
          <w:sz w:val="20"/>
          <w:szCs w:val="20"/>
        </w:rPr>
        <w:t xml:space="preserve"> by cluster number, then</w:t>
      </w:r>
      <w:r w:rsidR="00615890" w:rsidRPr="007A682B">
        <w:rPr>
          <w:rFonts w:ascii="Arial" w:hAnsi="Arial" w:cs="Arial"/>
          <w:sz w:val="20"/>
          <w:szCs w:val="20"/>
        </w:rPr>
        <w:t xml:space="preserve"> by primary cell type, </w:t>
      </w:r>
      <w:r w:rsidR="00AC133B" w:rsidRPr="007A682B">
        <w:rPr>
          <w:rFonts w:ascii="Arial" w:hAnsi="Arial" w:cs="Arial"/>
          <w:sz w:val="20"/>
          <w:szCs w:val="20"/>
        </w:rPr>
        <w:t xml:space="preserve">(e.g., </w:t>
      </w:r>
      <w:r w:rsidR="00F53B62" w:rsidRPr="007A682B">
        <w:rPr>
          <w:rFonts w:ascii="Arial" w:hAnsi="Arial" w:cs="Arial"/>
          <w:sz w:val="20"/>
          <w:szCs w:val="20"/>
        </w:rPr>
        <w:t>1_</w:t>
      </w:r>
      <w:r w:rsidR="00AC133B" w:rsidRPr="007A682B">
        <w:rPr>
          <w:rFonts w:ascii="Arial" w:hAnsi="Arial" w:cs="Arial"/>
          <w:sz w:val="20"/>
          <w:szCs w:val="20"/>
        </w:rPr>
        <w:t xml:space="preserve">RGC = Radial Glial cell, </w:t>
      </w:r>
      <w:r w:rsidR="00F53B62" w:rsidRPr="007A682B">
        <w:rPr>
          <w:rFonts w:ascii="Arial" w:hAnsi="Arial" w:cs="Arial"/>
          <w:sz w:val="20"/>
          <w:szCs w:val="20"/>
        </w:rPr>
        <w:t>2_</w:t>
      </w:r>
      <w:r w:rsidR="00AC133B" w:rsidRPr="007A682B">
        <w:rPr>
          <w:rFonts w:ascii="Arial" w:hAnsi="Arial" w:cs="Arial"/>
          <w:sz w:val="20"/>
          <w:szCs w:val="20"/>
        </w:rPr>
        <w:t>OL = Oligodendrocyte, GABA = GABAergic Neuron)</w:t>
      </w:r>
      <w:r w:rsidR="004828F1" w:rsidRPr="007A682B">
        <w:rPr>
          <w:rFonts w:ascii="Arial" w:hAnsi="Arial" w:cs="Arial"/>
          <w:sz w:val="20"/>
          <w:szCs w:val="20"/>
        </w:rPr>
        <w:t>, then if we determined based on spatial mappin</w:t>
      </w:r>
      <w:r w:rsidR="00DE38F9" w:rsidRPr="007A682B">
        <w:rPr>
          <w:rFonts w:ascii="Arial" w:hAnsi="Arial" w:cs="Arial"/>
          <w:sz w:val="20"/>
          <w:szCs w:val="20"/>
        </w:rPr>
        <w:t>g</w:t>
      </w:r>
      <w:r w:rsidR="004828F1" w:rsidRPr="007A682B">
        <w:rPr>
          <w:rFonts w:ascii="Arial" w:hAnsi="Arial" w:cs="Arial"/>
          <w:sz w:val="20"/>
          <w:szCs w:val="20"/>
        </w:rPr>
        <w:t xml:space="preserve"> that </w:t>
      </w:r>
      <w:r w:rsidR="00DE38F9" w:rsidRPr="007A682B">
        <w:rPr>
          <w:rFonts w:ascii="Arial" w:hAnsi="Arial" w:cs="Arial"/>
          <w:sz w:val="20"/>
          <w:szCs w:val="20"/>
        </w:rPr>
        <w:t xml:space="preserve">a cell type was localized to a specific subdivision of the brain </w:t>
      </w:r>
      <w:r w:rsidR="006E1E2E" w:rsidRPr="007A682B">
        <w:rPr>
          <w:rFonts w:ascii="Arial" w:hAnsi="Arial" w:cs="Arial"/>
          <w:sz w:val="20"/>
          <w:szCs w:val="20"/>
        </w:rPr>
        <w:t xml:space="preserve">or neuroanatomical region, we added that to the cell type classification. Many neuronal types did not </w:t>
      </w:r>
      <w:r w:rsidR="00F53B62" w:rsidRPr="007A682B">
        <w:rPr>
          <w:rFonts w:ascii="Arial" w:hAnsi="Arial" w:cs="Arial"/>
          <w:sz w:val="20"/>
          <w:szCs w:val="20"/>
        </w:rPr>
        <w:t xml:space="preserve">map to specific spatial regions, so we only annotated them by cluster number and neurotransmitter. A dotplot of the </w:t>
      </w:r>
      <w:r w:rsidR="00123917" w:rsidRPr="007A682B">
        <w:rPr>
          <w:rFonts w:ascii="Arial" w:hAnsi="Arial" w:cs="Arial"/>
          <w:sz w:val="20"/>
          <w:szCs w:val="20"/>
        </w:rPr>
        <w:t xml:space="preserve">strongest marker genes found by Seurat’s “FindAllMarkers” function with only.pos = TRUE specified is shown in </w:t>
      </w:r>
      <w:r w:rsidR="00123917" w:rsidRPr="007A682B">
        <w:rPr>
          <w:rFonts w:ascii="Arial" w:hAnsi="Arial" w:cs="Arial"/>
          <w:sz w:val="20"/>
          <w:szCs w:val="20"/>
          <w:highlight w:val="yellow"/>
        </w:rPr>
        <w:t>Figure 2B.</w:t>
      </w:r>
      <w:r w:rsidR="00123917" w:rsidRPr="007A682B">
        <w:rPr>
          <w:rFonts w:ascii="Arial" w:hAnsi="Arial" w:cs="Arial"/>
          <w:sz w:val="20"/>
          <w:szCs w:val="20"/>
        </w:rPr>
        <w:t xml:space="preserve"> </w:t>
      </w:r>
    </w:p>
    <w:p w14:paraId="3E02C3E9" w14:textId="77777777" w:rsidR="00882F08" w:rsidRPr="007A682B" w:rsidRDefault="00882F08" w:rsidP="00753C87">
      <w:pPr>
        <w:rPr>
          <w:rFonts w:ascii="Arial" w:hAnsi="Arial" w:cs="Arial"/>
          <w:sz w:val="20"/>
          <w:szCs w:val="20"/>
        </w:rPr>
      </w:pPr>
    </w:p>
    <w:p w14:paraId="5F670870" w14:textId="789988BE" w:rsidR="00921CD4" w:rsidRPr="007A682B" w:rsidRDefault="00921CD4" w:rsidP="00753C87">
      <w:pPr>
        <w:rPr>
          <w:rFonts w:ascii="Arial" w:hAnsi="Arial" w:cs="Arial"/>
          <w:b/>
          <w:bCs/>
          <w:sz w:val="20"/>
          <w:szCs w:val="20"/>
        </w:rPr>
      </w:pPr>
      <w:r w:rsidRPr="007A682B">
        <w:rPr>
          <w:rFonts w:ascii="Arial" w:hAnsi="Arial" w:cs="Arial"/>
          <w:b/>
          <w:bCs/>
          <w:sz w:val="20"/>
          <w:szCs w:val="20"/>
        </w:rPr>
        <w:t>C</w:t>
      </w:r>
      <w:r w:rsidR="00991F18" w:rsidRPr="007A682B">
        <w:rPr>
          <w:rFonts w:ascii="Arial" w:hAnsi="Arial" w:cs="Arial"/>
          <w:b/>
          <w:bCs/>
          <w:sz w:val="20"/>
          <w:szCs w:val="20"/>
        </w:rPr>
        <w:t>ell Type Composition Analysis</w:t>
      </w:r>
    </w:p>
    <w:p w14:paraId="232FDE79" w14:textId="3503E187" w:rsidR="00991F18" w:rsidRPr="007A682B" w:rsidRDefault="00555E1C" w:rsidP="00753C87">
      <w:pPr>
        <w:rPr>
          <w:rFonts w:ascii="Arial" w:hAnsi="Arial" w:cs="Arial"/>
          <w:sz w:val="20"/>
          <w:szCs w:val="20"/>
        </w:rPr>
      </w:pPr>
      <w:r w:rsidRPr="007A682B">
        <w:rPr>
          <w:rFonts w:ascii="Arial" w:hAnsi="Arial" w:cs="Arial"/>
          <w:b/>
          <w:bCs/>
          <w:sz w:val="20"/>
          <w:szCs w:val="20"/>
        </w:rPr>
        <w:tab/>
      </w:r>
      <w:r w:rsidRPr="007A682B">
        <w:rPr>
          <w:rFonts w:ascii="Arial" w:hAnsi="Arial" w:cs="Arial"/>
          <w:sz w:val="20"/>
          <w:szCs w:val="20"/>
        </w:rPr>
        <w:t xml:space="preserve">We calculated </w:t>
      </w:r>
      <w:r w:rsidR="008F5F53" w:rsidRPr="007A682B">
        <w:rPr>
          <w:rFonts w:ascii="Arial" w:hAnsi="Arial" w:cs="Arial"/>
          <w:sz w:val="20"/>
          <w:szCs w:val="20"/>
        </w:rPr>
        <w:t xml:space="preserve">differences in cell population for each cluster using a logistic regression fitting a matrix </w:t>
      </w:r>
      <w:r w:rsidR="00FC1908" w:rsidRPr="007A682B">
        <w:rPr>
          <w:rFonts w:ascii="Arial" w:hAnsi="Arial" w:cs="Arial"/>
          <w:sz w:val="20"/>
          <w:szCs w:val="20"/>
        </w:rPr>
        <w:t xml:space="preserve">of </w:t>
      </w:r>
      <w:r w:rsidR="008F5F53" w:rsidRPr="007A682B">
        <w:rPr>
          <w:rFonts w:ascii="Arial" w:hAnsi="Arial" w:cs="Arial"/>
          <w:sz w:val="20"/>
          <w:szCs w:val="20"/>
        </w:rPr>
        <w:t xml:space="preserve">successes (number of cells in a cluster) versus failures (number of cells not in that cluster) by phase. </w:t>
      </w:r>
    </w:p>
    <w:p w14:paraId="3601715A" w14:textId="77777777" w:rsidR="00B07A8D" w:rsidRPr="007A682B" w:rsidRDefault="00B07A8D" w:rsidP="00753C87">
      <w:pPr>
        <w:rPr>
          <w:rFonts w:ascii="Arial" w:hAnsi="Arial" w:cs="Arial"/>
          <w:sz w:val="20"/>
          <w:szCs w:val="20"/>
        </w:rPr>
      </w:pPr>
    </w:p>
    <w:p w14:paraId="310BC3A8" w14:textId="77777777" w:rsidR="00093DF6" w:rsidRPr="007A682B" w:rsidRDefault="00093DF6" w:rsidP="00093DF6">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Interpretation of Temporal Abundance, Expression, and Accessibility Patterns</w:t>
      </w:r>
    </w:p>
    <w:p w14:paraId="789FB1DC" w14:textId="0E80455A" w:rsidR="0043315D" w:rsidRPr="007A682B" w:rsidRDefault="00093DF6"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Because sex change represents a temporal progression from males through intermediates to females, cell-type abundance, DEGs and DARs were classified according to their pairwise differences among these three groups (</w:t>
      </w:r>
      <w:r w:rsidRPr="007A682B">
        <w:rPr>
          <w:rFonts w:ascii="Arial" w:eastAsia="Malgun Gothic" w:hAnsi="Arial" w:cs="Arial"/>
          <w:kern w:val="0"/>
          <w:sz w:val="20"/>
          <w:szCs w:val="20"/>
          <w:highlight w:val="yellow"/>
          <w:lang w:eastAsia="ja-JP"/>
          <w14:ligatures w14:val="none"/>
        </w:rPr>
        <w:t xml:space="preserve">Appendix </w:t>
      </w:r>
      <w:r w:rsidR="00C538DF" w:rsidRPr="007A682B">
        <w:rPr>
          <w:rFonts w:ascii="Arial" w:eastAsia="Malgun Gothic" w:hAnsi="Arial" w:cs="Arial"/>
          <w:kern w:val="0"/>
          <w:sz w:val="20"/>
          <w:szCs w:val="20"/>
          <w:highlight w:val="yellow"/>
          <w:lang w:eastAsia="ja-JP"/>
          <w14:ligatures w14:val="none"/>
        </w:rPr>
        <w:t>S14</w:t>
      </w:r>
      <w:r w:rsidRPr="007A682B">
        <w:rPr>
          <w:rFonts w:ascii="Arial" w:eastAsia="Malgun Gothic" w:hAnsi="Arial" w:cs="Arial"/>
          <w:kern w:val="0"/>
          <w:sz w:val="20"/>
          <w:szCs w:val="20"/>
          <w:lang w:eastAsia="ja-JP"/>
          <w14:ligatures w14:val="none"/>
        </w:rPr>
        <w:t>). Features that differed between males and intermediates but not females were classified as “Early”, whereas those differing between intermediates and females but not males were classified as “Late”. Features with intermediate values between males and females were classified as “Progressive”, whereas those uniquely elevated or reduced in intermediates were classified as “Transient”. Directionality (Upregulated or Downregulated) was assigned according to whether expression or accessibility increased or decreased during sex change.</w:t>
      </w:r>
    </w:p>
    <w:p w14:paraId="0B4FEEE6" w14:textId="27E3A83C" w:rsidR="0043315D" w:rsidRPr="007A682B" w:rsidRDefault="0043315D" w:rsidP="00753C87">
      <w:pPr>
        <w:rPr>
          <w:rFonts w:ascii="Arial" w:hAnsi="Arial" w:cs="Arial"/>
          <w:b/>
          <w:bCs/>
          <w:sz w:val="20"/>
          <w:szCs w:val="20"/>
        </w:rPr>
      </w:pPr>
      <w:r w:rsidRPr="007A682B">
        <w:rPr>
          <w:rFonts w:ascii="Arial" w:hAnsi="Arial" w:cs="Arial"/>
          <w:b/>
          <w:bCs/>
          <w:sz w:val="20"/>
          <w:szCs w:val="20"/>
        </w:rPr>
        <w:t>Integration with Anemonefish Telencephalon snRNA-seq Atlas</w:t>
      </w:r>
    </w:p>
    <w:p w14:paraId="683B9974" w14:textId="77777777" w:rsidR="00B07A8D" w:rsidRPr="007A682B" w:rsidRDefault="00B07A8D" w:rsidP="00753C87">
      <w:pPr>
        <w:rPr>
          <w:rFonts w:ascii="Arial" w:hAnsi="Arial" w:cs="Arial"/>
          <w:b/>
          <w:bCs/>
          <w:sz w:val="20"/>
          <w:szCs w:val="20"/>
        </w:rPr>
      </w:pPr>
    </w:p>
    <w:p w14:paraId="1C66F85D" w14:textId="518CF1FC" w:rsidR="00871D0A" w:rsidRPr="007A682B" w:rsidRDefault="00871D0A" w:rsidP="00871D0A">
      <w:pPr>
        <w:rPr>
          <w:rFonts w:ascii="Arial" w:hAnsi="Arial" w:cs="Arial"/>
          <w:sz w:val="20"/>
          <w:szCs w:val="20"/>
          <w:u w:val="single"/>
        </w:rPr>
      </w:pPr>
      <w:r w:rsidRPr="007A682B">
        <w:rPr>
          <w:rFonts w:ascii="Arial" w:hAnsi="Arial" w:cs="Arial"/>
          <w:sz w:val="20"/>
          <w:szCs w:val="20"/>
          <w:u w:val="single"/>
        </w:rPr>
        <w:t>Realignment of Parker 2024 to the A. ocellaris Genome</w:t>
      </w:r>
    </w:p>
    <w:p w14:paraId="3552C53A" w14:textId="77777777" w:rsidR="00871D0A" w:rsidRPr="007A682B" w:rsidRDefault="00871D0A" w:rsidP="00871D0A">
      <w:pPr>
        <w:rPr>
          <w:rFonts w:ascii="Arial" w:hAnsi="Arial" w:cs="Arial"/>
          <w:sz w:val="20"/>
          <w:szCs w:val="20"/>
        </w:rPr>
      </w:pPr>
    </w:p>
    <w:p w14:paraId="436519D0" w14:textId="58E7BA1C" w:rsidR="00871D0A" w:rsidRPr="007A682B" w:rsidRDefault="00871D0A" w:rsidP="00871D0A">
      <w:pPr>
        <w:rPr>
          <w:rFonts w:ascii="Arial" w:hAnsi="Arial" w:cs="Arial"/>
          <w:sz w:val="20"/>
          <w:szCs w:val="20"/>
        </w:rPr>
      </w:pPr>
      <w:r w:rsidRPr="007A682B">
        <w:rPr>
          <w:rFonts w:ascii="Arial" w:hAnsi="Arial" w:cs="Arial"/>
          <w:sz w:val="20"/>
          <w:szCs w:val="20"/>
        </w:rPr>
        <w:tab/>
        <w:t xml:space="preserve">Because the data published in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00BB5B02">
        <w:rPr>
          <w:rFonts w:ascii="Arial" w:hAnsi="Arial" w:cs="Arial"/>
          <w:sz w:val="20"/>
          <w:szCs w:val="20"/>
        </w:rPr>
        <w:fldChar w:fldCharType="begin"/>
      </w:r>
      <w:r w:rsidR="00BB5B02">
        <w:rPr>
          <w:rFonts w:ascii="Arial" w:hAnsi="Arial" w:cs="Arial"/>
          <w:sz w:val="20"/>
          <w:szCs w:val="20"/>
        </w:rPr>
        <w:instrText xml:space="preserve"> ADDIN ZOTERO_ITEM CSL_CITATION {"citationID":"iu1KaRH2","properties":{"unsorted":false,"formattedCitation":"(5)","plainCitation":"(5)","noteIndex":0},"citationItems":[{"id":3227,"uris":["http://zotero.org/users/11313215/items/RWMZ9QFA"],"itemData":{"id":3227,"type":"article-journal","abstract":"BACKGROUND: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BB5B02">
        <w:rPr>
          <w:rFonts w:ascii="Arial" w:hAnsi="Arial" w:cs="Arial"/>
          <w:sz w:val="20"/>
          <w:szCs w:val="20"/>
        </w:rPr>
        <w:fldChar w:fldCharType="separate"/>
      </w:r>
      <w:r w:rsidR="00BB5B02">
        <w:rPr>
          <w:rFonts w:ascii="Arial" w:hAnsi="Arial" w:cs="Arial"/>
          <w:noProof/>
          <w:sz w:val="20"/>
          <w:szCs w:val="20"/>
        </w:rPr>
        <w:t>(5)</w:t>
      </w:r>
      <w:r w:rsidR="00BB5B02">
        <w:rPr>
          <w:rFonts w:ascii="Arial" w:hAnsi="Arial" w:cs="Arial"/>
          <w:sz w:val="20"/>
          <w:szCs w:val="20"/>
        </w:rPr>
        <w:fldChar w:fldCharType="end"/>
      </w:r>
      <w:r w:rsidR="00382D0D" w:rsidRPr="007A682B">
        <w:rPr>
          <w:rFonts w:ascii="Arial" w:hAnsi="Arial" w:cs="Arial"/>
          <w:sz w:val="20"/>
          <w:szCs w:val="20"/>
        </w:rPr>
        <w:t xml:space="preserve"> </w:t>
      </w:r>
      <w:r w:rsidRPr="007A682B">
        <w:rPr>
          <w:rFonts w:ascii="Arial" w:hAnsi="Arial" w:cs="Arial"/>
          <w:sz w:val="20"/>
          <w:szCs w:val="20"/>
        </w:rPr>
        <w:t xml:space="preserve">were generated before an </w:t>
      </w:r>
      <w:r w:rsidRPr="007A682B">
        <w:rPr>
          <w:rFonts w:ascii="Arial" w:hAnsi="Arial" w:cs="Arial"/>
          <w:i/>
          <w:iCs/>
          <w:sz w:val="20"/>
          <w:szCs w:val="20"/>
        </w:rPr>
        <w:t>Amphiprion ocellaris</w:t>
      </w:r>
      <w:r w:rsidRPr="007A682B">
        <w:rPr>
          <w:rFonts w:ascii="Arial" w:hAnsi="Arial" w:cs="Arial"/>
          <w:sz w:val="20"/>
          <w:szCs w:val="20"/>
        </w:rPr>
        <w:t xml:space="preserve"> genome assembly was available, reads in that study were originally aligned to an </w:t>
      </w:r>
      <w:r w:rsidRPr="007A682B">
        <w:rPr>
          <w:rFonts w:ascii="Arial" w:hAnsi="Arial" w:cs="Arial"/>
          <w:i/>
          <w:iCs/>
          <w:sz w:val="20"/>
          <w:szCs w:val="20"/>
        </w:rPr>
        <w:t>Amphiprion percula</w:t>
      </w:r>
      <w:r w:rsidRPr="007A682B">
        <w:rPr>
          <w:rFonts w:ascii="Arial" w:hAnsi="Arial" w:cs="Arial"/>
          <w:sz w:val="20"/>
          <w:szCs w:val="20"/>
        </w:rPr>
        <w:t xml:space="preserve"> </w:t>
      </w:r>
      <w:r w:rsidRPr="007A682B">
        <w:rPr>
          <w:rFonts w:ascii="Arial" w:hAnsi="Arial" w:cs="Arial"/>
          <w:sz w:val="20"/>
          <w:szCs w:val="20"/>
        </w:rPr>
        <w:lastRenderedPageBreak/>
        <w:t xml:space="preserve">genome, whereas reads in the present study were aligned to the </w:t>
      </w:r>
      <w:r w:rsidRPr="007A682B">
        <w:rPr>
          <w:rFonts w:ascii="Arial" w:hAnsi="Arial" w:cs="Arial"/>
          <w:i/>
          <w:iCs/>
          <w:sz w:val="20"/>
          <w:szCs w:val="20"/>
        </w:rPr>
        <w:t>A. ocellaris</w:t>
      </w:r>
      <w:r w:rsidRPr="007A682B">
        <w:rPr>
          <w:rFonts w:ascii="Arial" w:hAnsi="Arial" w:cs="Arial"/>
          <w:sz w:val="20"/>
          <w:szCs w:val="20"/>
        </w:rPr>
        <w:t xml:space="preserve"> genome. To enable direct comparison between datasets, raw reads from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Pr="007A682B">
        <w:rPr>
          <w:rFonts w:ascii="Arial" w:hAnsi="Arial" w:cs="Arial"/>
          <w:sz w:val="20"/>
          <w:szCs w:val="20"/>
        </w:rPr>
        <w:t xml:space="preserve"> were realigned to the </w:t>
      </w:r>
      <w:r w:rsidRPr="007A682B">
        <w:rPr>
          <w:rFonts w:ascii="Arial" w:hAnsi="Arial" w:cs="Arial"/>
          <w:i/>
          <w:iCs/>
          <w:sz w:val="20"/>
          <w:szCs w:val="20"/>
        </w:rPr>
        <w:t>A. ocellaris</w:t>
      </w:r>
      <w:r w:rsidRPr="007A682B">
        <w:rPr>
          <w:rFonts w:ascii="Arial" w:hAnsi="Arial" w:cs="Arial"/>
          <w:sz w:val="20"/>
          <w:szCs w:val="20"/>
        </w:rPr>
        <w:t xml:space="preserve"> RefSeq genome assembly (GCF_022539595.1). The previously established cluster identities and annotations from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Pr="007A682B">
        <w:rPr>
          <w:rFonts w:ascii="Arial" w:hAnsi="Arial" w:cs="Arial"/>
          <w:sz w:val="20"/>
          <w:szCs w:val="20"/>
        </w:rPr>
        <w:t xml:space="preserve"> were retained, allowing the original atlas structure to be preserved while placing both datasets within the same genomic reference framework. </w:t>
      </w:r>
      <w:r w:rsidR="004A27C9" w:rsidRPr="004A27C9">
        <w:rPr>
          <w:rFonts w:ascii="Arial" w:hAnsi="Arial" w:cs="Arial"/>
          <w:sz w:val="20"/>
          <w:szCs w:val="20"/>
          <w:highlight w:val="yellow"/>
        </w:rPr>
        <w:t>xx</w:t>
      </w:r>
      <w:r w:rsidRPr="007A682B">
        <w:rPr>
          <w:rFonts w:ascii="Arial" w:hAnsi="Arial" w:cs="Arial"/>
          <w:sz w:val="20"/>
          <w:szCs w:val="20"/>
          <w:highlight w:val="yellow"/>
        </w:rPr>
        <w:t>Jenny: Please verify this description and add any necessary details regarding how the Parker 2024 data were realigned and processed after realignment.</w:t>
      </w:r>
    </w:p>
    <w:p w14:paraId="189C0EF1" w14:textId="77777777" w:rsidR="00871D0A" w:rsidRPr="007A682B" w:rsidRDefault="00871D0A" w:rsidP="00871D0A">
      <w:pPr>
        <w:rPr>
          <w:rFonts w:ascii="Arial" w:hAnsi="Arial" w:cs="Arial"/>
          <w:sz w:val="20"/>
          <w:szCs w:val="20"/>
        </w:rPr>
      </w:pPr>
    </w:p>
    <w:p w14:paraId="35F5E6E1" w14:textId="77777777" w:rsidR="00871D0A" w:rsidRPr="007A682B" w:rsidRDefault="00871D0A" w:rsidP="00871D0A">
      <w:pPr>
        <w:rPr>
          <w:rFonts w:ascii="Arial" w:hAnsi="Arial" w:cs="Arial"/>
          <w:sz w:val="20"/>
          <w:szCs w:val="20"/>
          <w:u w:val="single"/>
        </w:rPr>
      </w:pPr>
      <w:r w:rsidRPr="007A682B">
        <w:rPr>
          <w:rFonts w:ascii="Arial" w:hAnsi="Arial" w:cs="Arial"/>
          <w:sz w:val="20"/>
          <w:szCs w:val="20"/>
          <w:u w:val="single"/>
        </w:rPr>
        <w:t>Visium HD</w:t>
      </w:r>
    </w:p>
    <w:p w14:paraId="35A70979" w14:textId="77777777" w:rsidR="00871D0A" w:rsidRPr="007A682B" w:rsidRDefault="00871D0A" w:rsidP="00871D0A">
      <w:pPr>
        <w:rPr>
          <w:rFonts w:ascii="Arial" w:hAnsi="Arial" w:cs="Arial"/>
          <w:sz w:val="20"/>
          <w:szCs w:val="20"/>
        </w:rPr>
      </w:pPr>
    </w:p>
    <w:p w14:paraId="64234896" w14:textId="6D9E5B5F" w:rsidR="00871D0A" w:rsidRPr="007A682B" w:rsidRDefault="00382D0D" w:rsidP="00871D0A">
      <w:pPr>
        <w:rPr>
          <w:rFonts w:ascii="Arial" w:hAnsi="Arial" w:cs="Arial"/>
          <w:sz w:val="20"/>
          <w:szCs w:val="20"/>
        </w:rPr>
      </w:pPr>
      <w:r w:rsidRPr="007A682B">
        <w:rPr>
          <w:rFonts w:ascii="Arial" w:hAnsi="Arial" w:cs="Arial"/>
          <w:sz w:val="20"/>
          <w:szCs w:val="20"/>
        </w:rPr>
        <w:tab/>
      </w:r>
      <w:r w:rsidR="00871D0A" w:rsidRPr="007A682B">
        <w:rPr>
          <w:rFonts w:ascii="Arial" w:hAnsi="Arial" w:cs="Arial"/>
          <w:sz w:val="20"/>
          <w:szCs w:val="20"/>
        </w:rPr>
        <w:t xml:space="preserve">Visium HD mapping was performed as described in “Projection of snMultiome Data Onto Visium HD Data,” using the parent clusters from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w:t>
      </w:r>
      <w:r w:rsidRPr="007A682B">
        <w:rPr>
          <w:rFonts w:ascii="Arial" w:hAnsi="Arial" w:cs="Arial"/>
          <w:sz w:val="20"/>
          <w:szCs w:val="20"/>
        </w:rPr>
        <w:t>The only difference was</w:t>
      </w:r>
      <w:r w:rsidR="00871D0A" w:rsidRPr="007A682B">
        <w:rPr>
          <w:rFonts w:ascii="Arial" w:hAnsi="Arial" w:cs="Arial"/>
          <w:sz w:val="20"/>
          <w:szCs w:val="20"/>
        </w:rPr>
        <w:t xml:space="preserve"> dissected regions were not removed from the Visium HD dataset because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provided an atlas of the entire telencephalon.</w:t>
      </w:r>
    </w:p>
    <w:p w14:paraId="38A49655" w14:textId="77777777" w:rsidR="00871D0A" w:rsidRPr="007A682B" w:rsidRDefault="00871D0A" w:rsidP="00871D0A">
      <w:pPr>
        <w:rPr>
          <w:rFonts w:ascii="Arial" w:hAnsi="Arial" w:cs="Arial"/>
          <w:sz w:val="20"/>
          <w:szCs w:val="20"/>
        </w:rPr>
      </w:pPr>
    </w:p>
    <w:p w14:paraId="1D280DAD" w14:textId="77777777" w:rsidR="00871D0A" w:rsidRPr="007A682B" w:rsidRDefault="00871D0A" w:rsidP="00871D0A">
      <w:pPr>
        <w:rPr>
          <w:rFonts w:ascii="Arial" w:hAnsi="Arial" w:cs="Arial"/>
          <w:sz w:val="20"/>
          <w:szCs w:val="20"/>
          <w:u w:val="single"/>
        </w:rPr>
      </w:pPr>
      <w:r w:rsidRPr="007A682B">
        <w:rPr>
          <w:rFonts w:ascii="Arial" w:hAnsi="Arial" w:cs="Arial"/>
          <w:sz w:val="20"/>
          <w:szCs w:val="20"/>
          <w:u w:val="single"/>
        </w:rPr>
        <w:t>Label Transfer with Multiome Object</w:t>
      </w:r>
    </w:p>
    <w:p w14:paraId="24A174AD" w14:textId="77777777" w:rsidR="00871D0A" w:rsidRPr="007A682B" w:rsidRDefault="00871D0A" w:rsidP="00871D0A">
      <w:pPr>
        <w:rPr>
          <w:rFonts w:ascii="Arial" w:hAnsi="Arial" w:cs="Arial"/>
          <w:sz w:val="20"/>
          <w:szCs w:val="20"/>
        </w:rPr>
      </w:pPr>
    </w:p>
    <w:p w14:paraId="6105C79E" w14:textId="10A4C22A" w:rsidR="00871D0A" w:rsidRPr="007A682B" w:rsidRDefault="00382D0D" w:rsidP="00871D0A">
      <w:pPr>
        <w:rPr>
          <w:rFonts w:ascii="Arial" w:hAnsi="Arial" w:cs="Arial"/>
          <w:sz w:val="20"/>
          <w:szCs w:val="20"/>
        </w:rPr>
      </w:pPr>
      <w:r w:rsidRPr="007A682B">
        <w:rPr>
          <w:rFonts w:ascii="Arial" w:hAnsi="Arial" w:cs="Arial"/>
          <w:sz w:val="20"/>
          <w:szCs w:val="20"/>
        </w:rPr>
        <w:tab/>
      </w:r>
      <w:r w:rsidR="00871D0A" w:rsidRPr="007A682B">
        <w:rPr>
          <w:rFonts w:ascii="Arial" w:hAnsi="Arial" w:cs="Arial"/>
          <w:sz w:val="20"/>
          <w:szCs w:val="20"/>
        </w:rPr>
        <w:t xml:space="preserve">To map cell types between datasets, cluster labels were transferred using Seurat’s label transfer functionality. Transfer anchors were first identified using FindTransferAnchors() (dims = 1:30, reference.reduction = "pca", features = rownames(reference object)). Labels were then transferred using TransferData() (dims = 1:30), and predicted cluster identities were assigned based on the predicted.id output. Label transfer was performed in both directions: from the multiome dataset to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and from both the parent and child clusters of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to the multiome dataset.</w:t>
      </w:r>
    </w:p>
    <w:p w14:paraId="35C7F023" w14:textId="77777777" w:rsidR="00871D0A" w:rsidRPr="007A682B" w:rsidRDefault="00871D0A" w:rsidP="00871D0A">
      <w:pPr>
        <w:rPr>
          <w:rFonts w:ascii="Arial" w:hAnsi="Arial" w:cs="Arial"/>
          <w:sz w:val="20"/>
          <w:szCs w:val="20"/>
        </w:rPr>
      </w:pPr>
    </w:p>
    <w:p w14:paraId="52542C3B" w14:textId="77777777" w:rsidR="00871D0A" w:rsidRPr="007A682B" w:rsidRDefault="00871D0A" w:rsidP="00871D0A">
      <w:pPr>
        <w:rPr>
          <w:rFonts w:ascii="Arial" w:hAnsi="Arial" w:cs="Arial"/>
          <w:sz w:val="20"/>
          <w:szCs w:val="20"/>
        </w:rPr>
      </w:pPr>
      <w:r w:rsidRPr="007A682B">
        <w:rPr>
          <w:rFonts w:ascii="Arial" w:hAnsi="Arial" w:cs="Arial"/>
          <w:sz w:val="20"/>
          <w:szCs w:val="20"/>
        </w:rPr>
        <w:t>Mutual Best Hits</w:t>
      </w:r>
    </w:p>
    <w:p w14:paraId="0231B226" w14:textId="77777777" w:rsidR="00871D0A" w:rsidRPr="007A682B" w:rsidRDefault="00871D0A" w:rsidP="00871D0A">
      <w:pPr>
        <w:rPr>
          <w:rFonts w:ascii="Arial" w:hAnsi="Arial" w:cs="Arial"/>
          <w:sz w:val="20"/>
          <w:szCs w:val="20"/>
        </w:rPr>
      </w:pPr>
    </w:p>
    <w:p w14:paraId="271E2C0B" w14:textId="297216A2" w:rsidR="00085080" w:rsidRPr="007A682B" w:rsidRDefault="00871D0A" w:rsidP="00753C87">
      <w:pPr>
        <w:rPr>
          <w:rFonts w:ascii="Arial" w:hAnsi="Arial" w:cs="Arial"/>
          <w:sz w:val="20"/>
          <w:szCs w:val="20"/>
        </w:rPr>
      </w:pPr>
      <w:r w:rsidRPr="007A682B">
        <w:rPr>
          <w:rFonts w:ascii="Arial" w:hAnsi="Arial" w:cs="Arial"/>
          <w:sz w:val="20"/>
          <w:szCs w:val="20"/>
        </w:rPr>
        <w:t xml:space="preserve">To identify clusters with strong correspondence between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Pr="007A682B">
        <w:rPr>
          <w:rFonts w:ascii="Arial" w:hAnsi="Arial" w:cs="Arial"/>
          <w:sz w:val="20"/>
          <w:szCs w:val="20"/>
        </w:rPr>
        <w:t xml:space="preserve"> and the multiome dataset, we constructed contingency tables cross-tabulating the native cluster assignments in each dataset with the corresponding cluster labels predicted from the other dataset. For each cluster, the best hit was defined as the predicted cluster containing the highest proportion of its cells. Two clusters were considered mutual best hits when each was independently identified as the other’s best match. This analysis was performed at both the parent and child cluster levels.</w:t>
      </w:r>
    </w:p>
    <w:p w14:paraId="76BDB8B7" w14:textId="77777777" w:rsidR="0043315D" w:rsidRPr="007A682B" w:rsidRDefault="0043315D" w:rsidP="00753C87">
      <w:pPr>
        <w:rPr>
          <w:rFonts w:ascii="Arial" w:hAnsi="Arial" w:cs="Arial"/>
          <w:sz w:val="20"/>
          <w:szCs w:val="20"/>
        </w:rPr>
      </w:pPr>
    </w:p>
    <w:p w14:paraId="3E64FA78" w14:textId="77777777" w:rsidR="00921CD4" w:rsidRPr="007A682B" w:rsidRDefault="00921CD4" w:rsidP="002B52D9">
      <w:pPr>
        <w:rPr>
          <w:rFonts w:ascii="Arial" w:hAnsi="Arial" w:cs="Arial"/>
          <w:b/>
          <w:bCs/>
          <w:sz w:val="20"/>
          <w:szCs w:val="20"/>
          <w:lang w:eastAsia="ja-JP"/>
        </w:rPr>
      </w:pPr>
      <w:r w:rsidRPr="007A682B">
        <w:rPr>
          <w:rFonts w:ascii="Arial" w:hAnsi="Arial" w:cs="Arial"/>
          <w:b/>
          <w:bCs/>
          <w:sz w:val="20"/>
          <w:szCs w:val="20"/>
          <w:lang w:eastAsia="ja-JP"/>
        </w:rPr>
        <w:t>DEG Analysis</w:t>
      </w:r>
    </w:p>
    <w:p w14:paraId="5A0024B0" w14:textId="30C1747C" w:rsidR="002B52D9" w:rsidRPr="005311A9" w:rsidRDefault="00921CD4" w:rsidP="002B52D9">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calculate differentially expressed genes (DEGs), we used a similar approach to Parker et al.</w:t>
      </w:r>
      <w:r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{"citationID":"FBMcnYbn","properties":{"unsorted":false,"formattedCitation":"(5)","plainCitation":"(5)","noteIndex":0},"citationItems":[{"id":3227,"uris":["http://zotero.org/users/11313215/items/RWMZ9QFA"],"itemData":{"id":3227,"type":"article-journal","abstract":"BACKGROUND: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sz w:val="20"/>
          <w:szCs w:val="20"/>
          <w:lang w:eastAsia="ja-JP"/>
        </w:rPr>
        <w:t>(5)</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Johnson et al. </w:t>
      </w:r>
      <w:r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{"citationID":"ypAhlNF0","properties":{"formattedCitation":"(64)","plainCitation":"(64)","noteIndex":0},"citationItems":[{"id":374,"uris":["http://zotero.org/users/11313215/items/YNY22WA2"],"itemData":{"id":374,"type":"article-journal","abstract":"Social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(64)</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and Connolly et al. </w:t>
      </w:r>
      <w:r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{"citationID":"fBAI2p66","properties":{"unsorted":false,"formattedCitation":"(65)","plainCitation":"(65)","noteIndex":0},"citationItems":[{"id":6499,"uris":["http://zotero.org/users/11313215/items/UEWU6DK3"],"itemData":{"id":6499,"type":"article-journal","abstract":"Acute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(65)</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For each cluster, we used a negative binomial mixed regression using the “glmer” package </w:t>
      </w:r>
      <w:r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{"citationID":"5Hb4v1ar","properties":{"formattedCitation":"(66)","plainCitation":"(66)","noteIndex":0},"citationItems":[{"id":2510,"uris":["http://zotero.org/users/11313215/items/TTU6U7SR"],"itemData":{"id":2510,"type":"software","abstract":"Fit linear and generalized linear mixed-effects models. The models and their components are represented using S4 classes and methods. The core computational algorithms are implemented using the 'Eigen' C++ library for numerical linear </w:instrText>
      </w:r>
      <w:r w:rsidR="00522792">
        <w:rPr>
          <w:rFonts w:ascii="Arial" w:eastAsia="Malgun Gothic" w:hAnsi="Arial" w:cs="Arial" w:hint="eastAsia"/>
          <w:kern w:val="0"/>
          <w:sz w:val="20"/>
          <w:szCs w:val="20"/>
          <w:lang w:eastAsia="ja-JP"/>
          <w14:ligatures w14:val="none"/>
        </w:rPr>
        <w:instrText>algebra and 'RcppEigen' \"glue\".","license":"GPL-2 | GPL-3 [expanded from: GPL (</w:instrText>
      </w:r>
      <w:r w:rsidR="00522792">
        <w:rPr>
          <w:rFonts w:ascii="Arial" w:eastAsia="Malgun Gothic" w:hAnsi="Arial" w:cs="Arial" w:hint="eastAsia"/>
          <w:kern w:val="0"/>
          <w:sz w:val="20"/>
          <w:szCs w:val="20"/>
          <w:lang w:eastAsia="ja-JP"/>
          <w14:ligatures w14:val="none"/>
        </w:rPr>
        <w:instrText>≥</w:instrText>
      </w:r>
      <w:r w:rsidR="00522792">
        <w:rPr>
          <w:rFonts w:ascii="Arial" w:eastAsia="Malgun Gothic" w:hAnsi="Arial" w:cs="Arial" w:hint="eastAsia"/>
          <w:kern w:val="0"/>
          <w:sz w:val="20"/>
          <w:szCs w:val="20"/>
          <w:lang w:eastAsia="ja-JP"/>
          <w14:ligatures w14:val="none"/>
        </w:rPr>
        <w:instrText xml:space="preserve"> 2)]","source":"R-Packages","title":"lme4: Linear Mixed-Effects Models using 'Eigen' and S4","title-short":"lme4","URL":"https://cran.r-project.org/web/packages/lme4/index.h</w:instrText>
      </w:r>
      <w:r w:rsidR="00522792">
        <w:rPr>
          <w:rFonts w:ascii="Arial" w:eastAsia="Malgun Gothic" w:hAnsi="Arial" w:cs="Arial"/>
          <w:kern w:val="0"/>
          <w:sz w:val="20"/>
          <w:szCs w:val="20"/>
          <w:lang w:eastAsia="ja-JP"/>
          <w14:ligatures w14:val="none"/>
        </w:rPr>
        <w:instrText xml:space="preserve">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(66)</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w:t>
      </w:r>
      <w:r w:rsidRPr="007A682B">
        <w:rPr>
          <w:rFonts w:ascii="Arial" w:eastAsia="Malgun Gothic" w:hAnsi="Arial" w:cs="Arial"/>
          <w:kern w:val="0"/>
          <w:sz w:val="20"/>
          <w:szCs w:val="20"/>
          <w:lang w:eastAsia="ja-JP"/>
          <w14:ligatures w14:val="none"/>
        </w:rPr>
        <w:fldChar w:fldCharType="begin"/>
      </w:r>
      <w:r w:rsidR="00304DDF">
        <w:rPr>
          <w:rFonts w:ascii="Arial" w:eastAsia="Malgun Gothic" w:hAnsi="Arial" w:cs="Arial"/>
          <w:kern w:val="0"/>
          <w:sz w:val="20"/>
          <w:szCs w:val="20"/>
          <w:lang w:eastAsia="ja-JP"/>
          <w14:ligatures w14:val="none"/>
        </w:rPr>
        <w:instrText xml:space="preserve"> ADDIN ZOTERO_ITEM CSL_CITATION {"citationID":"YgQMrcyW","properties":{"formattedCitation":"(55)","plainCitation":"(55)","noteIndex":0},"citationItems":[{"id":2523,"uris":["http://zotero.org/users/11313215/items/VFIVI5RB"],"itemData":{"id":2523,"type":"article-journal","abstract":"The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304DDF">
        <w:rPr>
          <w:rFonts w:ascii="Arial" w:hAnsi="Arial" w:cs="Arial"/>
          <w:sz w:val="20"/>
          <w:szCs w:val="20"/>
          <w:lang w:eastAsia="ja-JP"/>
        </w:rPr>
        <w:t>(55)</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for the “Phase” term was calculated within each cluster. A gene was considered a DEG if the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of </w:t>
      </w:r>
      <w:r w:rsidR="00B57B95" w:rsidRPr="007A682B">
        <w:rPr>
          <w:rFonts w:ascii="Arial" w:eastAsia="Malgun Gothic" w:hAnsi="Arial" w:cs="Arial"/>
          <w:kern w:val="0"/>
          <w:sz w:val="20"/>
          <w:szCs w:val="20"/>
          <w:lang w:eastAsia="ja-JP"/>
          <w14:ligatures w14:val="none"/>
        </w:rPr>
        <w:t>type-III tests was</w:t>
      </w:r>
      <w:r w:rsidRPr="007A682B">
        <w:rPr>
          <w:rFonts w:ascii="Arial" w:eastAsia="Malgun Gothic" w:hAnsi="Arial" w:cs="Arial"/>
          <w:kern w:val="0"/>
          <w:sz w:val="20"/>
          <w:szCs w:val="20"/>
          <w:lang w:eastAsia="ja-JP"/>
          <w14:ligatures w14:val="none"/>
        </w:rPr>
        <w:t xml:space="preserve"> &lt; 0.05</w:t>
      </w:r>
      <w:r w:rsidR="00B57B95" w:rsidRPr="007A682B">
        <w:rPr>
          <w:rFonts w:ascii="Arial" w:eastAsia="Malgun Gothic" w:hAnsi="Arial" w:cs="Arial"/>
          <w:kern w:val="0"/>
          <w:sz w:val="20"/>
          <w:szCs w:val="20"/>
          <w:lang w:eastAsia="ja-JP"/>
          <w14:ligatures w14:val="none"/>
        </w:rPr>
        <w:t xml:space="preserve"> and</w:t>
      </w:r>
      <w:r w:rsidRPr="007A682B">
        <w:rPr>
          <w:rFonts w:ascii="Arial" w:eastAsia="Malgun Gothic" w:hAnsi="Arial" w:cs="Arial"/>
          <w:kern w:val="0"/>
          <w:sz w:val="20"/>
          <w:szCs w:val="20"/>
          <w:lang w:eastAsia="ja-JP"/>
          <w14:ligatures w14:val="none"/>
        </w:rPr>
        <w:t xml:space="preserve"> the model successfully converged</w:t>
      </w:r>
      <w:r w:rsidR="002B52D9" w:rsidRPr="007A682B">
        <w:rPr>
          <w:rFonts w:ascii="Arial" w:eastAsia="Malgun Gothic" w:hAnsi="Arial" w:cs="Arial"/>
          <w:kern w:val="0"/>
          <w:sz w:val="20"/>
          <w:szCs w:val="20"/>
          <w:lang w:eastAsia="ja-JP"/>
          <w14:ligatures w14:val="none"/>
        </w:rPr>
        <w:t>.</w:t>
      </w:r>
      <w:r w:rsidR="00EE797F">
        <w:rPr>
          <w:rFonts w:ascii="Arial" w:eastAsia="Malgun Gothic" w:hAnsi="Arial" w:cs="Arial"/>
          <w:kern w:val="0"/>
          <w:sz w:val="20"/>
          <w:szCs w:val="20"/>
          <w:lang w:eastAsia="ja-JP"/>
          <w14:ligatures w14:val="none"/>
        </w:rPr>
        <w:t xml:space="preserve"> </w:t>
      </w:r>
      <w:commentRangeStart w:id="28"/>
      <w:commentRangeStart w:id="29"/>
      <w:r w:rsidR="005311A9">
        <w:rPr>
          <w:rFonts w:ascii="Arial" w:eastAsia="Malgun Gothic" w:hAnsi="Arial" w:cs="Arial"/>
          <w:kern w:val="0"/>
          <w:sz w:val="20"/>
          <w:szCs w:val="20"/>
          <w:lang w:eastAsia="ja-JP"/>
          <w14:ligatures w14:val="none"/>
        </w:rPr>
        <w:t xml:space="preserve">For </w:t>
      </w:r>
      <w:r w:rsidR="005311A9">
        <w:rPr>
          <w:rFonts w:ascii="Arial" w:eastAsia="Malgun Gothic" w:hAnsi="Arial" w:cs="Arial"/>
          <w:i/>
          <w:iCs/>
          <w:kern w:val="0"/>
          <w:sz w:val="20"/>
          <w:szCs w:val="20"/>
          <w:lang w:eastAsia="ja-JP"/>
          <w14:ligatures w14:val="none"/>
        </w:rPr>
        <w:t xml:space="preserve">gnrh1 </w:t>
      </w:r>
      <w:r w:rsidR="005311A9">
        <w:rPr>
          <w:rFonts w:ascii="Arial" w:eastAsia="Malgun Gothic" w:hAnsi="Arial" w:cs="Arial"/>
          <w:kern w:val="0"/>
          <w:sz w:val="20"/>
          <w:szCs w:val="20"/>
          <w:lang w:eastAsia="ja-JP"/>
          <w14:ligatures w14:val="none"/>
        </w:rPr>
        <w:t xml:space="preserve">in 6_POA_Mixed, the negative binomial model failed to converge, so we reverted to a pseudobulked analysis where </w:t>
      </w:r>
      <w:r w:rsidR="00FC7527">
        <w:rPr>
          <w:rFonts w:ascii="Arial" w:eastAsia="Malgun Gothic" w:hAnsi="Arial" w:cs="Arial"/>
          <w:kern w:val="0"/>
          <w:sz w:val="20"/>
          <w:szCs w:val="20"/>
          <w:lang w:eastAsia="ja-JP"/>
          <w14:ligatures w14:val="none"/>
        </w:rPr>
        <w:t>the mean expression for each individual was fit against phase lm(mean_gnrh1_expression ~phase)</w:t>
      </w:r>
      <w:commentRangeEnd w:id="28"/>
      <w:r w:rsidR="00181D45">
        <w:rPr>
          <w:rStyle w:val="CommentReference"/>
          <w:rFonts w:ascii="Arial" w:eastAsia="Malgun Gothic" w:hAnsi="Arial" w:cs="Arial"/>
          <w:kern w:val="0"/>
          <w:sz w:val="20"/>
          <w:szCs w:val="20"/>
          <w:lang w:eastAsia="ja-JP"/>
          <w14:ligatures w14:val="none"/>
        </w:rPr>
        <w:commentReference w:id="28"/>
      </w:r>
      <w:commentRangeEnd w:id="29"/>
      <w:r w:rsidR="00D606A6">
        <w:rPr>
          <w:rStyle w:val="CommentReference"/>
          <w:rFonts w:ascii="Arial" w:eastAsia="Malgun Gothic" w:hAnsi="Arial" w:cs="Arial"/>
          <w:kern w:val="0"/>
          <w:sz w:val="20"/>
          <w:szCs w:val="20"/>
          <w:lang w:eastAsia="ja-JP"/>
          <w14:ligatures w14:val="none"/>
        </w:rPr>
        <w:commentReference w:id="29"/>
      </w:r>
      <w:r w:rsidR="00FC7527">
        <w:rPr>
          <w:rFonts w:ascii="Arial" w:eastAsia="Malgun Gothic" w:hAnsi="Arial" w:cs="Arial"/>
          <w:kern w:val="0"/>
          <w:sz w:val="20"/>
          <w:szCs w:val="20"/>
          <w:lang w:eastAsia="ja-JP"/>
          <w14:ligatures w14:val="none"/>
        </w:rPr>
        <w:t>.</w:t>
      </w:r>
    </w:p>
    <w:p w14:paraId="332F4481" w14:textId="0313E4CF" w:rsidR="002B52D9" w:rsidRPr="007A682B" w:rsidRDefault="002B52D9"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Differentially Accessible Region (DAR) Analysis</w:t>
      </w:r>
    </w:p>
    <w:p w14:paraId="0B2B6587" w14:textId="68F3546B" w:rsidR="002B52D9" w:rsidRPr="007A682B" w:rsidRDefault="002B52D9"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from analysis. Library sizes were normalized using the trimmed mean of M-values (TMM) method, dispersions were estimated with estimateDisp(), and quasi-likelihood generalized linear models were fit using glmQLFit(). Pairwise contrasts (M vs. F, M vs. </w:t>
      </w:r>
      <w:r w:rsidR="002A0494" w:rsidRPr="007A682B">
        <w:rPr>
          <w:rFonts w:ascii="Arial" w:eastAsia="Malgun Gothic" w:hAnsi="Arial" w:cs="Arial"/>
          <w:kern w:val="0"/>
          <w:sz w:val="20"/>
          <w:szCs w:val="20"/>
          <w:lang w:eastAsia="ja-JP"/>
          <w14:ligatures w14:val="none"/>
        </w:rPr>
        <w:t>I</w:t>
      </w:r>
      <w:r w:rsidRPr="007A682B">
        <w:rPr>
          <w:rFonts w:ascii="Arial" w:eastAsia="Malgun Gothic" w:hAnsi="Arial" w:cs="Arial"/>
          <w:kern w:val="0"/>
          <w:sz w:val="20"/>
          <w:szCs w:val="20"/>
          <w:lang w:eastAsia="ja-JP"/>
          <w14:ligatures w14:val="none"/>
        </w:rPr>
        <w:t xml:space="preserve">, and F vs. </w:t>
      </w:r>
      <w:r w:rsidR="002A0494" w:rsidRPr="007A682B">
        <w:rPr>
          <w:rFonts w:ascii="Arial" w:eastAsia="Malgun Gothic" w:hAnsi="Arial" w:cs="Arial"/>
          <w:kern w:val="0"/>
          <w:sz w:val="20"/>
          <w:szCs w:val="20"/>
          <w:lang w:eastAsia="ja-JP"/>
          <w14:ligatures w14:val="none"/>
        </w:rPr>
        <w:t>I</w:t>
      </w:r>
      <w:r w:rsidRPr="007A682B">
        <w:rPr>
          <w:rFonts w:ascii="Arial" w:eastAsia="Malgun Gothic" w:hAnsi="Arial" w:cs="Arial"/>
          <w:kern w:val="0"/>
          <w:sz w:val="20"/>
          <w:szCs w:val="20"/>
          <w:lang w:eastAsia="ja-JP"/>
          <w14:ligatures w14:val="none"/>
        </w:rPr>
        <w:t xml:space="preserve">) were tested using quasi-likelihood F-tests (glmQLFTest()), and </w:t>
      </w:r>
      <w:r w:rsidRPr="007A682B">
        <w:rPr>
          <w:rFonts w:ascii="Arial" w:eastAsia="Malgun Gothic" w:hAnsi="Arial" w:cs="Arial"/>
          <w:kern w:val="0"/>
          <w:sz w:val="20"/>
          <w:szCs w:val="20"/>
          <w:lang w:eastAsia="ja-JP"/>
          <w14:ligatures w14:val="none"/>
        </w:rPr>
        <w:lastRenderedPageBreak/>
        <w:t>peaks with a false discovery rate (FDR) &lt; 0.20 in any comparison were considered differentially accessible.</w:t>
      </w:r>
    </w:p>
    <w:p w14:paraId="3FF8ECEE" w14:textId="77777777" w:rsidR="002B52D9" w:rsidRPr="007A682B" w:rsidRDefault="002B52D9"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Integration of Differential Gene Expression and Chromatin Accessibility</w:t>
      </w:r>
    </w:p>
    <w:p w14:paraId="4BA63D27" w14:textId="2724F26D" w:rsidR="002B52D9" w:rsidRPr="007A682B" w:rsidRDefault="002B52D9"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14:paraId="351E13DB" w14:textId="71EB2C8E" w:rsidR="002B52D9" w:rsidRPr="007A682B" w:rsidRDefault="00382D0D" w:rsidP="002B52D9">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r>
      <w:r w:rsidR="002B52D9" w:rsidRPr="007A682B">
        <w:rPr>
          <w:rFonts w:ascii="Arial" w:eastAsia="Malgun Gothic" w:hAnsi="Arial" w:cs="Arial"/>
          <w:kern w:val="0"/>
          <w:sz w:val="20"/>
          <w:szCs w:val="20"/>
          <w:lang w:eastAsia="ja-JP"/>
          <w14:ligatures w14:val="none"/>
        </w:rPr>
        <w:t>For the DEG-centered analysis, each DEG was paired with all ATAC peaks overlapping the annotated gene body or a proximal promoter region (2 kb upstream and 500 bp downstream of the 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14:paraId="0D8C3E4B" w14:textId="4D656C21" w:rsidR="00E051B3" w:rsidRPr="007A682B" w:rsidRDefault="00E051B3"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Machine Learning Analysis of Temporal Course of Sex Change</w:t>
      </w:r>
    </w:p>
    <w:p w14:paraId="54D83A9E" w14:textId="7A7B6474" w:rsidR="00BA21DD" w:rsidRPr="007A682B" w:rsidRDefault="00BA21DD" w:rsidP="00BA21DD">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 xml:space="preserve">To estimate the extent to which each multiome cluster had transitioned from a male-like toward a female-like molecular state after six months of sex change, we used a machine learning approach to classify intermediates based on their similarity to males and females. For each cluster, we constructed a feature matrix in which rows corresponded to individuals and columns corresponded to differentially expressed genes (DEGs) </w:t>
      </w:r>
      <w:r w:rsidR="009613F6" w:rsidRPr="007A682B">
        <w:rPr>
          <w:rFonts w:ascii="Arial" w:eastAsia="Malgun Gothic" w:hAnsi="Arial" w:cs="Arial"/>
          <w:kern w:val="0"/>
          <w:sz w:val="20"/>
          <w:szCs w:val="20"/>
          <w:lang w:eastAsia="ja-JP"/>
          <w14:ligatures w14:val="none"/>
        </w:rPr>
        <w:t>and</w:t>
      </w:r>
      <w:r w:rsidRPr="007A682B">
        <w:rPr>
          <w:rFonts w:ascii="Arial" w:eastAsia="Malgun Gothic" w:hAnsi="Arial" w:cs="Arial"/>
          <w:kern w:val="0"/>
          <w:sz w:val="20"/>
          <w:szCs w:val="20"/>
          <w:lang w:eastAsia="ja-JP"/>
          <w14:ligatures w14:val="none"/>
        </w:rPr>
        <w:t xml:space="preserve"> differentially accessible regions (DARs) that significantly differed between males and females. Using the Python package scikit-learn (71), we standardized each feature matrix using StandardScaler(), encoded sex as a binary variable (male = 0, female = 1), and trained logistic regression classifiers using LogisticRegression() (C = 10, solver = "lbfgs"). We then used predict_proba() to estimate the probability that each intermediate individual exhibited a female-like molecular profile.</w:t>
      </w:r>
    </w:p>
    <w:p w14:paraId="588602B7" w14:textId="38DC7F56" w:rsidR="00BA21DD" w:rsidRPr="007A682B" w:rsidRDefault="00BA21DD"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kern w:val="0"/>
          <w:sz w:val="20"/>
          <w:szCs w:val="20"/>
          <w:lang w:eastAsia="ja-JP"/>
          <w14:ligatures w14:val="none"/>
        </w:rPr>
        <w:tab/>
        <w:t xml:space="preserve">To restrict the analysis to clusters in which males and females could be reliably distinguished, we performed a leave-one-out procedure in which the classifier was iteratively refit while holding out one male or female individual and predicting its sex. Clusters were retained only when the mean predicted probability for held-out males was within 0.1 of 0 and the mean predicted probability for held-out females was within 0.1 of 1. For each retained cluster, the mean predicted probability among intermediates was used as an index of the extent of molecular transition toward the female state after six months. </w:t>
      </w:r>
    </w:p>
    <w:p w14:paraId="648C6C68" w14:textId="2AC290BC" w:rsidR="004634AC" w:rsidRPr="007A682B" w:rsidRDefault="004634AC" w:rsidP="00415AF2">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Subclustering</w:t>
      </w:r>
      <w:r w:rsidR="00555E1C" w:rsidRPr="007A682B">
        <w:rPr>
          <w:rFonts w:ascii="Arial" w:eastAsia="Malgun Gothic" w:hAnsi="Arial" w:cs="Arial"/>
          <w:b/>
          <w:bCs/>
          <w:kern w:val="0"/>
          <w:sz w:val="20"/>
          <w:szCs w:val="20"/>
          <w:lang w:eastAsia="ja-JP"/>
          <w14:ligatures w14:val="none"/>
        </w:rPr>
        <w:t xml:space="preserve"> 1_RGC</w:t>
      </w:r>
    </w:p>
    <w:p w14:paraId="702941E9" w14:textId="1C3A5896" w:rsidR="004634AC" w:rsidRPr="007A682B" w:rsidRDefault="0071780B" w:rsidP="0071780B">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We subclustered 1_RGC using Seurat’s FindSubC</w:t>
      </w:r>
      <w:r w:rsidR="00B26804" w:rsidRPr="007A682B">
        <w:rPr>
          <w:rFonts w:ascii="Arial" w:eastAsia="Malgun Gothic" w:hAnsi="Arial" w:cs="Arial"/>
          <w:kern w:val="0"/>
          <w:sz w:val="20"/>
          <w:szCs w:val="20"/>
          <w:lang w:eastAsia="ja-JP"/>
          <w14:ligatures w14:val="none"/>
        </w:rPr>
        <w:t>luster</w:t>
      </w:r>
      <w:r w:rsidR="00F6638C" w:rsidRPr="007A682B">
        <w:rPr>
          <w:rFonts w:ascii="Arial" w:eastAsia="Malgun Gothic" w:hAnsi="Arial" w:cs="Arial"/>
          <w:kern w:val="0"/>
          <w:sz w:val="20"/>
          <w:szCs w:val="20"/>
          <w:lang w:eastAsia="ja-JP"/>
          <w14:ligatures w14:val="none"/>
        </w:rPr>
        <w:t>()</w:t>
      </w:r>
      <w:r w:rsidR="00B26804" w:rsidRPr="007A682B">
        <w:rPr>
          <w:rFonts w:ascii="Arial" w:eastAsia="Malgun Gothic" w:hAnsi="Arial" w:cs="Arial"/>
          <w:kern w:val="0"/>
          <w:sz w:val="20"/>
          <w:szCs w:val="20"/>
          <w:lang w:eastAsia="ja-JP"/>
          <w14:ligatures w14:val="none"/>
        </w:rPr>
        <w:t xml:space="preserve"> function </w:t>
      </w:r>
      <w:r w:rsidR="00DC133F" w:rsidRPr="007A682B">
        <w:rPr>
          <w:rFonts w:ascii="Arial" w:eastAsia="Malgun Gothic" w:hAnsi="Arial" w:cs="Arial"/>
          <w:kern w:val="0"/>
          <w:sz w:val="20"/>
          <w:szCs w:val="20"/>
          <w:lang w:eastAsia="ja-JP"/>
          <w14:ligatures w14:val="none"/>
        </w:rPr>
        <w:t>on the harmony weighted shared nearest neighbors graph with resolution 0.2 specified.</w:t>
      </w:r>
    </w:p>
    <w:p w14:paraId="6E0C0371" w14:textId="77777777" w:rsidR="00D75AD5" w:rsidRPr="007A682B" w:rsidRDefault="00D75AD5" w:rsidP="00D75AD5">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Cellular Maturity Inference</w:t>
      </w:r>
    </w:p>
    <w:p w14:paraId="6D49528B" w14:textId="19439DAE" w:rsidR="00F6638C" w:rsidRPr="007A682B" w:rsidRDefault="00F6638C" w:rsidP="00F6638C">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To infer relative cellular maturity, we used the R package CytoTRACE </w:t>
      </w:r>
      <w:r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{"citationID":"6BeGTlyw","properties":{"unsorted":false,"formattedCitation":"(67)","plainCitation":"(67)","noteIndex":0},"citationItems":[{"id":3274,"uris":["http://zotero.org/users/11313215/items/LEWHIU9W"],"itemData":{"id":3274,"type":"article-journal","abstract":"Single-cell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(67)</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to score each cell between 0 (most mature) and 1 (most immature) based on the diversity of its normalized RNA expression matrix. To assess differences in cellular maturity in </w:t>
      </w:r>
      <w:r w:rsidRPr="007A682B">
        <w:rPr>
          <w:rFonts w:ascii="Arial" w:eastAsia="Malgun Gothic" w:hAnsi="Arial" w:cs="Arial"/>
          <w:kern w:val="0"/>
          <w:sz w:val="20"/>
          <w:szCs w:val="20"/>
          <w:highlight w:val="yellow"/>
          <w:lang w:eastAsia="ja-JP"/>
          <w14:ligatures w14:val="none"/>
        </w:rPr>
        <w:t>Figure S7B</w:t>
      </w:r>
      <w:r w:rsidRPr="007A682B">
        <w:rPr>
          <w:rFonts w:ascii="Arial" w:eastAsia="Malgun Gothic" w:hAnsi="Arial" w:cs="Arial"/>
          <w:kern w:val="0"/>
          <w:sz w:val="20"/>
          <w:szCs w:val="20"/>
          <w:lang w:eastAsia="ja-JP"/>
          <w14:ligatures w14:val="none"/>
        </w:rPr>
        <w:t xml:space="preserve">, we calculated the mean CytoTRACE score for each individual within each subcluster and used a fixed-effects linear model to fit CytoTRACE score by subcluster. Similarly, for </w:t>
      </w:r>
      <w:r w:rsidRPr="007A682B">
        <w:rPr>
          <w:rFonts w:ascii="Arial" w:eastAsia="Malgun Gothic" w:hAnsi="Arial" w:cs="Arial"/>
          <w:kern w:val="0"/>
          <w:sz w:val="20"/>
          <w:szCs w:val="20"/>
          <w:highlight w:val="yellow"/>
          <w:lang w:eastAsia="ja-JP"/>
          <w14:ligatures w14:val="none"/>
        </w:rPr>
        <w:t>Figure 5B</w:t>
      </w:r>
      <w:r w:rsidRPr="007A682B">
        <w:rPr>
          <w:rFonts w:ascii="Arial" w:eastAsia="Malgun Gothic" w:hAnsi="Arial" w:cs="Arial"/>
          <w:kern w:val="0"/>
          <w:sz w:val="20"/>
          <w:szCs w:val="20"/>
          <w:lang w:eastAsia="ja-JP"/>
          <w14:ligatures w14:val="none"/>
        </w:rPr>
        <w:t>, we fit individual mean CytoTRACE scores with phase as a fixed effect.</w:t>
      </w:r>
    </w:p>
    <w:p w14:paraId="69C3352A" w14:textId="2AE4A212" w:rsidR="00D75AD5" w:rsidRPr="007A682B" w:rsidRDefault="00F6638C" w:rsidP="00F6638C">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In analyses testing whether cellular maturity differed by phase within specific cell types, we instead used a linear mixed-effects model fitting cell-level CytoTRACE scores with nCount_RNA (the number of transcripts detected in each cell), phase, gene presence, and the phase × gene presence interaction as fixed effects, with individual included as a random effect. This was necessary because </w:t>
      </w:r>
      <w:r w:rsidRPr="007A682B">
        <w:rPr>
          <w:rFonts w:ascii="Arial" w:eastAsia="Malgun Gothic" w:hAnsi="Arial" w:cs="Arial"/>
          <w:kern w:val="0"/>
          <w:sz w:val="20"/>
          <w:szCs w:val="20"/>
          <w:lang w:eastAsia="ja-JP"/>
          <w14:ligatures w14:val="none"/>
        </w:rPr>
        <w:lastRenderedPageBreak/>
        <w:t>CytoTRACE measures cellular maturity based on the diversity of a cell’s transcriptome, which can be confounded when selecting cells based on the presence of a specific gene or set of genes. Including the number of transcripts detected in each cell as a covariate corrects for this potential confound.</w:t>
      </w:r>
    </w:p>
    <w:p w14:paraId="64119361" w14:textId="6B3BA203" w:rsidR="004634AC" w:rsidRPr="007A682B" w:rsidRDefault="004634AC" w:rsidP="00D75AD5">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 Analysis</w:t>
      </w:r>
    </w:p>
    <w:p w14:paraId="51F8880B" w14:textId="77777777" w:rsidR="00F6638C" w:rsidRPr="007A682B" w:rsidRDefault="00F6638C" w:rsidP="00AC52FC">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Gene ontology (GO) analysis was performed using the enricher() function from the R package clusterProfiler, with pAdjustMethod = "fdr" and p- and q-value cutoffs of 0.05. Because the </w:t>
      </w:r>
      <w:r w:rsidRPr="007A682B">
        <w:rPr>
          <w:rFonts w:ascii="Arial" w:eastAsia="Malgun Gothic" w:hAnsi="Arial" w:cs="Arial"/>
          <w:i/>
          <w:iCs/>
          <w:kern w:val="0"/>
          <w:sz w:val="20"/>
          <w:szCs w:val="20"/>
          <w:lang w:eastAsia="ja-JP"/>
          <w14:ligatures w14:val="none"/>
        </w:rPr>
        <w:t>A. ocellaris</w:t>
      </w:r>
      <w:r w:rsidRPr="007A682B">
        <w:rPr>
          <w:rFonts w:ascii="Arial" w:eastAsia="Malgun Gothic" w:hAnsi="Arial" w:cs="Arial"/>
          <w:kern w:val="0"/>
          <w:sz w:val="20"/>
          <w:szCs w:val="20"/>
          <w:lang w:eastAsia="ja-JP"/>
          <w14:ligatures w14:val="none"/>
        </w:rPr>
        <w:t xml:space="preserve"> genome is poorly annotated, we used GO IDs and GO terms from the </w:t>
      </w:r>
      <w:r w:rsidRPr="007A682B">
        <w:rPr>
          <w:rFonts w:ascii="Arial" w:eastAsia="Malgun Gothic" w:hAnsi="Arial" w:cs="Arial"/>
          <w:i/>
          <w:iCs/>
          <w:kern w:val="0"/>
          <w:sz w:val="20"/>
          <w:szCs w:val="20"/>
          <w:lang w:eastAsia="ja-JP"/>
          <w14:ligatures w14:val="none"/>
        </w:rPr>
        <w:t>Homo sapiens</w:t>
      </w:r>
      <w:r w:rsidRPr="007A682B">
        <w:rPr>
          <w:rFonts w:ascii="Arial" w:eastAsia="Malgun Gothic" w:hAnsi="Arial" w:cs="Arial"/>
          <w:kern w:val="0"/>
          <w:sz w:val="20"/>
          <w:szCs w:val="20"/>
          <w:lang w:eastAsia="ja-JP"/>
          <w14:ligatures w14:val="none"/>
        </w:rPr>
        <w:t xml:space="preserve"> genome. To do this, we first mapped human orthologs using Ensembl's precomputed homology annotations, retrieved via the R package biomaRt (aocellaris_gene_ensembl dataset). Because gene symbols and Ensembl homology calls are stored under separate BioMart attribute pages, we joined these using shared Ensembl transcript IDs. For a small number of genes with well-established nomenclature discrepancies between </w:t>
      </w:r>
      <w:r w:rsidRPr="007A682B">
        <w:rPr>
          <w:rFonts w:ascii="Arial" w:eastAsia="Malgun Gothic" w:hAnsi="Arial" w:cs="Arial"/>
          <w:i/>
          <w:iCs/>
          <w:kern w:val="0"/>
          <w:sz w:val="20"/>
          <w:szCs w:val="20"/>
          <w:lang w:eastAsia="ja-JP"/>
          <w14:ligatures w14:val="none"/>
        </w:rPr>
        <w:t>A. ocellaris</w:t>
      </w:r>
      <w:r w:rsidRPr="007A682B">
        <w:rPr>
          <w:rFonts w:ascii="Arial" w:eastAsia="Malgun Gothic" w:hAnsi="Arial" w:cs="Arial"/>
          <w:kern w:val="0"/>
          <w:sz w:val="20"/>
          <w:szCs w:val="20"/>
          <w:lang w:eastAsia="ja-JP"/>
          <w14:ligatures w14:val="none"/>
        </w:rPr>
        <w:t xml:space="preserve"> and human annotations (e.g., kisspeptin, oxytocin/vasopressin, and their associated receptors), we manually corrected the assigned human ortholog based on gene identity rather than Ensembl's automated name matching.</w:t>
      </w:r>
    </w:p>
    <w:p w14:paraId="47621D97" w14:textId="1864114D" w:rsidR="00520F12" w:rsidRPr="007A682B" w:rsidRDefault="00520F12" w:rsidP="00AC52FC">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 Gene Expression Modules</w:t>
      </w:r>
    </w:p>
    <w:p w14:paraId="7F111C2B" w14:textId="4D0CC76E" w:rsidR="00FD437F" w:rsidRPr="007A682B" w:rsidRDefault="00A23928" w:rsidP="00D75AD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GO gene expression modules were defined as all genes sharing </w:t>
      </w:r>
      <w:r w:rsidR="00CD2B72" w:rsidRPr="007A682B">
        <w:rPr>
          <w:rFonts w:ascii="Arial" w:eastAsia="Malgun Gothic" w:hAnsi="Arial" w:cs="Arial"/>
          <w:kern w:val="0"/>
          <w:sz w:val="20"/>
          <w:szCs w:val="20"/>
          <w:lang w:eastAsia="ja-JP"/>
          <w14:ligatures w14:val="none"/>
        </w:rPr>
        <w:t>the same GO ID</w:t>
      </w:r>
      <w:r w:rsidR="00E2315F" w:rsidRPr="007A682B">
        <w:rPr>
          <w:rFonts w:ascii="Arial" w:eastAsia="Malgun Gothic" w:hAnsi="Arial" w:cs="Arial"/>
          <w:kern w:val="0"/>
          <w:sz w:val="20"/>
          <w:szCs w:val="20"/>
          <w:lang w:eastAsia="ja-JP"/>
          <w14:ligatures w14:val="none"/>
        </w:rPr>
        <w:t xml:space="preserve"> as described above</w:t>
      </w:r>
      <w:r w:rsidR="00CD2B72" w:rsidRPr="007A682B">
        <w:rPr>
          <w:rFonts w:ascii="Arial" w:eastAsia="Malgun Gothic" w:hAnsi="Arial" w:cs="Arial"/>
          <w:kern w:val="0"/>
          <w:sz w:val="20"/>
          <w:szCs w:val="20"/>
          <w:lang w:eastAsia="ja-JP"/>
          <w14:ligatures w14:val="none"/>
        </w:rPr>
        <w:t>. To calculate a GO module score, we next used the R package AUCell</w:t>
      </w:r>
      <w:r w:rsidR="00F6638C" w:rsidRPr="007A682B">
        <w:rPr>
          <w:rFonts w:ascii="Arial" w:eastAsia="Malgun Gothic" w:hAnsi="Arial" w:cs="Arial"/>
          <w:kern w:val="0"/>
          <w:sz w:val="20"/>
          <w:szCs w:val="20"/>
          <w:lang w:eastAsia="ja-JP"/>
          <w14:ligatures w14:val="none"/>
        </w:rPr>
        <w:t xml:space="preserve"> </w:t>
      </w:r>
      <w:r w:rsidR="00085C8E" w:rsidRPr="007A682B">
        <w:rPr>
          <w:rFonts w:ascii="Arial" w:eastAsia="Malgun Gothic" w:hAnsi="Arial" w:cs="Arial"/>
          <w:kern w:val="0"/>
          <w:sz w:val="20"/>
          <w:szCs w:val="20"/>
          <w:lang w:eastAsia="ja-JP"/>
          <w14:ligatures w14:val="none"/>
        </w:rPr>
        <w:fldChar w:fldCharType="begin"/>
      </w:r>
      <w:r w:rsidR="00522792">
        <w:rPr>
          <w:rFonts w:ascii="Arial" w:eastAsia="Malgun Gothic" w:hAnsi="Arial" w:cs="Arial"/>
          <w:kern w:val="0"/>
          <w:sz w:val="20"/>
          <w:szCs w:val="20"/>
          <w:lang w:eastAsia="ja-JP"/>
          <w14:ligatures w14:val="none"/>
        </w:rPr>
        <w:instrText xml:space="preserve"> ADDIN ZOTERO_ITEM CSL_CITATION {"citationID":"MzIaNPka","properties":{"unsorted":false,"formattedCitation":"(68)","plainCitation":"(68)","noteIndex":0},"citationItems":[{"id":6497,"uris":["http://zotero.org/users/11313215/items/78AJKUSI"],"itemData":{"id":6497,"type":"article-journal","abstract":"SCENIC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sidRPr="007A682B">
        <w:rPr>
          <w:rFonts w:ascii="Arial" w:eastAsia="Malgun Gothic" w:hAnsi="Arial" w:cs="Arial"/>
          <w:kern w:val="0"/>
          <w:sz w:val="20"/>
          <w:szCs w:val="20"/>
          <w:lang w:eastAsia="ja-JP"/>
          <w14:ligatures w14:val="none"/>
        </w:rPr>
        <w:fldChar w:fldCharType="separate"/>
      </w:r>
      <w:r w:rsidR="00522792">
        <w:rPr>
          <w:rFonts w:ascii="Arial" w:hAnsi="Arial" w:cs="Arial"/>
          <w:sz w:val="20"/>
          <w:szCs w:val="20"/>
          <w:lang w:eastAsia="ja-JP"/>
        </w:rPr>
        <w:t>(68)</w:t>
      </w:r>
      <w:r w:rsidR="00085C8E" w:rsidRPr="007A682B">
        <w:rPr>
          <w:rFonts w:ascii="Arial" w:eastAsia="Malgun Gothic" w:hAnsi="Arial" w:cs="Arial"/>
          <w:kern w:val="0"/>
          <w:sz w:val="20"/>
          <w:szCs w:val="20"/>
          <w:lang w:eastAsia="ja-JP"/>
          <w14:ligatures w14:val="none"/>
        </w:rPr>
        <w:fldChar w:fldCharType="end"/>
      </w:r>
      <w:r w:rsidR="009402D1" w:rsidRPr="007A682B">
        <w:rPr>
          <w:rFonts w:ascii="Arial" w:eastAsia="Malgun Gothic" w:hAnsi="Arial" w:cs="Arial"/>
          <w:kern w:val="0"/>
          <w:sz w:val="20"/>
          <w:szCs w:val="20"/>
          <w:lang w:eastAsia="ja-JP"/>
          <w14:ligatures w14:val="none"/>
        </w:rPr>
        <w:t xml:space="preserve"> to</w:t>
      </w:r>
      <w:r w:rsidR="00A5211F" w:rsidRPr="007A682B">
        <w:rPr>
          <w:rFonts w:ascii="Arial" w:eastAsia="Malgun Gothic" w:hAnsi="Arial" w:cs="Arial"/>
          <w:kern w:val="0"/>
          <w:sz w:val="20"/>
          <w:szCs w:val="20"/>
          <w:lang w:eastAsia="ja-JP"/>
          <w14:ligatures w14:val="none"/>
        </w:rPr>
        <w:t xml:space="preserve"> first </w:t>
      </w:r>
      <w:r w:rsidR="00287C69" w:rsidRPr="007A682B">
        <w:rPr>
          <w:rFonts w:ascii="Arial" w:eastAsia="Malgun Gothic" w:hAnsi="Arial" w:cs="Arial"/>
          <w:kern w:val="0"/>
          <w:sz w:val="20"/>
          <w:szCs w:val="20"/>
          <w:lang w:eastAsia="ja-JP"/>
          <w14:ligatures w14:val="none"/>
        </w:rPr>
        <w:t xml:space="preserve">build </w:t>
      </w:r>
      <w:r w:rsidR="00E2315F" w:rsidRPr="007A682B">
        <w:rPr>
          <w:rFonts w:ascii="Arial" w:eastAsia="Malgun Gothic" w:hAnsi="Arial" w:cs="Arial"/>
          <w:kern w:val="0"/>
          <w:sz w:val="20"/>
          <w:szCs w:val="20"/>
          <w:lang w:eastAsia="ja-JP"/>
          <w14:ligatures w14:val="none"/>
        </w:rPr>
        <w:t xml:space="preserve">gene expression </w:t>
      </w:r>
      <w:r w:rsidR="00287C69" w:rsidRPr="007A682B">
        <w:rPr>
          <w:rFonts w:ascii="Arial" w:eastAsia="Malgun Gothic" w:hAnsi="Arial" w:cs="Arial"/>
          <w:kern w:val="0"/>
          <w:sz w:val="20"/>
          <w:szCs w:val="20"/>
          <w:lang w:eastAsia="ja-JP"/>
          <w14:ligatures w14:val="none"/>
        </w:rPr>
        <w:t xml:space="preserve">rankings </w:t>
      </w:r>
      <w:r w:rsidR="005F1690" w:rsidRPr="007A682B">
        <w:rPr>
          <w:rFonts w:ascii="Arial" w:eastAsia="Malgun Gothic" w:hAnsi="Arial" w:cs="Arial"/>
          <w:kern w:val="0"/>
          <w:sz w:val="20"/>
          <w:szCs w:val="20"/>
          <w:lang w:eastAsia="ja-JP"/>
          <w14:ligatures w14:val="none"/>
        </w:rPr>
        <w:t>from</w:t>
      </w:r>
      <w:r w:rsidR="00287C69" w:rsidRPr="007A682B">
        <w:rPr>
          <w:rFonts w:ascii="Arial" w:eastAsia="Malgun Gothic" w:hAnsi="Arial" w:cs="Arial"/>
          <w:kern w:val="0"/>
          <w:sz w:val="20"/>
          <w:szCs w:val="20"/>
          <w:lang w:eastAsia="ja-JP"/>
          <w14:ligatures w14:val="none"/>
        </w:rPr>
        <w:t xml:space="preserve"> the </w:t>
      </w:r>
      <w:r w:rsidR="005F1690" w:rsidRPr="007A682B">
        <w:rPr>
          <w:rFonts w:ascii="Arial" w:eastAsia="Malgun Gothic" w:hAnsi="Arial" w:cs="Arial"/>
          <w:kern w:val="0"/>
          <w:sz w:val="20"/>
          <w:szCs w:val="20"/>
          <w:lang w:eastAsia="ja-JP"/>
          <w14:ligatures w14:val="none"/>
        </w:rPr>
        <w:t xml:space="preserve">normalized </w:t>
      </w:r>
      <w:r w:rsidR="00287C69" w:rsidRPr="007A682B">
        <w:rPr>
          <w:rFonts w:ascii="Arial" w:eastAsia="Malgun Gothic" w:hAnsi="Arial" w:cs="Arial"/>
          <w:kern w:val="0"/>
          <w:sz w:val="20"/>
          <w:szCs w:val="20"/>
          <w:lang w:eastAsia="ja-JP"/>
          <w14:ligatures w14:val="none"/>
        </w:rPr>
        <w:t xml:space="preserve">RNA </w:t>
      </w:r>
      <w:r w:rsidR="005F1690" w:rsidRPr="007A682B">
        <w:rPr>
          <w:rFonts w:ascii="Arial" w:eastAsia="Malgun Gothic" w:hAnsi="Arial" w:cs="Arial"/>
          <w:kern w:val="0"/>
          <w:sz w:val="20"/>
          <w:szCs w:val="20"/>
          <w:lang w:eastAsia="ja-JP"/>
          <w14:ligatures w14:val="none"/>
        </w:rPr>
        <w:t>expression</w:t>
      </w:r>
      <w:r w:rsidR="00287C69" w:rsidRPr="007A682B">
        <w:rPr>
          <w:rFonts w:ascii="Arial" w:eastAsia="Malgun Gothic" w:hAnsi="Arial" w:cs="Arial"/>
          <w:kern w:val="0"/>
          <w:sz w:val="20"/>
          <w:szCs w:val="20"/>
          <w:lang w:eastAsia="ja-JP"/>
          <w14:ligatures w14:val="none"/>
        </w:rPr>
        <w:t xml:space="preserve"> matrix</w:t>
      </w:r>
      <w:r w:rsidR="006648A8" w:rsidRPr="007A682B">
        <w:rPr>
          <w:rFonts w:ascii="Arial" w:eastAsia="Malgun Gothic" w:hAnsi="Arial" w:cs="Arial"/>
          <w:kern w:val="0"/>
          <w:sz w:val="20"/>
          <w:szCs w:val="20"/>
          <w:lang w:eastAsia="ja-JP"/>
          <w14:ligatures w14:val="none"/>
        </w:rPr>
        <w:t xml:space="preserve"> (</w:t>
      </w:r>
      <w:r w:rsidR="00E540CF" w:rsidRPr="007A682B">
        <w:rPr>
          <w:rFonts w:ascii="Arial" w:eastAsia="Malgun Gothic" w:hAnsi="Arial" w:cs="Arial"/>
          <w:kern w:val="0"/>
          <w:sz w:val="20"/>
          <w:szCs w:val="20"/>
          <w:lang w:eastAsia="ja-JP"/>
          <w14:ligatures w14:val="none"/>
        </w:rPr>
        <w:t xml:space="preserve">AUCell_buildRankings) </w:t>
      </w:r>
      <w:r w:rsidR="006648A8" w:rsidRPr="007A682B">
        <w:rPr>
          <w:rFonts w:ascii="Arial" w:eastAsia="Malgun Gothic" w:hAnsi="Arial" w:cs="Arial"/>
          <w:kern w:val="0"/>
          <w:sz w:val="20"/>
          <w:szCs w:val="20"/>
          <w:lang w:eastAsia="ja-JP"/>
          <w14:ligatures w14:val="none"/>
        </w:rPr>
        <w:t>and then</w:t>
      </w:r>
      <w:r w:rsidR="009402D1" w:rsidRPr="007A682B">
        <w:rPr>
          <w:rFonts w:ascii="Arial" w:eastAsia="Malgun Gothic" w:hAnsi="Arial" w:cs="Arial"/>
          <w:kern w:val="0"/>
          <w:sz w:val="20"/>
          <w:szCs w:val="20"/>
          <w:lang w:eastAsia="ja-JP"/>
          <w14:ligatures w14:val="none"/>
        </w:rPr>
        <w:t xml:space="preserve"> calculate </w:t>
      </w:r>
      <w:r w:rsidR="00A5211F" w:rsidRPr="007A682B">
        <w:rPr>
          <w:rFonts w:ascii="Arial" w:eastAsia="Malgun Gothic" w:hAnsi="Arial" w:cs="Arial"/>
          <w:kern w:val="0"/>
          <w:sz w:val="20"/>
          <w:szCs w:val="20"/>
          <w:lang w:eastAsia="ja-JP"/>
          <w14:ligatures w14:val="none"/>
        </w:rPr>
        <w:t>AUC scores for each cell (AUCell_calcAUC)</w:t>
      </w:r>
      <w:r w:rsidR="006648A8" w:rsidRPr="007A682B">
        <w:rPr>
          <w:rFonts w:ascii="Arial" w:eastAsia="Malgun Gothic" w:hAnsi="Arial" w:cs="Arial"/>
          <w:kern w:val="0"/>
          <w:sz w:val="20"/>
          <w:szCs w:val="20"/>
          <w:lang w:eastAsia="ja-JP"/>
          <w14:ligatures w14:val="none"/>
        </w:rPr>
        <w:t xml:space="preserve"> given </w:t>
      </w:r>
      <w:r w:rsidR="00E540CF" w:rsidRPr="007A682B">
        <w:rPr>
          <w:rFonts w:ascii="Arial" w:eastAsia="Malgun Gothic" w:hAnsi="Arial" w:cs="Arial"/>
          <w:kern w:val="0"/>
          <w:sz w:val="20"/>
          <w:szCs w:val="20"/>
          <w:lang w:eastAsia="ja-JP"/>
          <w14:ligatures w14:val="none"/>
        </w:rPr>
        <w:t>the set of genes included in the GO module described above.</w:t>
      </w:r>
      <w:r w:rsidR="00F457F3" w:rsidRPr="007A682B">
        <w:rPr>
          <w:rFonts w:ascii="Arial" w:eastAsia="Malgun Gothic" w:hAnsi="Arial" w:cs="Arial"/>
          <w:kern w:val="0"/>
          <w:sz w:val="20"/>
          <w:szCs w:val="20"/>
          <w:lang w:eastAsia="ja-JP"/>
          <w14:ligatures w14:val="none"/>
        </w:rPr>
        <w:t xml:space="preserve"> Differences in phase</w:t>
      </w:r>
      <w:r w:rsidR="00E540CF" w:rsidRPr="007A682B">
        <w:rPr>
          <w:rFonts w:ascii="Arial" w:eastAsia="Malgun Gothic" w:hAnsi="Arial" w:cs="Arial"/>
          <w:kern w:val="0"/>
          <w:sz w:val="20"/>
          <w:szCs w:val="20"/>
          <w:lang w:eastAsia="ja-JP"/>
          <w14:ligatures w14:val="none"/>
        </w:rPr>
        <w:t xml:space="preserve"> were calculated </w:t>
      </w:r>
      <w:r w:rsidR="00C869E2" w:rsidRPr="007A682B">
        <w:rPr>
          <w:rFonts w:ascii="Arial" w:eastAsia="Malgun Gothic" w:hAnsi="Arial" w:cs="Arial"/>
          <w:kern w:val="0"/>
          <w:sz w:val="20"/>
          <w:szCs w:val="20"/>
          <w:lang w:eastAsia="ja-JP"/>
          <w14:ligatures w14:val="none"/>
        </w:rPr>
        <w:t xml:space="preserve">by taking the mean AUCell score for each individual and </w:t>
      </w:r>
      <w:r w:rsidR="007D0AAA" w:rsidRPr="007A682B">
        <w:rPr>
          <w:rFonts w:ascii="Arial" w:eastAsia="Malgun Gothic" w:hAnsi="Arial" w:cs="Arial"/>
          <w:kern w:val="0"/>
          <w:sz w:val="20"/>
          <w:szCs w:val="20"/>
          <w:lang w:eastAsia="ja-JP"/>
          <w14:ligatures w14:val="none"/>
        </w:rPr>
        <w:t xml:space="preserve">fitting the mean AUCell score by phase in a fixed effects linear model. </w:t>
      </w:r>
    </w:p>
    <w:p w14:paraId="7CC262A9" w14:textId="36EE4699" w:rsidR="00166663" w:rsidRPr="007A682B" w:rsidRDefault="00166663" w:rsidP="00166663">
      <w:pPr>
        <w:rPr>
          <w:rFonts w:ascii="Arial" w:hAnsi="Arial" w:cs="Arial"/>
          <w:b/>
          <w:bCs/>
          <w:sz w:val="20"/>
          <w:szCs w:val="20"/>
        </w:rPr>
      </w:pPr>
      <w:r w:rsidRPr="007A682B">
        <w:rPr>
          <w:rFonts w:ascii="Arial" w:hAnsi="Arial" w:cs="Arial"/>
          <w:b/>
          <w:bCs/>
          <w:sz w:val="20"/>
          <w:szCs w:val="20"/>
        </w:rPr>
        <w:t>Candidate Transcription Factor Regulatory Network Analysis</w:t>
      </w:r>
    </w:p>
    <w:p w14:paraId="484FF5D7" w14:textId="012F52FB" w:rsidR="00166663" w:rsidRPr="007A682B" w:rsidRDefault="00166663" w:rsidP="00093DF6">
      <w:pPr>
        <w:ind w:firstLine="720"/>
        <w:rPr>
          <w:rFonts w:ascii="Arial" w:hAnsi="Arial" w:cs="Arial"/>
          <w:sz w:val="20"/>
          <w:szCs w:val="20"/>
        </w:rPr>
      </w:pPr>
      <w:r w:rsidRPr="007A682B">
        <w:rPr>
          <w:rFonts w:ascii="Arial" w:hAnsi="Arial" w:cs="Arial"/>
          <w:sz w:val="20"/>
          <w:szCs w:val="20"/>
        </w:rPr>
        <w:t>To identify candidate transcriptional regulators of gene-expression changes in clusters 1_RGC and 6_POA_Mixed during sex change, we integrated differential gene expression, chromatin accessibility, peak-to-gene correlations, and transcription factor (TF) motif information within each cell cluster. We first identified a restricted set of target genes for which gene expression was associated with local chromatin accessibility and either expression or accessibility differed across sex-change groups. Thus, target genes were identified through two complementary routes. First, DEGs were retained when expression of the gene was significantly correlated with accessibility of at least one locally associated ATAC peak across individuals (Pearson’s correlation, P ≤ 0.05). Second, genes associated with DARs were retained when their expression was significantly correlated with accessibility of the associated DAR (Pearson’s correlation, P ≤ 0.05). The union of genes identified through these two approaches was defined as the set of accessibility-supported target genes for subsequent regulatory analysis.</w:t>
      </w:r>
    </w:p>
    <w:p w14:paraId="3E970A1A" w14:textId="77777777" w:rsidR="00166663" w:rsidRPr="007A682B" w:rsidRDefault="00166663" w:rsidP="00166663">
      <w:pPr>
        <w:rPr>
          <w:rFonts w:ascii="Arial" w:hAnsi="Arial" w:cs="Arial"/>
          <w:sz w:val="20"/>
          <w:szCs w:val="20"/>
        </w:rPr>
      </w:pPr>
    </w:p>
    <w:p w14:paraId="671DA2DB" w14:textId="77777777" w:rsidR="00093DF6" w:rsidRPr="007A682B" w:rsidRDefault="00166663" w:rsidP="00166663">
      <w:pPr>
        <w:rPr>
          <w:rFonts w:ascii="Arial" w:hAnsi="Arial" w:cs="Arial"/>
          <w:sz w:val="20"/>
          <w:szCs w:val="20"/>
        </w:rPr>
      </w:pPr>
      <w:r w:rsidRPr="007A682B">
        <w:rPr>
          <w:rFonts w:ascii="Arial" w:hAnsi="Arial" w:cs="Arial"/>
          <w:sz w:val="20"/>
          <w:szCs w:val="20"/>
          <w:u w:val="single"/>
        </w:rPr>
        <w:t>Transcription factor motif annotation.</w:t>
      </w:r>
      <w:r w:rsidRPr="007A682B">
        <w:rPr>
          <w:rFonts w:ascii="Arial" w:hAnsi="Arial" w:cs="Arial"/>
          <w:sz w:val="20"/>
          <w:szCs w:val="20"/>
        </w:rPr>
        <w:t xml:space="preserve"> </w:t>
      </w:r>
    </w:p>
    <w:p w14:paraId="436B6ED9" w14:textId="4A3770FF" w:rsidR="00166663" w:rsidRPr="007A682B" w:rsidRDefault="00166663" w:rsidP="00093DF6">
      <w:pPr>
        <w:ind w:firstLine="720"/>
        <w:rPr>
          <w:rFonts w:ascii="Arial" w:hAnsi="Arial" w:cs="Arial"/>
          <w:sz w:val="20"/>
          <w:szCs w:val="20"/>
        </w:rPr>
      </w:pPr>
      <w:r w:rsidRPr="007A682B">
        <w:rPr>
          <w:rFonts w:ascii="Arial" w:hAnsi="Arial" w:cs="Arial"/>
          <w:sz w:val="20"/>
          <w:szCs w:val="20"/>
        </w:rPr>
        <w:t xml:space="preserve">TF-binding motifs were annotated within the ATAC-seq dataset using Signac. ATAC peak sequences were referenced to the </w:t>
      </w:r>
      <w:r w:rsidRPr="007A682B">
        <w:rPr>
          <w:rFonts w:ascii="Arial" w:hAnsi="Arial" w:cs="Arial"/>
          <w:i/>
          <w:iCs/>
          <w:sz w:val="20"/>
          <w:szCs w:val="20"/>
        </w:rPr>
        <w:t>Amphiprion ocellaris</w:t>
      </w:r>
      <w:r w:rsidRPr="007A682B">
        <w:rPr>
          <w:rFonts w:ascii="Arial" w:hAnsi="Arial" w:cs="Arial"/>
          <w:sz w:val="20"/>
          <w:szCs w:val="20"/>
        </w:rPr>
        <w:t xml:space="preserve"> reference genome FASTA used for alignment (STAR_Ref_Genome_ocellaris/fasta/genome.fa). A collection of TF position frequency matrices (PFMs) in JASPAR matrix format (motifs.pfm) was imported using TFBSTools::readJASPARMatrix. The source and version of the motif collection were </w:t>
      </w:r>
      <w:r w:rsidR="004A27C9" w:rsidRPr="004A27C9">
        <w:rPr>
          <w:rFonts w:ascii="Arial" w:hAnsi="Arial" w:cs="Arial"/>
          <w:sz w:val="20"/>
          <w:szCs w:val="20"/>
          <w:highlight w:val="yellow"/>
        </w:rPr>
        <w:t>xx</w:t>
      </w:r>
      <w:r w:rsidRPr="007A682B">
        <w:rPr>
          <w:rFonts w:ascii="Arial" w:hAnsi="Arial" w:cs="Arial"/>
          <w:sz w:val="20"/>
          <w:szCs w:val="20"/>
          <w:highlight w:val="yellow"/>
        </w:rPr>
        <w:t>Katie</w:t>
      </w:r>
      <w:r w:rsidRPr="007A682B">
        <w:rPr>
          <w:rFonts w:ascii="Arial" w:hAnsi="Arial" w:cs="Arial"/>
          <w:sz w:val="20"/>
          <w:szCs w:val="20"/>
        </w:rPr>
        <w:t xml:space="preserve">. Motif occurrences within ATAC peaks were identified using Signac::AddMotifs, with motif matching performed using motifmatchr, and the resulting peak-by-motif annotations were stored in the Motif object associated with the ATAC assay. </w:t>
      </w:r>
      <w:r w:rsidR="004A27C9" w:rsidRPr="004A27C9">
        <w:rPr>
          <w:rFonts w:ascii="Arial" w:hAnsi="Arial" w:cs="Arial"/>
          <w:sz w:val="20"/>
          <w:szCs w:val="20"/>
          <w:highlight w:val="yellow"/>
        </w:rPr>
        <w:t>xx</w:t>
      </w:r>
      <w:r w:rsidRPr="007A682B">
        <w:rPr>
          <w:rFonts w:ascii="Arial" w:hAnsi="Arial" w:cs="Arial"/>
          <w:sz w:val="20"/>
          <w:szCs w:val="20"/>
          <w:highlight w:val="yellow"/>
        </w:rPr>
        <w:t>Katie</w:t>
      </w:r>
      <w:r w:rsidRPr="007A682B">
        <w:rPr>
          <w:rFonts w:ascii="Arial" w:hAnsi="Arial" w:cs="Arial"/>
          <w:sz w:val="20"/>
          <w:szCs w:val="20"/>
        </w:rPr>
        <w:t>: please confirm source/version and composition of motifs.pfm.</w:t>
      </w:r>
    </w:p>
    <w:p w14:paraId="0B8847C9" w14:textId="77777777" w:rsidR="00166663" w:rsidRPr="007A682B" w:rsidRDefault="00166663" w:rsidP="00166663">
      <w:pPr>
        <w:rPr>
          <w:rFonts w:ascii="Arial" w:hAnsi="Arial" w:cs="Arial"/>
          <w:sz w:val="20"/>
          <w:szCs w:val="20"/>
        </w:rPr>
      </w:pPr>
    </w:p>
    <w:p w14:paraId="0636B267" w14:textId="77777777" w:rsidR="00166663" w:rsidRPr="007A682B" w:rsidRDefault="00166663" w:rsidP="00166663">
      <w:pPr>
        <w:rPr>
          <w:rFonts w:ascii="Arial" w:hAnsi="Arial" w:cs="Arial"/>
          <w:sz w:val="20"/>
          <w:szCs w:val="20"/>
          <w:u w:val="single"/>
        </w:rPr>
      </w:pPr>
      <w:r w:rsidRPr="007A682B">
        <w:rPr>
          <w:rFonts w:ascii="Arial" w:hAnsi="Arial" w:cs="Arial"/>
          <w:sz w:val="20"/>
          <w:szCs w:val="20"/>
          <w:u w:val="single"/>
        </w:rPr>
        <w:t>Regulatory network construction</w:t>
      </w:r>
    </w:p>
    <w:p w14:paraId="77CEBDF7" w14:textId="77777777" w:rsidR="00C51A54" w:rsidRPr="007A682B" w:rsidRDefault="00C51A54" w:rsidP="00166663">
      <w:pPr>
        <w:rPr>
          <w:rFonts w:ascii="Arial" w:hAnsi="Arial" w:cs="Arial"/>
          <w:sz w:val="20"/>
          <w:szCs w:val="20"/>
          <w:u w:val="single"/>
        </w:rPr>
      </w:pPr>
    </w:p>
    <w:p w14:paraId="18C1E05A" w14:textId="525F7298" w:rsidR="00C51A54" w:rsidRPr="007A682B" w:rsidRDefault="00C51A54" w:rsidP="00C51A54">
      <w:pPr>
        <w:rPr>
          <w:rFonts w:ascii="Arial" w:hAnsi="Arial" w:cs="Arial"/>
          <w:sz w:val="20"/>
          <w:szCs w:val="20"/>
        </w:rPr>
      </w:pPr>
      <w:r w:rsidRPr="007A682B">
        <w:rPr>
          <w:rFonts w:ascii="Arial" w:hAnsi="Arial" w:cs="Arial"/>
          <w:sz w:val="20"/>
          <w:szCs w:val="20"/>
        </w:rPr>
        <w:tab/>
        <w:t xml:space="preserve">Candidate transcription factor (TF)–target relationships were identified from TF motifs within ATAC peaks associated with target genes. Motifs were mapped to TFs represented in the RNA dataset, and TF expression was pseudobulked by individual within each cell cluster and normalized to log2 counts per million (logCPM). TFs were required to be expressed in ≥50% of individuals. Candidate TF–target relationships were retained when TF and target expression were correlated across individuals (|Pearson’s </w:t>
      </w:r>
      <w:r w:rsidRPr="007A682B">
        <w:rPr>
          <w:rFonts w:ascii="Arial" w:hAnsi="Arial" w:cs="Arial"/>
          <w:sz w:val="20"/>
          <w:szCs w:val="20"/>
        </w:rPr>
        <w:lastRenderedPageBreak/>
        <w:t>r| ≥ 0.40, P ≤ 0.10), with positive and negative correlations considered candidate activating and repressive relationships, respectively. TFs were not required to themselves be differentially expressed.</w:t>
      </w:r>
    </w:p>
    <w:p w14:paraId="674E1C9D" w14:textId="72F66EFA" w:rsidR="00C51A54" w:rsidRPr="007A682B" w:rsidRDefault="00C51A54" w:rsidP="00C51A54">
      <w:pPr>
        <w:rPr>
          <w:rFonts w:ascii="Arial" w:hAnsi="Arial" w:cs="Arial"/>
          <w:sz w:val="20"/>
          <w:szCs w:val="20"/>
        </w:rPr>
      </w:pPr>
      <w:r w:rsidRPr="007A682B">
        <w:rPr>
          <w:rFonts w:ascii="Arial" w:hAnsi="Arial" w:cs="Arial"/>
          <w:sz w:val="20"/>
          <w:szCs w:val="20"/>
        </w:rPr>
        <w:tab/>
        <w:t>For 1_RGC, network construction was restricted to target genes whose expression was significantly associated with local chromatin accessibility. TF hubs were retained when associated with at least three accessibility-supported target genes, and TF-to-TF relationships were retained. Strong correlations among target genes already represented in the network (|r| ≥ 0.60, P ≤ 0.05) were also included.</w:t>
      </w:r>
    </w:p>
    <w:p w14:paraId="7BB849FB" w14:textId="767F7906" w:rsidR="00C84A09" w:rsidRDefault="00C51A54" w:rsidP="00C51A54">
      <w:pPr>
        <w:rPr>
          <w:rFonts w:ascii="Arial" w:hAnsi="Arial" w:cs="Arial"/>
          <w:sz w:val="20"/>
          <w:szCs w:val="20"/>
        </w:rPr>
      </w:pPr>
      <w:r w:rsidRPr="007A682B">
        <w:rPr>
          <w:rFonts w:ascii="Arial" w:hAnsi="Arial" w:cs="Arial"/>
          <w:sz w:val="20"/>
          <w:szCs w:val="20"/>
        </w:rPr>
        <w:tab/>
        <w:t>Because fewer accessibility-coupled relationships were observed in 6_POA_Mixed, we additionally evaluated DEGs whose expression was not significantly associated with local chromatin accessibility. For these genes, candidate TF–target relationships were retained when at least one motif-containing peak was accessible in ≥50% of individuals and TF and target expression met the correlation criteria above. The final 6_POA_Mixed network integrated these relationships with the accessibility-coupled relationships and was focused on neuroendocrine genes implicated in regulation of the reproductive axis and their associated regulators and connected targets.</w:t>
      </w:r>
    </w:p>
    <w:p w14:paraId="07148B48" w14:textId="77777777" w:rsidR="00AC233A" w:rsidRDefault="00AC233A" w:rsidP="00C51A54">
      <w:pPr>
        <w:rPr>
          <w:rFonts w:ascii="Arial" w:hAnsi="Arial" w:cs="Arial"/>
          <w:sz w:val="20"/>
          <w:szCs w:val="20"/>
        </w:rPr>
      </w:pPr>
    </w:p>
    <w:p w14:paraId="339B8BF3" w14:textId="4FCFBB9D" w:rsidR="00AC233A" w:rsidRPr="00AC233A" w:rsidRDefault="00AC233A" w:rsidP="00AC233A">
      <w:pPr>
        <w:rPr>
          <w:rFonts w:ascii="Arial" w:hAnsi="Arial" w:cs="Arial"/>
          <w:b/>
          <w:bCs/>
          <w:sz w:val="20"/>
          <w:szCs w:val="20"/>
        </w:rPr>
      </w:pPr>
      <w:r w:rsidRPr="00AC233A">
        <w:rPr>
          <w:rFonts w:ascii="Arial" w:hAnsi="Arial" w:cs="Arial"/>
          <w:b/>
          <w:bCs/>
          <w:sz w:val="20"/>
          <w:szCs w:val="20"/>
        </w:rPr>
        <w:t>Steroid Receptor-Associated Gene Expression and Chromatin Accessibility</w:t>
      </w:r>
      <w:r>
        <w:rPr>
          <w:rFonts w:ascii="Arial" w:hAnsi="Arial" w:cs="Arial"/>
          <w:b/>
          <w:bCs/>
          <w:sz w:val="20"/>
          <w:szCs w:val="20"/>
        </w:rPr>
        <w:t xml:space="preserve"> in 6_POA_Mixed</w:t>
      </w:r>
    </w:p>
    <w:p w14:paraId="7154AC56" w14:textId="77777777" w:rsidR="00AC233A" w:rsidRPr="00AC233A" w:rsidRDefault="00AC233A" w:rsidP="00AC233A">
      <w:pPr>
        <w:rPr>
          <w:rFonts w:ascii="Arial" w:hAnsi="Arial" w:cs="Arial"/>
          <w:sz w:val="20"/>
          <w:szCs w:val="20"/>
        </w:rPr>
      </w:pPr>
    </w:p>
    <w:p w14:paraId="58644EE2" w14:textId="77777777" w:rsidR="00AC233A" w:rsidRPr="00AC233A" w:rsidRDefault="00AC233A" w:rsidP="00AC233A">
      <w:pPr>
        <w:rPr>
          <w:rFonts w:ascii="Arial" w:hAnsi="Arial" w:cs="Arial"/>
          <w:sz w:val="20"/>
          <w:szCs w:val="20"/>
        </w:rPr>
      </w:pPr>
      <w:r w:rsidRPr="00AC233A">
        <w:rPr>
          <w:rFonts w:ascii="Arial" w:hAnsi="Arial" w:cs="Arial"/>
          <w:sz w:val="20"/>
          <w:szCs w:val="20"/>
        </w:rPr>
        <w:t>To assess steroid receptor-associated transcription in 6_POA_Mixed, we identified genes with accessible promoter regions containing binding motifs for ESR2, AR, or PGR. Promoters were defined as 2 kb upstream and 500 bp downstream of the transcription start site. Motif-containing ATAC peaks were retained if accessible in ≥50% of individuals, and associated genes were required to have RNA expression ≥1 count per million (CPM) in ≥50% of individuals. Receptor-specific gene sets were defined by the presence of a motif for one receptor and the absence of motifs for the other two receptors within accessible promoter regions. Individuals with fewer than five nuclei in the cluster were excluded.</w:t>
      </w:r>
    </w:p>
    <w:p w14:paraId="1B3326D2" w14:textId="77777777" w:rsidR="00AC233A" w:rsidRPr="00AC233A" w:rsidRDefault="00AC233A" w:rsidP="00AC233A">
      <w:pPr>
        <w:rPr>
          <w:rFonts w:ascii="Arial" w:hAnsi="Arial" w:cs="Arial"/>
          <w:sz w:val="20"/>
          <w:szCs w:val="20"/>
        </w:rPr>
      </w:pPr>
    </w:p>
    <w:p w14:paraId="12658091" w14:textId="2E4D427F" w:rsidR="00AC233A" w:rsidRPr="007A682B" w:rsidRDefault="00AC233A" w:rsidP="00AC233A">
      <w:pPr>
        <w:rPr>
          <w:rFonts w:ascii="Arial" w:hAnsi="Arial" w:cs="Arial"/>
          <w:sz w:val="20"/>
          <w:szCs w:val="20"/>
        </w:rPr>
      </w:pPr>
      <w:r w:rsidRPr="00AC233A">
        <w:rPr>
          <w:rFonts w:ascii="Arial" w:hAnsi="Arial" w:cs="Arial"/>
          <w:sz w:val="20"/>
          <w:szCs w:val="20"/>
        </w:rPr>
        <w:t xml:space="preserve">For each individual, RNA and ATAC counts were pseudobulked within 6_POA_Mixed and normalized to log2(CPM + 1). Expression of each target gene was standardized across individuals to a z-score, and the mean z-score across genes was calculated separately for each receptor-specific gene set. Chromatin accessibility was similarly standardized across individuals for each qualifying motif-containing promoter peak. When multiple peaks were associated with a gene, their z-scores were averaged before calculating the mean accessibility score across genes, ensuring equal weighting of target genes. Genes or peaks with no variation across individuals were excluded from the corresponding score. Differences among </w:t>
      </w:r>
      <w:r>
        <w:rPr>
          <w:rFonts w:ascii="Arial" w:hAnsi="Arial" w:cs="Arial"/>
          <w:sz w:val="20"/>
          <w:szCs w:val="20"/>
        </w:rPr>
        <w:t>M</w:t>
      </w:r>
      <w:r w:rsidRPr="00AC233A">
        <w:rPr>
          <w:rFonts w:ascii="Arial" w:hAnsi="Arial" w:cs="Arial"/>
          <w:sz w:val="20"/>
          <w:szCs w:val="20"/>
        </w:rPr>
        <w:t xml:space="preserve">ales, </w:t>
      </w:r>
      <w:r>
        <w:rPr>
          <w:rFonts w:ascii="Arial" w:hAnsi="Arial" w:cs="Arial"/>
          <w:sz w:val="20"/>
          <w:szCs w:val="20"/>
        </w:rPr>
        <w:t>I</w:t>
      </w:r>
      <w:r w:rsidRPr="00AC233A">
        <w:rPr>
          <w:rFonts w:ascii="Arial" w:hAnsi="Arial" w:cs="Arial"/>
          <w:sz w:val="20"/>
          <w:szCs w:val="20"/>
        </w:rPr>
        <w:t xml:space="preserve">ntermediates, and </w:t>
      </w:r>
      <w:r>
        <w:rPr>
          <w:rFonts w:ascii="Arial" w:hAnsi="Arial" w:cs="Arial"/>
          <w:sz w:val="20"/>
          <w:szCs w:val="20"/>
        </w:rPr>
        <w:t>F</w:t>
      </w:r>
      <w:r w:rsidRPr="00AC233A">
        <w:rPr>
          <w:rFonts w:ascii="Arial" w:hAnsi="Arial" w:cs="Arial"/>
          <w:sz w:val="20"/>
          <w:szCs w:val="20"/>
        </w:rPr>
        <w:t xml:space="preserve">emales were evaluated using one-way ANOVA followed by Tukey's post hoc tests. Late </w:t>
      </w:r>
      <w:r>
        <w:rPr>
          <w:rFonts w:ascii="Arial" w:hAnsi="Arial" w:cs="Arial"/>
          <w:sz w:val="20"/>
          <w:szCs w:val="20"/>
        </w:rPr>
        <w:t>I</w:t>
      </w:r>
      <w:r w:rsidRPr="00AC233A">
        <w:rPr>
          <w:rFonts w:ascii="Arial" w:hAnsi="Arial" w:cs="Arial"/>
          <w:sz w:val="20"/>
          <w:szCs w:val="20"/>
        </w:rPr>
        <w:t xml:space="preserve">ntermediates and </w:t>
      </w:r>
      <w:r>
        <w:rPr>
          <w:rFonts w:ascii="Arial" w:hAnsi="Arial" w:cs="Arial"/>
          <w:sz w:val="20"/>
          <w:szCs w:val="20"/>
        </w:rPr>
        <w:t>N</w:t>
      </w:r>
      <w:r w:rsidRPr="00AC233A">
        <w:rPr>
          <w:rFonts w:ascii="Arial" w:hAnsi="Arial" w:cs="Arial"/>
          <w:sz w:val="20"/>
          <w:szCs w:val="20"/>
        </w:rPr>
        <w:t xml:space="preserve">ew </w:t>
      </w:r>
      <w:r>
        <w:rPr>
          <w:rFonts w:ascii="Arial" w:hAnsi="Arial" w:cs="Arial"/>
          <w:sz w:val="20"/>
          <w:szCs w:val="20"/>
        </w:rPr>
        <w:t>F</w:t>
      </w:r>
      <w:r w:rsidRPr="00AC233A">
        <w:rPr>
          <w:rFonts w:ascii="Arial" w:hAnsi="Arial" w:cs="Arial"/>
          <w:sz w:val="20"/>
          <w:szCs w:val="20"/>
        </w:rPr>
        <w:t>emales were displayed descriptively but excluded from statistical comparisons.</w:t>
      </w:r>
      <w:r w:rsidRPr="00AC233A">
        <w:t xml:space="preserve"> </w:t>
      </w:r>
    </w:p>
    <w:p w14:paraId="2FD39240" w14:textId="77777777" w:rsidR="00093DF6" w:rsidRPr="007A682B" w:rsidRDefault="00093DF6" w:rsidP="00093DF6">
      <w:pPr>
        <w:ind w:firstLine="720"/>
        <w:rPr>
          <w:rFonts w:ascii="Arial" w:hAnsi="Arial" w:cs="Arial"/>
          <w:sz w:val="20"/>
          <w:szCs w:val="20"/>
        </w:rPr>
      </w:pPr>
    </w:p>
    <w:p w14:paraId="374C1D7D" w14:textId="28A5CD0E" w:rsidR="002F2A67" w:rsidRPr="007A682B" w:rsidRDefault="00345212" w:rsidP="00E051B3">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Data Availability</w:t>
      </w:r>
    </w:p>
    <w:p w14:paraId="0666ED6B" w14:textId="20BB035B" w:rsidR="004B14B0" w:rsidRPr="007A682B" w:rsidRDefault="00555E1C" w:rsidP="004816FA">
      <w:pPr>
        <w:rPr>
          <w:rFonts w:ascii="Arial" w:hAnsi="Arial" w:cs="Arial"/>
          <w:sz w:val="20"/>
          <w:szCs w:val="20"/>
        </w:rPr>
      </w:pPr>
      <w:r w:rsidRPr="007A682B">
        <w:rPr>
          <w:rFonts w:ascii="Arial" w:hAnsi="Arial" w:cs="Arial"/>
          <w:sz w:val="20"/>
          <w:szCs w:val="20"/>
          <w:highlight w:val="yellow"/>
        </w:rPr>
        <w:t>(…) I will make a Github repo</w:t>
      </w:r>
      <w:r w:rsidR="00E46755" w:rsidRPr="007A682B">
        <w:rPr>
          <w:rFonts w:ascii="Arial" w:hAnsi="Arial" w:cs="Arial"/>
          <w:sz w:val="20"/>
          <w:szCs w:val="20"/>
          <w:highlight w:val="yellow"/>
        </w:rPr>
        <w:t xml:space="preserve"> and</w:t>
      </w:r>
      <w:r w:rsidR="00166663" w:rsidRPr="007A682B">
        <w:rPr>
          <w:rFonts w:ascii="Arial" w:hAnsi="Arial" w:cs="Arial"/>
          <w:sz w:val="20"/>
          <w:szCs w:val="20"/>
          <w:highlight w:val="yellow"/>
        </w:rPr>
        <w:t xml:space="preserve"> </w:t>
      </w:r>
      <w:r w:rsidR="00E46755" w:rsidRPr="007A682B">
        <w:rPr>
          <w:rFonts w:ascii="Arial" w:hAnsi="Arial" w:cs="Arial"/>
          <w:sz w:val="20"/>
          <w:szCs w:val="20"/>
          <w:highlight w:val="yellow"/>
        </w:rPr>
        <w:t>GEO</w:t>
      </w:r>
      <w:r w:rsidR="00166663" w:rsidRPr="007A682B">
        <w:rPr>
          <w:rFonts w:ascii="Arial" w:hAnsi="Arial" w:cs="Arial"/>
          <w:sz w:val="20"/>
          <w:szCs w:val="20"/>
          <w:highlight w:val="yellow"/>
        </w:rPr>
        <w:t>/ Zenodo deposit</w:t>
      </w:r>
      <w:r w:rsidRPr="007A682B">
        <w:rPr>
          <w:rFonts w:ascii="Arial" w:hAnsi="Arial" w:cs="Arial"/>
          <w:sz w:val="20"/>
          <w:szCs w:val="20"/>
          <w:highlight w:val="yellow"/>
        </w:rPr>
        <w:t xml:space="preserve"> when we are done</w:t>
      </w:r>
    </w:p>
    <w:p w14:paraId="3C6350C8" w14:textId="33ABEB91" w:rsidR="00551E7E" w:rsidRPr="007A682B" w:rsidRDefault="00551E7E" w:rsidP="004816FA">
      <w:pPr>
        <w:rPr>
          <w:rFonts w:ascii="Arial" w:hAnsi="Arial" w:cs="Arial"/>
          <w:b/>
          <w:bCs/>
          <w:sz w:val="20"/>
          <w:szCs w:val="20"/>
        </w:rPr>
      </w:pPr>
      <w:r w:rsidRPr="007A682B">
        <w:rPr>
          <w:rFonts w:ascii="Arial" w:hAnsi="Arial" w:cs="Arial"/>
          <w:b/>
          <w:bCs/>
          <w:sz w:val="20"/>
          <w:szCs w:val="20"/>
        </w:rPr>
        <w:t>Acknowledgements</w:t>
      </w:r>
    </w:p>
    <w:p w14:paraId="269EA36F" w14:textId="09D4BBD3" w:rsidR="00551E7E" w:rsidRPr="007A682B" w:rsidRDefault="00551E7E" w:rsidP="004816FA">
      <w:pPr>
        <w:rPr>
          <w:rFonts w:ascii="Arial" w:hAnsi="Arial" w:cs="Arial"/>
          <w:sz w:val="20"/>
          <w:szCs w:val="20"/>
        </w:rPr>
      </w:pPr>
      <w:r w:rsidRPr="007A682B">
        <w:rPr>
          <w:rFonts w:ascii="Arial" w:hAnsi="Arial" w:cs="Arial"/>
          <w:sz w:val="20"/>
          <w:szCs w:val="20"/>
          <w:highlight w:val="yellow"/>
        </w:rPr>
        <w:t>CmTO, UIUC Core facilities, research board grant</w:t>
      </w:r>
    </w:p>
    <w:p w14:paraId="348E09AE" w14:textId="77777777" w:rsidR="0066495D" w:rsidRPr="007A682B" w:rsidRDefault="0066495D" w:rsidP="0066495D">
      <w:pPr>
        <w:rPr>
          <w:rFonts w:ascii="Arial" w:hAnsi="Arial" w:cs="Arial"/>
          <w:b/>
          <w:bCs/>
          <w:sz w:val="20"/>
          <w:szCs w:val="20"/>
        </w:rPr>
      </w:pPr>
    </w:p>
    <w:p w14:paraId="123DFFEE" w14:textId="77777777" w:rsidR="0066495D" w:rsidRPr="007A682B" w:rsidRDefault="0066495D">
      <w:pPr>
        <w:rPr>
          <w:rFonts w:ascii="Arial" w:hAnsi="Arial" w:cs="Arial"/>
          <w:b/>
          <w:bCs/>
          <w:sz w:val="20"/>
          <w:szCs w:val="20"/>
        </w:rPr>
      </w:pPr>
      <w:r w:rsidRPr="007A682B">
        <w:rPr>
          <w:rFonts w:ascii="Arial" w:hAnsi="Arial" w:cs="Arial"/>
          <w:b/>
          <w:bCs/>
          <w:sz w:val="20"/>
          <w:szCs w:val="20"/>
        </w:rPr>
        <w:br w:type="page"/>
      </w:r>
    </w:p>
    <w:p w14:paraId="5D59D4FF" w14:textId="77777777" w:rsidR="0066495D" w:rsidRPr="007A682B" w:rsidRDefault="0066495D" w:rsidP="0066495D">
      <w:pPr>
        <w:rPr>
          <w:rFonts w:ascii="Arial" w:hAnsi="Arial" w:cs="Arial"/>
          <w:b/>
          <w:bCs/>
          <w:sz w:val="20"/>
          <w:szCs w:val="20"/>
        </w:rPr>
      </w:pPr>
      <w:r w:rsidRPr="007A682B">
        <w:rPr>
          <w:rFonts w:ascii="Arial" w:hAnsi="Arial" w:cs="Arial"/>
          <w:b/>
          <w:bCs/>
          <w:sz w:val="20"/>
          <w:szCs w:val="20"/>
        </w:rPr>
        <w:lastRenderedPageBreak/>
        <w:t>References</w:t>
      </w:r>
    </w:p>
    <w:p w14:paraId="04A0D5F0" w14:textId="77777777" w:rsidR="00522792" w:rsidRPr="00522792" w:rsidRDefault="004F6DBB" w:rsidP="00522792">
      <w:pPr>
        <w:pStyle w:val="Bibliography"/>
        <w:rPr>
          <w:color w:val="auto"/>
        </w:rPr>
      </w:pPr>
      <w:r w:rsidRPr="007A682B">
        <w:rPr>
          <w:rFonts w:ascii="Arial" w:hAnsi="Arial" w:cs="Arial"/>
          <w:sz w:val="20"/>
          <w:szCs w:val="20"/>
        </w:rPr>
        <w:fldChar w:fldCharType="begin"/>
      </w:r>
      <w:r w:rsidR="00455420">
        <w:rPr>
          <w:rFonts w:ascii="Arial" w:hAnsi="Arial" w:cs="Arial"/>
          <w:sz w:val="20"/>
          <w:szCs w:val="20"/>
        </w:rPr>
        <w:instrText xml:space="preserve"> ADDIN ZOTERO_BIBL {"uncited":[],"omitted":[],"custom":[]} CSL_BIBLIOGRAPHY </w:instrText>
      </w:r>
      <w:r w:rsidRPr="007A682B">
        <w:rPr>
          <w:rFonts w:ascii="Arial" w:hAnsi="Arial" w:cs="Arial"/>
          <w:sz w:val="20"/>
          <w:szCs w:val="20"/>
        </w:rPr>
        <w:fldChar w:fldCharType="separate"/>
      </w:r>
      <w:r w:rsidR="00522792" w:rsidRPr="00522792">
        <w:rPr>
          <w:color w:val="auto"/>
        </w:rPr>
        <w:t xml:space="preserve">1. </w:t>
      </w:r>
      <w:r w:rsidR="00522792" w:rsidRPr="00522792">
        <w:rPr>
          <w:color w:val="auto"/>
        </w:rPr>
        <w:tab/>
        <w:t xml:space="preserve">S. Bhasin, </w:t>
      </w:r>
      <w:r w:rsidR="00522792" w:rsidRPr="00522792">
        <w:rPr>
          <w:i/>
          <w:iCs/>
          <w:color w:val="auto"/>
        </w:rPr>
        <w:t>et al.</w:t>
      </w:r>
      <w:r w:rsidR="00522792" w:rsidRPr="00522792">
        <w:rPr>
          <w:color w:val="auto"/>
        </w:rPr>
        <w:t xml:space="preserve">, From injury to recovery: transcriptomic dynamics in zebrafish brain regeneration. </w:t>
      </w:r>
      <w:r w:rsidR="00522792" w:rsidRPr="00522792">
        <w:rPr>
          <w:i/>
          <w:iCs/>
          <w:color w:val="auto"/>
        </w:rPr>
        <w:t>J Transl Med</w:t>
      </w:r>
      <w:r w:rsidR="00522792" w:rsidRPr="00522792">
        <w:rPr>
          <w:color w:val="auto"/>
        </w:rPr>
        <w:t xml:space="preserve"> </w:t>
      </w:r>
      <w:r w:rsidR="00522792" w:rsidRPr="00522792">
        <w:rPr>
          <w:b/>
          <w:bCs/>
          <w:color w:val="auto"/>
        </w:rPr>
        <w:t>24</w:t>
      </w:r>
      <w:r w:rsidR="00522792" w:rsidRPr="00522792">
        <w:rPr>
          <w:color w:val="auto"/>
        </w:rPr>
        <w:t>, 87 (2025).</w:t>
      </w:r>
    </w:p>
    <w:p w14:paraId="293BF928" w14:textId="77777777" w:rsidR="00522792" w:rsidRPr="00522792" w:rsidRDefault="00522792" w:rsidP="00522792">
      <w:pPr>
        <w:pStyle w:val="Bibliography"/>
        <w:rPr>
          <w:color w:val="auto"/>
        </w:rPr>
      </w:pPr>
      <w:r w:rsidRPr="00522792">
        <w:rPr>
          <w:color w:val="auto"/>
        </w:rPr>
        <w:t xml:space="preserve">2. </w:t>
      </w:r>
      <w:r w:rsidRPr="00522792">
        <w:rPr>
          <w:color w:val="auto"/>
        </w:rPr>
        <w:tab/>
        <w:t xml:space="preserve">M. Ghibaudi, A. Zanone, L. Bonfanti, Brain structural plasticity in large-brained mammals: Not only narrowing roads. </w:t>
      </w:r>
      <w:r w:rsidRPr="00522792">
        <w:rPr>
          <w:i/>
          <w:iCs/>
          <w:color w:val="auto"/>
        </w:rPr>
        <w:t>Neural Regen Res</w:t>
      </w:r>
      <w:r w:rsidRPr="00522792">
        <w:rPr>
          <w:color w:val="auto"/>
        </w:rPr>
        <w:t xml:space="preserve"> </w:t>
      </w:r>
      <w:r w:rsidRPr="00522792">
        <w:rPr>
          <w:b/>
          <w:bCs/>
          <w:color w:val="auto"/>
        </w:rPr>
        <w:t>21</w:t>
      </w:r>
      <w:r w:rsidRPr="00522792">
        <w:rPr>
          <w:color w:val="auto"/>
        </w:rPr>
        <w:t>, 1669–1680 (2025).</w:t>
      </w:r>
    </w:p>
    <w:p w14:paraId="7CD24A5F" w14:textId="77777777" w:rsidR="00522792" w:rsidRPr="00522792" w:rsidRDefault="00522792" w:rsidP="00522792">
      <w:pPr>
        <w:pStyle w:val="Bibliography"/>
        <w:rPr>
          <w:color w:val="auto"/>
        </w:rPr>
      </w:pPr>
      <w:r w:rsidRPr="00522792">
        <w:rPr>
          <w:color w:val="auto"/>
        </w:rPr>
        <w:t xml:space="preserve">3. </w:t>
      </w:r>
      <w:r w:rsidRPr="00522792">
        <w:rPr>
          <w:color w:val="auto"/>
        </w:rPr>
        <w:tab/>
        <w:t xml:space="preserve">A. Alunni, L. Bally-Cuif, A comparative view of regenerative neurogenesis in vertebrates. </w:t>
      </w:r>
      <w:r w:rsidRPr="00522792">
        <w:rPr>
          <w:i/>
          <w:iCs/>
          <w:color w:val="auto"/>
        </w:rPr>
        <w:t>Development</w:t>
      </w:r>
      <w:r w:rsidRPr="00522792">
        <w:rPr>
          <w:color w:val="auto"/>
        </w:rPr>
        <w:t xml:space="preserve"> </w:t>
      </w:r>
      <w:r w:rsidRPr="00522792">
        <w:rPr>
          <w:b/>
          <w:bCs/>
          <w:color w:val="auto"/>
        </w:rPr>
        <w:t>143</w:t>
      </w:r>
      <w:r w:rsidRPr="00522792">
        <w:rPr>
          <w:color w:val="auto"/>
        </w:rPr>
        <w:t>, 741–753 (2016).</w:t>
      </w:r>
    </w:p>
    <w:p w14:paraId="2A7C0C5C" w14:textId="77777777" w:rsidR="00522792" w:rsidRPr="00522792" w:rsidRDefault="00522792" w:rsidP="00522792">
      <w:pPr>
        <w:pStyle w:val="Bibliography"/>
        <w:rPr>
          <w:color w:val="auto"/>
        </w:rPr>
      </w:pPr>
      <w:r w:rsidRPr="00522792">
        <w:rPr>
          <w:color w:val="auto"/>
        </w:rPr>
        <w:t xml:space="preserve">4. </w:t>
      </w:r>
      <w:r w:rsidRPr="00522792">
        <w:rPr>
          <w:color w:val="auto"/>
        </w:rPr>
        <w:tab/>
        <w:t xml:space="preserve">A. M. Matheson, </w:t>
      </w:r>
      <w:r w:rsidRPr="00522792">
        <w:rPr>
          <w:i/>
          <w:iCs/>
          <w:color w:val="auto"/>
        </w:rPr>
        <w:t>et al.</w:t>
      </w:r>
      <w:r w:rsidRPr="00522792">
        <w:rPr>
          <w:color w:val="auto"/>
        </w:rPr>
        <w:t>, Cell-type Plasticity Supports Behavioral Adaptations at the Water-to-Land Interface. [Preprint] (2026). Available at: https://www.biorxiv.org/content/10.64898/2026.07.25.740661v1 [Accessed 9 September 2026].</w:t>
      </w:r>
    </w:p>
    <w:p w14:paraId="73F2E3D6" w14:textId="77777777" w:rsidR="00522792" w:rsidRPr="00522792" w:rsidRDefault="00522792" w:rsidP="00522792">
      <w:pPr>
        <w:pStyle w:val="Bibliography"/>
        <w:rPr>
          <w:color w:val="auto"/>
        </w:rPr>
      </w:pPr>
      <w:r w:rsidRPr="00522792">
        <w:rPr>
          <w:color w:val="auto"/>
        </w:rPr>
        <w:t xml:space="preserve">5. </w:t>
      </w:r>
      <w:r w:rsidRPr="00522792">
        <w:rPr>
          <w:color w:val="auto"/>
        </w:rPr>
        <w:tab/>
        <w:t xml:space="preserve">C. G. Parker, </w:t>
      </w:r>
      <w:r w:rsidRPr="00522792">
        <w:rPr>
          <w:i/>
          <w:iCs/>
          <w:color w:val="auto"/>
        </w:rPr>
        <w:t>et al.</w:t>
      </w:r>
      <w:r w:rsidRPr="00522792">
        <w:rPr>
          <w:color w:val="auto"/>
        </w:rPr>
        <w:t xml:space="preserve">, Adult sex change leads to extensive forebrain reorganization in clownfish. </w:t>
      </w:r>
      <w:r w:rsidRPr="00522792">
        <w:rPr>
          <w:i/>
          <w:iCs/>
          <w:color w:val="auto"/>
        </w:rPr>
        <w:t>Biol Sex Differ</w:t>
      </w:r>
      <w:r w:rsidRPr="00522792">
        <w:rPr>
          <w:color w:val="auto"/>
        </w:rPr>
        <w:t xml:space="preserve"> </w:t>
      </w:r>
      <w:r w:rsidRPr="00522792">
        <w:rPr>
          <w:b/>
          <w:bCs/>
          <w:color w:val="auto"/>
        </w:rPr>
        <w:t>15</w:t>
      </w:r>
      <w:r w:rsidRPr="00522792">
        <w:rPr>
          <w:color w:val="auto"/>
        </w:rPr>
        <w:t>, 58 (2024).</w:t>
      </w:r>
    </w:p>
    <w:p w14:paraId="481B6E58" w14:textId="77777777" w:rsidR="00522792" w:rsidRPr="00522792" w:rsidRDefault="00522792" w:rsidP="00522792">
      <w:pPr>
        <w:pStyle w:val="Bibliography"/>
        <w:rPr>
          <w:color w:val="auto"/>
        </w:rPr>
      </w:pPr>
      <w:r w:rsidRPr="00522792">
        <w:rPr>
          <w:color w:val="auto"/>
        </w:rPr>
        <w:t xml:space="preserve">6. </w:t>
      </w:r>
      <w:r w:rsidRPr="00522792">
        <w:rPr>
          <w:color w:val="auto"/>
        </w:rPr>
        <w:tab/>
        <w:t xml:space="preserve">C. G. Parker, </w:t>
      </w:r>
      <w:r w:rsidRPr="00522792">
        <w:rPr>
          <w:i/>
          <w:iCs/>
          <w:color w:val="auto"/>
        </w:rPr>
        <w:t>et al.</w:t>
      </w:r>
      <w:r w:rsidRPr="00522792">
        <w:rPr>
          <w:color w:val="auto"/>
        </w:rPr>
        <w:t xml:space="preserve">, New cells added to the preoptic area during sex change in the common clownfish Amphiprion ocellaris. </w:t>
      </w:r>
      <w:r w:rsidRPr="00522792">
        <w:rPr>
          <w:i/>
          <w:iCs/>
          <w:color w:val="auto"/>
        </w:rPr>
        <w:t>General and Comparative Endocrinology</w:t>
      </w:r>
      <w:r w:rsidRPr="00522792">
        <w:rPr>
          <w:color w:val="auto"/>
        </w:rPr>
        <w:t xml:space="preserve"> </w:t>
      </w:r>
      <w:r w:rsidRPr="00522792">
        <w:rPr>
          <w:b/>
          <w:bCs/>
          <w:color w:val="auto"/>
        </w:rPr>
        <w:t>333</w:t>
      </w:r>
      <w:r w:rsidRPr="00522792">
        <w:rPr>
          <w:color w:val="auto"/>
        </w:rPr>
        <w:t>, 114185 (2023).</w:t>
      </w:r>
    </w:p>
    <w:p w14:paraId="5F650B7F" w14:textId="77777777" w:rsidR="00522792" w:rsidRPr="00522792" w:rsidRDefault="00522792" w:rsidP="00522792">
      <w:pPr>
        <w:pStyle w:val="Bibliography"/>
        <w:rPr>
          <w:color w:val="auto"/>
        </w:rPr>
      </w:pPr>
      <w:r w:rsidRPr="00522792">
        <w:rPr>
          <w:color w:val="auto"/>
        </w:rPr>
        <w:t xml:space="preserve">7. </w:t>
      </w:r>
      <w:r w:rsidRPr="00522792">
        <w:rPr>
          <w:color w:val="auto"/>
        </w:rPr>
        <w:tab/>
        <w:t xml:space="preserve">C. G. Parker, J. S. Lee, A. R. Histed, S. E. Craig, J. S. Rhodes, Stable and persistent male-like behavior during male-to-female sex change in the common clownfish Amphiprion ocellaris. </w:t>
      </w:r>
      <w:r w:rsidRPr="00522792">
        <w:rPr>
          <w:i/>
          <w:iCs/>
          <w:color w:val="auto"/>
        </w:rPr>
        <w:t>Hormones and Behavior</w:t>
      </w:r>
      <w:r w:rsidRPr="00522792">
        <w:rPr>
          <w:color w:val="auto"/>
        </w:rPr>
        <w:t xml:space="preserve"> </w:t>
      </w:r>
      <w:r w:rsidRPr="00522792">
        <w:rPr>
          <w:b/>
          <w:bCs/>
          <w:color w:val="auto"/>
        </w:rPr>
        <w:t>145</w:t>
      </w:r>
      <w:r w:rsidRPr="00522792">
        <w:rPr>
          <w:color w:val="auto"/>
        </w:rPr>
        <w:t>, 105239 (2022).</w:t>
      </w:r>
    </w:p>
    <w:p w14:paraId="4276E5B2" w14:textId="77777777" w:rsidR="00522792" w:rsidRPr="00522792" w:rsidRDefault="00522792" w:rsidP="00522792">
      <w:pPr>
        <w:pStyle w:val="Bibliography"/>
        <w:rPr>
          <w:color w:val="auto"/>
        </w:rPr>
      </w:pPr>
      <w:r w:rsidRPr="00522792">
        <w:rPr>
          <w:color w:val="auto"/>
        </w:rPr>
        <w:t xml:space="preserve">8. </w:t>
      </w:r>
      <w:r w:rsidRPr="00522792">
        <w:rPr>
          <w:color w:val="auto"/>
        </w:rPr>
        <w:tab/>
        <w:t xml:space="preserve">J. Godwin, Neuroendocrinology of sexual plasticity in teleost fishes. </w:t>
      </w:r>
      <w:r w:rsidRPr="00522792">
        <w:rPr>
          <w:i/>
          <w:iCs/>
          <w:color w:val="auto"/>
        </w:rPr>
        <w:t>Frontiers in Neuroendocrinology</w:t>
      </w:r>
      <w:r w:rsidRPr="00522792">
        <w:rPr>
          <w:color w:val="auto"/>
        </w:rPr>
        <w:t xml:space="preserve"> </w:t>
      </w:r>
      <w:r w:rsidRPr="00522792">
        <w:rPr>
          <w:b/>
          <w:bCs/>
          <w:color w:val="auto"/>
        </w:rPr>
        <w:t>31</w:t>
      </w:r>
      <w:r w:rsidRPr="00522792">
        <w:rPr>
          <w:color w:val="auto"/>
        </w:rPr>
        <w:t>, 203–216 (2010).</w:t>
      </w:r>
    </w:p>
    <w:p w14:paraId="6656C058" w14:textId="77777777" w:rsidR="00522792" w:rsidRPr="00522792" w:rsidRDefault="00522792" w:rsidP="00522792">
      <w:pPr>
        <w:pStyle w:val="Bibliography"/>
        <w:rPr>
          <w:color w:val="auto"/>
        </w:rPr>
      </w:pPr>
      <w:r w:rsidRPr="00522792">
        <w:rPr>
          <w:color w:val="auto"/>
        </w:rPr>
        <w:t xml:space="preserve">9. </w:t>
      </w:r>
      <w:r w:rsidRPr="00522792">
        <w:rPr>
          <w:color w:val="auto"/>
        </w:rPr>
        <w:tab/>
        <w:t xml:space="preserve">E. V. Todd, </w:t>
      </w:r>
      <w:r w:rsidRPr="00522792">
        <w:rPr>
          <w:i/>
          <w:iCs/>
          <w:color w:val="auto"/>
        </w:rPr>
        <w:t>et al.</w:t>
      </w:r>
      <w:r w:rsidRPr="00522792">
        <w:rPr>
          <w:color w:val="auto"/>
        </w:rPr>
        <w:t xml:space="preserve">, Stress, novel sex genes, and epigenetic reprogramming orchestrate socially controlled sex change. </w:t>
      </w:r>
      <w:r w:rsidRPr="00522792">
        <w:rPr>
          <w:i/>
          <w:iCs/>
          <w:color w:val="auto"/>
        </w:rPr>
        <w:t>Science Advances</w:t>
      </w:r>
      <w:r w:rsidRPr="00522792">
        <w:rPr>
          <w:color w:val="auto"/>
        </w:rPr>
        <w:t xml:space="preserve"> </w:t>
      </w:r>
      <w:r w:rsidRPr="00522792">
        <w:rPr>
          <w:b/>
          <w:bCs/>
          <w:color w:val="auto"/>
        </w:rPr>
        <w:t>5</w:t>
      </w:r>
      <w:r w:rsidRPr="00522792">
        <w:rPr>
          <w:color w:val="auto"/>
        </w:rPr>
        <w:t>, eaaw7006 (2019).</w:t>
      </w:r>
    </w:p>
    <w:p w14:paraId="291DD247" w14:textId="77777777" w:rsidR="00522792" w:rsidRPr="00522792" w:rsidRDefault="00522792" w:rsidP="00522792">
      <w:pPr>
        <w:pStyle w:val="Bibliography"/>
        <w:rPr>
          <w:color w:val="auto"/>
        </w:rPr>
      </w:pPr>
      <w:r w:rsidRPr="00522792">
        <w:rPr>
          <w:color w:val="auto"/>
        </w:rPr>
        <w:t xml:space="preserve">10. </w:t>
      </w:r>
      <w:r w:rsidRPr="00522792">
        <w:rPr>
          <w:color w:val="auto"/>
        </w:rPr>
        <w:tab/>
        <w:t xml:space="preserve">M. S. Lamm, H. Liu, N. J. Gemmell, J. R. Godwin, The Need for Speed: Neuroendocrine Regulation of Socially-controlled Sex Change. </w:t>
      </w:r>
      <w:r w:rsidRPr="00522792">
        <w:rPr>
          <w:i/>
          <w:iCs/>
          <w:color w:val="auto"/>
        </w:rPr>
        <w:t>Integr Comp Biol</w:t>
      </w:r>
      <w:r w:rsidRPr="00522792">
        <w:rPr>
          <w:color w:val="auto"/>
        </w:rPr>
        <w:t xml:space="preserve"> </w:t>
      </w:r>
      <w:r w:rsidRPr="00522792">
        <w:rPr>
          <w:b/>
          <w:bCs/>
          <w:color w:val="auto"/>
        </w:rPr>
        <w:t>55</w:t>
      </w:r>
      <w:r w:rsidRPr="00522792">
        <w:rPr>
          <w:color w:val="auto"/>
        </w:rPr>
        <w:t>, 307–322 (2015).</w:t>
      </w:r>
    </w:p>
    <w:p w14:paraId="7818AD41" w14:textId="77777777" w:rsidR="00522792" w:rsidRPr="00522792" w:rsidRDefault="00522792" w:rsidP="00522792">
      <w:pPr>
        <w:pStyle w:val="Bibliography"/>
        <w:rPr>
          <w:color w:val="auto"/>
        </w:rPr>
      </w:pPr>
      <w:r w:rsidRPr="00522792">
        <w:rPr>
          <w:color w:val="auto"/>
        </w:rPr>
        <w:t xml:space="preserve">11. </w:t>
      </w:r>
      <w:r w:rsidRPr="00522792">
        <w:rPr>
          <w:color w:val="auto"/>
        </w:rPr>
        <w:tab/>
        <w:t xml:space="preserve">J. H. Prim, </w:t>
      </w:r>
      <w:r w:rsidRPr="00522792">
        <w:rPr>
          <w:i/>
          <w:iCs/>
          <w:color w:val="auto"/>
        </w:rPr>
        <w:t>et al.</w:t>
      </w:r>
      <w:r w:rsidRPr="00522792">
        <w:rPr>
          <w:color w:val="auto"/>
        </w:rPr>
        <w:t xml:space="preserve">, Estrogenic signaling and sociosexual behavior in wild sex-changing bluehead wrasses, Thalassoma bifasciatum. </w:t>
      </w:r>
      <w:r w:rsidRPr="00522792">
        <w:rPr>
          <w:i/>
          <w:iCs/>
          <w:color w:val="auto"/>
        </w:rPr>
        <w:t>Journal of Experimental Zoology Part A: Ecological and Integrative Physiology</w:t>
      </w:r>
      <w:r w:rsidRPr="00522792">
        <w:rPr>
          <w:color w:val="auto"/>
        </w:rPr>
        <w:t xml:space="preserve"> </w:t>
      </w:r>
      <w:r w:rsidRPr="00522792">
        <w:rPr>
          <w:b/>
          <w:bCs/>
          <w:color w:val="auto"/>
        </w:rPr>
        <w:t>337</w:t>
      </w:r>
      <w:r w:rsidRPr="00522792">
        <w:rPr>
          <w:color w:val="auto"/>
        </w:rPr>
        <w:t>, 24–34 (2022).</w:t>
      </w:r>
    </w:p>
    <w:p w14:paraId="65BB910B" w14:textId="77777777" w:rsidR="00522792" w:rsidRPr="00522792" w:rsidRDefault="00522792" w:rsidP="00522792">
      <w:pPr>
        <w:pStyle w:val="Bibliography"/>
        <w:rPr>
          <w:color w:val="auto"/>
        </w:rPr>
      </w:pPr>
      <w:r w:rsidRPr="00522792">
        <w:rPr>
          <w:color w:val="auto"/>
        </w:rPr>
        <w:t xml:space="preserve">12. </w:t>
      </w:r>
      <w:r w:rsidRPr="00522792">
        <w:rPr>
          <w:color w:val="auto"/>
        </w:rPr>
        <w:tab/>
        <w:t xml:space="preserve">G. J. Graham, J. S. Rhodes, Plasticity of brain sexual dimorphism as revealed by sex changing fish. </w:t>
      </w:r>
      <w:r w:rsidRPr="00522792">
        <w:rPr>
          <w:i/>
          <w:iCs/>
          <w:color w:val="auto"/>
        </w:rPr>
        <w:t>Current Opinion in Neurobiology</w:t>
      </w:r>
      <w:r w:rsidRPr="00522792">
        <w:rPr>
          <w:color w:val="auto"/>
        </w:rPr>
        <w:t xml:space="preserve"> </w:t>
      </w:r>
      <w:r w:rsidRPr="00522792">
        <w:rPr>
          <w:b/>
          <w:bCs/>
          <w:color w:val="auto"/>
        </w:rPr>
        <w:t>94</w:t>
      </w:r>
      <w:r w:rsidRPr="00522792">
        <w:rPr>
          <w:color w:val="auto"/>
        </w:rPr>
        <w:t>, 103094 (2025).</w:t>
      </w:r>
    </w:p>
    <w:p w14:paraId="67B84B8E" w14:textId="77777777" w:rsidR="00522792" w:rsidRPr="00522792" w:rsidRDefault="00522792" w:rsidP="00522792">
      <w:pPr>
        <w:pStyle w:val="Bibliography"/>
        <w:rPr>
          <w:color w:val="auto"/>
        </w:rPr>
      </w:pPr>
      <w:r w:rsidRPr="00522792">
        <w:rPr>
          <w:color w:val="auto"/>
        </w:rPr>
        <w:t xml:space="preserve">13. </w:t>
      </w:r>
      <w:r w:rsidRPr="00522792">
        <w:rPr>
          <w:color w:val="auto"/>
        </w:rPr>
        <w:tab/>
        <w:t xml:space="preserve">L. D. Dodd, </w:t>
      </w:r>
      <w:r w:rsidRPr="00522792">
        <w:rPr>
          <w:i/>
          <w:iCs/>
          <w:color w:val="auto"/>
        </w:rPr>
        <w:t>et al.</w:t>
      </w:r>
      <w:r w:rsidRPr="00522792">
        <w:rPr>
          <w:color w:val="auto"/>
        </w:rPr>
        <w:t xml:space="preserve">, Active feminization of the preoptic area occurs independently of the gonads in </w:t>
      </w:r>
      <w:r w:rsidRPr="00522792">
        <w:rPr>
          <w:i/>
          <w:iCs/>
          <w:color w:val="auto"/>
        </w:rPr>
        <w:t>Amphiprion ocellaris</w:t>
      </w:r>
      <w:r w:rsidRPr="00522792">
        <w:rPr>
          <w:color w:val="auto"/>
        </w:rPr>
        <w:t xml:space="preserve">. </w:t>
      </w:r>
      <w:r w:rsidRPr="00522792">
        <w:rPr>
          <w:i/>
          <w:iCs/>
          <w:color w:val="auto"/>
        </w:rPr>
        <w:t>Hormones and Behavior</w:t>
      </w:r>
      <w:r w:rsidRPr="00522792">
        <w:rPr>
          <w:color w:val="auto"/>
        </w:rPr>
        <w:t xml:space="preserve"> </w:t>
      </w:r>
      <w:r w:rsidRPr="00522792">
        <w:rPr>
          <w:b/>
          <w:bCs/>
          <w:color w:val="auto"/>
        </w:rPr>
        <w:t>112</w:t>
      </w:r>
      <w:r w:rsidRPr="00522792">
        <w:rPr>
          <w:color w:val="auto"/>
        </w:rPr>
        <w:t>, 65–76 (2019).</w:t>
      </w:r>
    </w:p>
    <w:p w14:paraId="24376A64" w14:textId="77777777" w:rsidR="00522792" w:rsidRPr="00522792" w:rsidRDefault="00522792" w:rsidP="00522792">
      <w:pPr>
        <w:pStyle w:val="Bibliography"/>
        <w:rPr>
          <w:color w:val="auto"/>
        </w:rPr>
      </w:pPr>
      <w:r w:rsidRPr="00522792">
        <w:rPr>
          <w:color w:val="auto"/>
        </w:rPr>
        <w:t xml:space="preserve">14. </w:t>
      </w:r>
      <w:r w:rsidRPr="00522792">
        <w:rPr>
          <w:color w:val="auto"/>
        </w:rPr>
        <w:tab/>
        <w:t xml:space="preserve">R. DeAngelis, L. Dodd, J. Rhodes, Nonapeptides mediate trade-offs in parental care strategy. </w:t>
      </w:r>
      <w:r w:rsidRPr="00522792">
        <w:rPr>
          <w:i/>
          <w:iCs/>
          <w:color w:val="auto"/>
        </w:rPr>
        <w:t>Hormones and Behavior</w:t>
      </w:r>
      <w:r w:rsidRPr="00522792">
        <w:rPr>
          <w:color w:val="auto"/>
        </w:rPr>
        <w:t xml:space="preserve"> </w:t>
      </w:r>
      <w:r w:rsidRPr="00522792">
        <w:rPr>
          <w:b/>
          <w:bCs/>
          <w:color w:val="auto"/>
        </w:rPr>
        <w:t>121</w:t>
      </w:r>
      <w:r w:rsidRPr="00522792">
        <w:rPr>
          <w:color w:val="auto"/>
        </w:rPr>
        <w:t>, 104717 (2020).</w:t>
      </w:r>
    </w:p>
    <w:p w14:paraId="7CF95611" w14:textId="77777777" w:rsidR="00522792" w:rsidRPr="00522792" w:rsidRDefault="00522792" w:rsidP="00522792">
      <w:pPr>
        <w:pStyle w:val="Bibliography"/>
        <w:rPr>
          <w:color w:val="auto"/>
        </w:rPr>
      </w:pPr>
      <w:r w:rsidRPr="00522792">
        <w:rPr>
          <w:color w:val="auto"/>
        </w:rPr>
        <w:lastRenderedPageBreak/>
        <w:t xml:space="preserve">15. </w:t>
      </w:r>
      <w:r w:rsidRPr="00522792">
        <w:rPr>
          <w:color w:val="auto"/>
        </w:rPr>
        <w:tab/>
        <w:t xml:space="preserve">E. Phillips, R. DeAngelis, J. V. Gogola, J. S. Rhodes, Spontaneous alloparental care of unrelated offspring by non-breeding Amphiprion ocellaris in absence of the biological parents. </w:t>
      </w:r>
      <w:r w:rsidRPr="00522792">
        <w:rPr>
          <w:i/>
          <w:iCs/>
          <w:color w:val="auto"/>
        </w:rPr>
        <w:t>Sci Rep</w:t>
      </w:r>
      <w:r w:rsidRPr="00522792">
        <w:rPr>
          <w:color w:val="auto"/>
        </w:rPr>
        <w:t xml:space="preserve"> </w:t>
      </w:r>
      <w:r w:rsidRPr="00522792">
        <w:rPr>
          <w:b/>
          <w:bCs/>
          <w:color w:val="auto"/>
        </w:rPr>
        <w:t>10</w:t>
      </w:r>
      <w:r w:rsidRPr="00522792">
        <w:rPr>
          <w:color w:val="auto"/>
        </w:rPr>
        <w:t>, 4610 (2020).</w:t>
      </w:r>
    </w:p>
    <w:p w14:paraId="0467BEEB" w14:textId="77777777" w:rsidR="00522792" w:rsidRPr="00522792" w:rsidRDefault="00522792" w:rsidP="00522792">
      <w:pPr>
        <w:pStyle w:val="Bibliography"/>
        <w:rPr>
          <w:color w:val="auto"/>
        </w:rPr>
      </w:pPr>
      <w:r w:rsidRPr="00522792">
        <w:rPr>
          <w:color w:val="auto"/>
        </w:rPr>
        <w:t xml:space="preserve">16. </w:t>
      </w:r>
      <w:r w:rsidRPr="00522792">
        <w:rPr>
          <w:color w:val="auto"/>
        </w:rPr>
        <w:tab/>
        <w:t xml:space="preserve">R. DeAngelis, J. S. Rhodes, Sex Differences in Steroid Hormones and Parental Effort across the Breeding Cycle in </w:t>
      </w:r>
      <w:r w:rsidRPr="00522792">
        <w:rPr>
          <w:i/>
          <w:iCs/>
          <w:color w:val="auto"/>
        </w:rPr>
        <w:t>Amphiprion ocellaris</w:t>
      </w:r>
      <w:r w:rsidRPr="00522792">
        <w:rPr>
          <w:color w:val="auto"/>
        </w:rPr>
        <w:t xml:space="preserve">. </w:t>
      </w:r>
      <w:r w:rsidRPr="00522792">
        <w:rPr>
          <w:i/>
          <w:iCs/>
          <w:color w:val="auto"/>
        </w:rPr>
        <w:t>Copeia</w:t>
      </w:r>
      <w:r w:rsidRPr="00522792">
        <w:rPr>
          <w:color w:val="auto"/>
        </w:rPr>
        <w:t xml:space="preserve"> </w:t>
      </w:r>
      <w:r w:rsidRPr="00522792">
        <w:rPr>
          <w:b/>
          <w:bCs/>
          <w:color w:val="auto"/>
        </w:rPr>
        <w:t>104</w:t>
      </w:r>
      <w:r w:rsidRPr="00522792">
        <w:rPr>
          <w:color w:val="auto"/>
        </w:rPr>
        <w:t>, 586–593 (2016).</w:t>
      </w:r>
    </w:p>
    <w:p w14:paraId="1B13F0B3" w14:textId="77777777" w:rsidR="00522792" w:rsidRPr="00522792" w:rsidRDefault="00522792" w:rsidP="00522792">
      <w:pPr>
        <w:pStyle w:val="Bibliography"/>
        <w:rPr>
          <w:color w:val="auto"/>
        </w:rPr>
      </w:pPr>
      <w:r w:rsidRPr="00522792">
        <w:rPr>
          <w:color w:val="auto"/>
        </w:rPr>
        <w:t xml:space="preserve">17. </w:t>
      </w:r>
      <w:r w:rsidRPr="00522792">
        <w:rPr>
          <w:color w:val="auto"/>
        </w:rPr>
        <w:tab/>
        <w:t xml:space="preserve">R. DeAngelis, L. Dodd, A. Snyder, J. S. Rhodes, Dynamic regulation of brain aromatase and isotocin receptor gene expression depends on parenting status. </w:t>
      </w:r>
      <w:r w:rsidRPr="00522792">
        <w:rPr>
          <w:i/>
          <w:iCs/>
          <w:color w:val="auto"/>
        </w:rPr>
        <w:t>Hormones and Behavior</w:t>
      </w:r>
      <w:r w:rsidRPr="00522792">
        <w:rPr>
          <w:color w:val="auto"/>
        </w:rPr>
        <w:t xml:space="preserve"> </w:t>
      </w:r>
      <w:r w:rsidRPr="00522792">
        <w:rPr>
          <w:b/>
          <w:bCs/>
          <w:color w:val="auto"/>
        </w:rPr>
        <w:t>103</w:t>
      </w:r>
      <w:r w:rsidRPr="00522792">
        <w:rPr>
          <w:color w:val="auto"/>
        </w:rPr>
        <w:t>, 62–70 (2018).</w:t>
      </w:r>
    </w:p>
    <w:p w14:paraId="6705C6C3" w14:textId="77777777" w:rsidR="00522792" w:rsidRPr="00522792" w:rsidRDefault="00522792" w:rsidP="00522792">
      <w:pPr>
        <w:pStyle w:val="Bibliography"/>
        <w:rPr>
          <w:color w:val="auto"/>
        </w:rPr>
      </w:pPr>
      <w:r w:rsidRPr="00522792">
        <w:rPr>
          <w:color w:val="auto"/>
        </w:rPr>
        <w:t xml:space="preserve">18. </w:t>
      </w:r>
      <w:r w:rsidRPr="00522792">
        <w:rPr>
          <w:color w:val="auto"/>
        </w:rPr>
        <w:tab/>
        <w:t xml:space="preserve">G. J. Graham, I. M. Wilton, E. K. Panczyk, J. S. Rhodes, Novel behavioural assays reveal sex-specific behavioural syndromes in anemonefish. </w:t>
      </w:r>
      <w:r w:rsidRPr="00522792">
        <w:rPr>
          <w:i/>
          <w:iCs/>
          <w:color w:val="auto"/>
        </w:rPr>
        <w:t>J Fish Biol</w:t>
      </w:r>
      <w:r w:rsidRPr="00522792">
        <w:rPr>
          <w:color w:val="auto"/>
        </w:rPr>
        <w:t xml:space="preserve"> </w:t>
      </w:r>
      <w:r w:rsidRPr="00522792">
        <w:rPr>
          <w:b/>
          <w:bCs/>
          <w:color w:val="auto"/>
        </w:rPr>
        <w:t>106</w:t>
      </w:r>
      <w:r w:rsidRPr="00522792">
        <w:rPr>
          <w:color w:val="auto"/>
        </w:rPr>
        <w:t>, 1845–1862 (2025).</w:t>
      </w:r>
    </w:p>
    <w:p w14:paraId="63A70878" w14:textId="77777777" w:rsidR="00522792" w:rsidRPr="00522792" w:rsidRDefault="00522792" w:rsidP="00522792">
      <w:pPr>
        <w:pStyle w:val="Bibliography"/>
        <w:rPr>
          <w:color w:val="auto"/>
        </w:rPr>
      </w:pPr>
      <w:r w:rsidRPr="00522792">
        <w:rPr>
          <w:color w:val="auto"/>
        </w:rPr>
        <w:t xml:space="preserve">19. </w:t>
      </w:r>
      <w:r w:rsidRPr="00522792">
        <w:rPr>
          <w:color w:val="auto"/>
        </w:rPr>
        <w:tab/>
        <w:t xml:space="preserve">V. Kleshchevnikov, </w:t>
      </w:r>
      <w:r w:rsidRPr="00522792">
        <w:rPr>
          <w:i/>
          <w:iCs/>
          <w:color w:val="auto"/>
        </w:rPr>
        <w:t>et al.</w:t>
      </w:r>
      <w:r w:rsidRPr="00522792">
        <w:rPr>
          <w:color w:val="auto"/>
        </w:rPr>
        <w:t xml:space="preserve">, Cell2location maps fine-grained cell types in spatial transcriptomics. </w:t>
      </w:r>
      <w:r w:rsidRPr="00522792">
        <w:rPr>
          <w:i/>
          <w:iCs/>
          <w:color w:val="auto"/>
        </w:rPr>
        <w:t>Nat Biotechnol</w:t>
      </w:r>
      <w:r w:rsidRPr="00522792">
        <w:rPr>
          <w:color w:val="auto"/>
        </w:rPr>
        <w:t xml:space="preserve"> </w:t>
      </w:r>
      <w:r w:rsidRPr="00522792">
        <w:rPr>
          <w:b/>
          <w:bCs/>
          <w:color w:val="auto"/>
        </w:rPr>
        <w:t>40</w:t>
      </w:r>
      <w:r w:rsidRPr="00522792">
        <w:rPr>
          <w:color w:val="auto"/>
        </w:rPr>
        <w:t>, 661–671 (2022).</w:t>
      </w:r>
    </w:p>
    <w:p w14:paraId="19FCD76F" w14:textId="77777777" w:rsidR="00522792" w:rsidRPr="00522792" w:rsidRDefault="00522792" w:rsidP="00522792">
      <w:pPr>
        <w:pStyle w:val="Bibliography"/>
        <w:rPr>
          <w:color w:val="auto"/>
        </w:rPr>
      </w:pPr>
      <w:r w:rsidRPr="00522792">
        <w:rPr>
          <w:color w:val="auto"/>
        </w:rPr>
        <w:t xml:space="preserve">20. </w:t>
      </w:r>
      <w:r w:rsidRPr="00522792">
        <w:rPr>
          <w:color w:val="auto"/>
        </w:rPr>
        <w:tab/>
        <w:t xml:space="preserve">U. Herget, S. Ryu, Coexpression analysis of nine neuropeptides in the neurosecretory preoptic area of larval zebrafish. </w:t>
      </w:r>
      <w:r w:rsidRPr="00522792">
        <w:rPr>
          <w:i/>
          <w:iCs/>
          <w:color w:val="auto"/>
        </w:rPr>
        <w:t>Front. Neuroanat.</w:t>
      </w:r>
      <w:r w:rsidRPr="00522792">
        <w:rPr>
          <w:color w:val="auto"/>
        </w:rPr>
        <w:t xml:space="preserve"> </w:t>
      </w:r>
      <w:r w:rsidRPr="00522792">
        <w:rPr>
          <w:b/>
          <w:bCs/>
          <w:color w:val="auto"/>
        </w:rPr>
        <w:t>9</w:t>
      </w:r>
      <w:r w:rsidRPr="00522792">
        <w:rPr>
          <w:color w:val="auto"/>
        </w:rPr>
        <w:t xml:space="preserve"> (2015).</w:t>
      </w:r>
    </w:p>
    <w:p w14:paraId="13E1901F" w14:textId="77777777" w:rsidR="00522792" w:rsidRPr="00522792" w:rsidRDefault="00522792" w:rsidP="00522792">
      <w:pPr>
        <w:pStyle w:val="Bibliography"/>
        <w:rPr>
          <w:color w:val="auto"/>
        </w:rPr>
      </w:pPr>
      <w:r w:rsidRPr="00522792">
        <w:rPr>
          <w:color w:val="auto"/>
        </w:rPr>
        <w:t xml:space="preserve">21. </w:t>
      </w:r>
      <w:r w:rsidRPr="00522792">
        <w:rPr>
          <w:color w:val="auto"/>
        </w:rPr>
        <w:tab/>
        <w:t xml:space="preserve">J. Nagpal, U. Herget, M. K. Choi, S. Ryu, Anatomy, development, and plasticity of the neurosecretory hypothalamus in zebrafish. </w:t>
      </w:r>
      <w:r w:rsidRPr="00522792">
        <w:rPr>
          <w:i/>
          <w:iCs/>
          <w:color w:val="auto"/>
        </w:rPr>
        <w:t>Cell Tissue Res</w:t>
      </w:r>
      <w:r w:rsidRPr="00522792">
        <w:rPr>
          <w:color w:val="auto"/>
        </w:rPr>
        <w:t xml:space="preserve"> </w:t>
      </w:r>
      <w:r w:rsidRPr="00522792">
        <w:rPr>
          <w:b/>
          <w:bCs/>
          <w:color w:val="auto"/>
        </w:rPr>
        <w:t>375</w:t>
      </w:r>
      <w:r w:rsidRPr="00522792">
        <w:rPr>
          <w:color w:val="auto"/>
        </w:rPr>
        <w:t>, 5–22 (2019).</w:t>
      </w:r>
    </w:p>
    <w:p w14:paraId="4F62C416" w14:textId="77777777" w:rsidR="00522792" w:rsidRPr="00522792" w:rsidRDefault="00522792" w:rsidP="00522792">
      <w:pPr>
        <w:pStyle w:val="Bibliography"/>
        <w:rPr>
          <w:color w:val="auto"/>
        </w:rPr>
      </w:pPr>
      <w:r w:rsidRPr="00522792">
        <w:rPr>
          <w:color w:val="auto"/>
        </w:rPr>
        <w:t xml:space="preserve">22. </w:t>
      </w:r>
      <w:r w:rsidRPr="00522792">
        <w:rPr>
          <w:color w:val="auto"/>
        </w:rPr>
        <w:tab/>
        <w:t xml:space="preserve">U. Herget, A. Wolf, M. F. Wullimann, S. Ryu, Molecular neuroanatomy and chemoarchitecture of the neurosecretory preoptic-hypothalamic area in zebrafish larvae. </w:t>
      </w:r>
      <w:r w:rsidRPr="00522792">
        <w:rPr>
          <w:i/>
          <w:iCs/>
          <w:color w:val="auto"/>
        </w:rPr>
        <w:t>Journal of Comparative Neurology</w:t>
      </w:r>
      <w:r w:rsidRPr="00522792">
        <w:rPr>
          <w:color w:val="auto"/>
        </w:rPr>
        <w:t xml:space="preserve"> </w:t>
      </w:r>
      <w:r w:rsidRPr="00522792">
        <w:rPr>
          <w:b/>
          <w:bCs/>
          <w:color w:val="auto"/>
        </w:rPr>
        <w:t>522</w:t>
      </w:r>
      <w:r w:rsidRPr="00522792">
        <w:rPr>
          <w:color w:val="auto"/>
        </w:rPr>
        <w:t>, 1542–1564 (2014).</w:t>
      </w:r>
    </w:p>
    <w:p w14:paraId="1B095D21" w14:textId="77777777" w:rsidR="00522792" w:rsidRPr="00522792" w:rsidRDefault="00522792" w:rsidP="00522792">
      <w:pPr>
        <w:pStyle w:val="Bibliography"/>
        <w:rPr>
          <w:color w:val="auto"/>
        </w:rPr>
      </w:pPr>
      <w:r w:rsidRPr="00522792">
        <w:rPr>
          <w:color w:val="auto"/>
        </w:rPr>
        <w:t xml:space="preserve">23. </w:t>
      </w:r>
      <w:r w:rsidRPr="00522792">
        <w:rPr>
          <w:color w:val="auto"/>
        </w:rPr>
        <w:tab/>
        <w:t xml:space="preserve">A. J. Sakharkar, M. Mazumdar, P. S. Singru, N. Subhedar, Neurosecretory neurons of the nucleus preopticus (NPO) express salmon GnRH mRNA and show reproduction phase-related variation in the female Indian major carp, </w:t>
      </w:r>
      <w:r w:rsidRPr="00522792">
        <w:rPr>
          <w:i/>
          <w:iCs/>
          <w:color w:val="auto"/>
        </w:rPr>
        <w:t>Cirrhinus cirrhosus</w:t>
      </w:r>
      <w:r w:rsidRPr="00522792">
        <w:rPr>
          <w:color w:val="auto"/>
        </w:rPr>
        <w:t xml:space="preserve">. </w:t>
      </w:r>
      <w:r w:rsidRPr="00522792">
        <w:rPr>
          <w:i/>
          <w:iCs/>
          <w:color w:val="auto"/>
        </w:rPr>
        <w:t>Comparative Biochemistry and Physiology Part A: Molecular &amp; Integrative Physiology</w:t>
      </w:r>
      <w:r w:rsidRPr="00522792">
        <w:rPr>
          <w:color w:val="auto"/>
        </w:rPr>
        <w:t xml:space="preserve"> </w:t>
      </w:r>
      <w:r w:rsidRPr="00522792">
        <w:rPr>
          <w:b/>
          <w:bCs/>
          <w:color w:val="auto"/>
        </w:rPr>
        <w:t>151</w:t>
      </w:r>
      <w:r w:rsidRPr="00522792">
        <w:rPr>
          <w:color w:val="auto"/>
        </w:rPr>
        <w:t>, 247–252 (2008).</w:t>
      </w:r>
    </w:p>
    <w:p w14:paraId="51468C5C" w14:textId="77777777" w:rsidR="00522792" w:rsidRPr="00522792" w:rsidRDefault="00522792" w:rsidP="00522792">
      <w:pPr>
        <w:pStyle w:val="Bibliography"/>
        <w:rPr>
          <w:color w:val="auto"/>
        </w:rPr>
      </w:pPr>
      <w:r w:rsidRPr="00522792">
        <w:rPr>
          <w:color w:val="auto"/>
        </w:rPr>
        <w:t xml:space="preserve">24. </w:t>
      </w:r>
      <w:r w:rsidRPr="00522792">
        <w:rPr>
          <w:color w:val="auto"/>
        </w:rPr>
        <w:tab/>
        <w:t xml:space="preserve">N. Diotel, </w:t>
      </w:r>
      <w:r w:rsidRPr="00522792">
        <w:rPr>
          <w:i/>
          <w:iCs/>
          <w:color w:val="auto"/>
        </w:rPr>
        <w:t>et al.</w:t>
      </w:r>
      <w:r w:rsidRPr="00522792">
        <w:rPr>
          <w:color w:val="auto"/>
        </w:rPr>
        <w:t xml:space="preserve">, Steroid Transport, Local Synthesis, and Signaling within the Brain: Roles in Neurogenesis, Neuroprotection, and Sexual Behaviors. </w:t>
      </w:r>
      <w:r w:rsidRPr="00522792">
        <w:rPr>
          <w:i/>
          <w:iCs/>
          <w:color w:val="auto"/>
        </w:rPr>
        <w:t>Front Neurosci</w:t>
      </w:r>
      <w:r w:rsidRPr="00522792">
        <w:rPr>
          <w:color w:val="auto"/>
        </w:rPr>
        <w:t xml:space="preserve"> </w:t>
      </w:r>
      <w:r w:rsidRPr="00522792">
        <w:rPr>
          <w:b/>
          <w:bCs/>
          <w:color w:val="auto"/>
        </w:rPr>
        <w:t>12</w:t>
      </w:r>
      <w:r w:rsidRPr="00522792">
        <w:rPr>
          <w:color w:val="auto"/>
        </w:rPr>
        <w:t>, 84 (2018).</w:t>
      </w:r>
    </w:p>
    <w:p w14:paraId="1A83894E" w14:textId="77777777" w:rsidR="00522792" w:rsidRPr="00522792" w:rsidRDefault="00522792" w:rsidP="00522792">
      <w:pPr>
        <w:pStyle w:val="Bibliography"/>
        <w:rPr>
          <w:color w:val="auto"/>
        </w:rPr>
      </w:pPr>
      <w:r w:rsidRPr="00522792">
        <w:rPr>
          <w:color w:val="auto"/>
        </w:rPr>
        <w:t xml:space="preserve">25. </w:t>
      </w:r>
      <w:r w:rsidRPr="00522792">
        <w:rPr>
          <w:color w:val="auto"/>
        </w:rPr>
        <w:tab/>
        <w:t xml:space="preserve">N. Diotel, </w:t>
      </w:r>
      <w:r w:rsidRPr="00522792">
        <w:rPr>
          <w:i/>
          <w:iCs/>
          <w:color w:val="auto"/>
        </w:rPr>
        <w:t>et al.</w:t>
      </w:r>
      <w:r w:rsidRPr="00522792">
        <w:rPr>
          <w:color w:val="auto"/>
        </w:rPr>
        <w:t xml:space="preserve">, Effects of estradiol in adult neurogenesis and brain repair in zebrafish. </w:t>
      </w:r>
      <w:r w:rsidRPr="00522792">
        <w:rPr>
          <w:i/>
          <w:iCs/>
          <w:color w:val="auto"/>
        </w:rPr>
        <w:t>Hormones and Behavior</w:t>
      </w:r>
      <w:r w:rsidRPr="00522792">
        <w:rPr>
          <w:color w:val="auto"/>
        </w:rPr>
        <w:t xml:space="preserve"> </w:t>
      </w:r>
      <w:r w:rsidRPr="00522792">
        <w:rPr>
          <w:b/>
          <w:bCs/>
          <w:color w:val="auto"/>
        </w:rPr>
        <w:t>63</w:t>
      </w:r>
      <w:r w:rsidRPr="00522792">
        <w:rPr>
          <w:color w:val="auto"/>
        </w:rPr>
        <w:t>, 193–207 (2013).</w:t>
      </w:r>
    </w:p>
    <w:p w14:paraId="43372DAF" w14:textId="77777777" w:rsidR="00522792" w:rsidRPr="00522792" w:rsidRDefault="00522792" w:rsidP="00522792">
      <w:pPr>
        <w:pStyle w:val="Bibliography"/>
        <w:rPr>
          <w:color w:val="auto"/>
        </w:rPr>
      </w:pPr>
      <w:r w:rsidRPr="00522792">
        <w:rPr>
          <w:color w:val="auto"/>
        </w:rPr>
        <w:t xml:space="preserve">26. </w:t>
      </w:r>
      <w:r w:rsidRPr="00522792">
        <w:rPr>
          <w:color w:val="auto"/>
        </w:rPr>
        <w:tab/>
        <w:t xml:space="preserve">J. Briscoe, </w:t>
      </w:r>
      <w:r w:rsidRPr="00522792">
        <w:rPr>
          <w:i/>
          <w:iCs/>
          <w:color w:val="auto"/>
        </w:rPr>
        <w:t>et al.</w:t>
      </w:r>
      <w:r w:rsidRPr="00522792">
        <w:rPr>
          <w:color w:val="auto"/>
        </w:rPr>
        <w:t xml:space="preserve">, Homeobox gene Nkx2.2 and specification of neuronal identity by graded Sonic hedgehog signalling. </w:t>
      </w:r>
      <w:r w:rsidRPr="00522792">
        <w:rPr>
          <w:i/>
          <w:iCs/>
          <w:color w:val="auto"/>
        </w:rPr>
        <w:t>Nature</w:t>
      </w:r>
      <w:r w:rsidRPr="00522792">
        <w:rPr>
          <w:color w:val="auto"/>
        </w:rPr>
        <w:t xml:space="preserve"> </w:t>
      </w:r>
      <w:r w:rsidRPr="00522792">
        <w:rPr>
          <w:b/>
          <w:bCs/>
          <w:color w:val="auto"/>
        </w:rPr>
        <w:t>398</w:t>
      </w:r>
      <w:r w:rsidRPr="00522792">
        <w:rPr>
          <w:color w:val="auto"/>
        </w:rPr>
        <w:t>, 622–627 (1999).</w:t>
      </w:r>
    </w:p>
    <w:p w14:paraId="36E05CD4" w14:textId="77777777" w:rsidR="00522792" w:rsidRPr="00522792" w:rsidRDefault="00522792" w:rsidP="00522792">
      <w:pPr>
        <w:pStyle w:val="Bibliography"/>
        <w:rPr>
          <w:color w:val="auto"/>
        </w:rPr>
      </w:pPr>
      <w:r w:rsidRPr="00522792">
        <w:rPr>
          <w:color w:val="auto"/>
        </w:rPr>
        <w:t xml:space="preserve">27. </w:t>
      </w:r>
      <w:r w:rsidRPr="00522792">
        <w:rPr>
          <w:color w:val="auto"/>
        </w:rPr>
        <w:tab/>
        <w:t xml:space="preserve">N. Hagiwara, Sox6, jack of all trades: A versatile regulatory protein in vertebrate development. </w:t>
      </w:r>
      <w:r w:rsidRPr="00522792">
        <w:rPr>
          <w:i/>
          <w:iCs/>
          <w:color w:val="auto"/>
        </w:rPr>
        <w:t>Developmental Dynamics</w:t>
      </w:r>
      <w:r w:rsidRPr="00522792">
        <w:rPr>
          <w:color w:val="auto"/>
        </w:rPr>
        <w:t xml:space="preserve"> </w:t>
      </w:r>
      <w:r w:rsidRPr="00522792">
        <w:rPr>
          <w:b/>
          <w:bCs/>
          <w:color w:val="auto"/>
        </w:rPr>
        <w:t>240</w:t>
      </w:r>
      <w:r w:rsidRPr="00522792">
        <w:rPr>
          <w:color w:val="auto"/>
        </w:rPr>
        <w:t>, 1311–1321 (2011).</w:t>
      </w:r>
    </w:p>
    <w:p w14:paraId="58560B14" w14:textId="77777777" w:rsidR="00522792" w:rsidRPr="00522792" w:rsidRDefault="00522792" w:rsidP="00522792">
      <w:pPr>
        <w:pStyle w:val="Bibliography"/>
        <w:rPr>
          <w:color w:val="auto"/>
        </w:rPr>
      </w:pPr>
      <w:r w:rsidRPr="00522792">
        <w:rPr>
          <w:color w:val="auto"/>
        </w:rPr>
        <w:t xml:space="preserve">28. </w:t>
      </w:r>
      <w:r w:rsidRPr="00522792">
        <w:rPr>
          <w:color w:val="auto"/>
        </w:rPr>
        <w:tab/>
        <w:t xml:space="preserve">M. Co, A. G. Anderson, G. Konopka, FOXP transcription factors in vertebrate brain development, function, and disorders. </w:t>
      </w:r>
      <w:r w:rsidRPr="00522792">
        <w:rPr>
          <w:i/>
          <w:iCs/>
          <w:color w:val="auto"/>
        </w:rPr>
        <w:t>WIREs Developmental Biology</w:t>
      </w:r>
      <w:r w:rsidRPr="00522792">
        <w:rPr>
          <w:color w:val="auto"/>
        </w:rPr>
        <w:t xml:space="preserve"> </w:t>
      </w:r>
      <w:r w:rsidRPr="00522792">
        <w:rPr>
          <w:b/>
          <w:bCs/>
          <w:color w:val="auto"/>
        </w:rPr>
        <w:t>9</w:t>
      </w:r>
      <w:r w:rsidRPr="00522792">
        <w:rPr>
          <w:color w:val="auto"/>
        </w:rPr>
        <w:t>, e375 (2020).</w:t>
      </w:r>
    </w:p>
    <w:p w14:paraId="77F3E4D7" w14:textId="77777777" w:rsidR="00522792" w:rsidRPr="00522792" w:rsidRDefault="00522792" w:rsidP="00522792">
      <w:pPr>
        <w:pStyle w:val="Bibliography"/>
        <w:rPr>
          <w:color w:val="auto"/>
        </w:rPr>
      </w:pPr>
      <w:r w:rsidRPr="00522792">
        <w:rPr>
          <w:color w:val="auto"/>
        </w:rPr>
        <w:lastRenderedPageBreak/>
        <w:t xml:space="preserve">29. </w:t>
      </w:r>
      <w:r w:rsidRPr="00522792">
        <w:rPr>
          <w:color w:val="auto"/>
        </w:rPr>
        <w:tab/>
        <w:t xml:space="preserve">A. Alzu’bi, </w:t>
      </w:r>
      <w:r w:rsidRPr="00522792">
        <w:rPr>
          <w:i/>
          <w:iCs/>
          <w:color w:val="auto"/>
        </w:rPr>
        <w:t>et al.</w:t>
      </w:r>
      <w:r w:rsidRPr="00522792">
        <w:rPr>
          <w:color w:val="auto"/>
        </w:rPr>
        <w:t xml:space="preserve">, The Transcription Factors COUP-TFI and COUP-TFII have Distinct Roles in Arealisation and GABAergic Interneuron Specification in the Early Human Fetal Telencephalon. </w:t>
      </w:r>
      <w:r w:rsidRPr="00522792">
        <w:rPr>
          <w:i/>
          <w:iCs/>
          <w:color w:val="auto"/>
        </w:rPr>
        <w:t>Cereb Cortex</w:t>
      </w:r>
      <w:r w:rsidRPr="00522792">
        <w:rPr>
          <w:color w:val="auto"/>
        </w:rPr>
        <w:t xml:space="preserve"> </w:t>
      </w:r>
      <w:r w:rsidRPr="00522792">
        <w:rPr>
          <w:b/>
          <w:bCs/>
          <w:color w:val="auto"/>
        </w:rPr>
        <w:t>27</w:t>
      </w:r>
      <w:r w:rsidRPr="00522792">
        <w:rPr>
          <w:color w:val="auto"/>
        </w:rPr>
        <w:t>, 4971–4987 (2017).</w:t>
      </w:r>
    </w:p>
    <w:p w14:paraId="629EFF7E" w14:textId="77777777" w:rsidR="00522792" w:rsidRPr="00522792" w:rsidRDefault="00522792" w:rsidP="00522792">
      <w:pPr>
        <w:pStyle w:val="Bibliography"/>
        <w:rPr>
          <w:color w:val="auto"/>
        </w:rPr>
      </w:pPr>
      <w:r w:rsidRPr="00522792">
        <w:rPr>
          <w:color w:val="auto"/>
        </w:rPr>
        <w:t xml:space="preserve">30. </w:t>
      </w:r>
      <w:r w:rsidRPr="00522792">
        <w:rPr>
          <w:color w:val="auto"/>
        </w:rPr>
        <w:tab/>
        <w:t xml:space="preserve">B. J. Dean, B. Erdogan, J. T. Gamse, S.-Y. Wu, Dbx1b defines the dorsal habenular progenitor domain in the zebrafish epithalamus. </w:t>
      </w:r>
      <w:r w:rsidRPr="00522792">
        <w:rPr>
          <w:i/>
          <w:iCs/>
          <w:color w:val="auto"/>
        </w:rPr>
        <w:t>Neural Dev</w:t>
      </w:r>
      <w:r w:rsidRPr="00522792">
        <w:rPr>
          <w:color w:val="auto"/>
        </w:rPr>
        <w:t xml:space="preserve"> </w:t>
      </w:r>
      <w:r w:rsidRPr="00522792">
        <w:rPr>
          <w:b/>
          <w:bCs/>
          <w:color w:val="auto"/>
        </w:rPr>
        <w:t>9</w:t>
      </w:r>
      <w:r w:rsidRPr="00522792">
        <w:rPr>
          <w:color w:val="auto"/>
        </w:rPr>
        <w:t>, 20 (2014).</w:t>
      </w:r>
    </w:p>
    <w:p w14:paraId="08BC7A7D" w14:textId="77777777" w:rsidR="00522792" w:rsidRPr="00522792" w:rsidRDefault="00522792" w:rsidP="00522792">
      <w:pPr>
        <w:pStyle w:val="Bibliography"/>
        <w:rPr>
          <w:color w:val="auto"/>
        </w:rPr>
      </w:pPr>
      <w:r w:rsidRPr="00522792">
        <w:rPr>
          <w:color w:val="auto"/>
        </w:rPr>
        <w:t xml:space="preserve">31. </w:t>
      </w:r>
      <w:r w:rsidRPr="00522792">
        <w:rPr>
          <w:color w:val="auto"/>
        </w:rPr>
        <w:tab/>
        <w:t xml:space="preserve">M. Keleş, A. Gunel-Ozcan, HOX and MEINOX in cellular plasticity, fibrosis, and cancer. </w:t>
      </w:r>
      <w:r w:rsidRPr="00522792">
        <w:rPr>
          <w:i/>
          <w:iCs/>
          <w:color w:val="auto"/>
        </w:rPr>
        <w:t>World J Stem Cells</w:t>
      </w:r>
      <w:r w:rsidRPr="00522792">
        <w:rPr>
          <w:color w:val="auto"/>
        </w:rPr>
        <w:t xml:space="preserve"> </w:t>
      </w:r>
      <w:r w:rsidRPr="00522792">
        <w:rPr>
          <w:b/>
          <w:bCs/>
          <w:color w:val="auto"/>
        </w:rPr>
        <w:t>17</w:t>
      </w:r>
      <w:r w:rsidRPr="00522792">
        <w:rPr>
          <w:color w:val="auto"/>
        </w:rPr>
        <w:t>, 109102 (2025).</w:t>
      </w:r>
    </w:p>
    <w:p w14:paraId="41B3CE99" w14:textId="77777777" w:rsidR="00522792" w:rsidRPr="00522792" w:rsidRDefault="00522792" w:rsidP="00522792">
      <w:pPr>
        <w:pStyle w:val="Bibliography"/>
        <w:rPr>
          <w:color w:val="auto"/>
        </w:rPr>
      </w:pPr>
      <w:r w:rsidRPr="00522792">
        <w:rPr>
          <w:color w:val="auto"/>
        </w:rPr>
        <w:t xml:space="preserve">32. </w:t>
      </w:r>
      <w:r w:rsidRPr="00522792">
        <w:rPr>
          <w:color w:val="auto"/>
        </w:rPr>
        <w:tab/>
        <w:t xml:space="preserve">S. Fischer, L. M. Weber, R. Liefke, Evolutionary adaptation of the Polycomb repressive complex 2. </w:t>
      </w:r>
      <w:r w:rsidRPr="00522792">
        <w:rPr>
          <w:i/>
          <w:iCs/>
          <w:color w:val="auto"/>
        </w:rPr>
        <w:t>Epigenetics &amp; Chromatin</w:t>
      </w:r>
      <w:r w:rsidRPr="00522792">
        <w:rPr>
          <w:color w:val="auto"/>
        </w:rPr>
        <w:t xml:space="preserve"> </w:t>
      </w:r>
      <w:r w:rsidRPr="00522792">
        <w:rPr>
          <w:b/>
          <w:bCs/>
          <w:color w:val="auto"/>
        </w:rPr>
        <w:t>15</w:t>
      </w:r>
      <w:r w:rsidRPr="00522792">
        <w:rPr>
          <w:color w:val="auto"/>
        </w:rPr>
        <w:t>, 7 (2022).</w:t>
      </w:r>
    </w:p>
    <w:p w14:paraId="2A099E79" w14:textId="77777777" w:rsidR="00522792" w:rsidRPr="00522792" w:rsidRDefault="00522792" w:rsidP="00522792">
      <w:pPr>
        <w:pStyle w:val="Bibliography"/>
        <w:rPr>
          <w:color w:val="auto"/>
        </w:rPr>
      </w:pPr>
      <w:r w:rsidRPr="00522792">
        <w:rPr>
          <w:color w:val="auto"/>
        </w:rPr>
        <w:t xml:space="preserve">33. </w:t>
      </w:r>
      <w:r w:rsidRPr="00522792">
        <w:rPr>
          <w:color w:val="auto"/>
        </w:rPr>
        <w:tab/>
        <w:t xml:space="preserve">T. Brethouwer, A. de Mendoza, O. Bogdanovic, Non-CG DNA methylation in animal genomes. </w:t>
      </w:r>
      <w:r w:rsidRPr="00522792">
        <w:rPr>
          <w:i/>
          <w:iCs/>
          <w:color w:val="auto"/>
        </w:rPr>
        <w:t>Nat Genet</w:t>
      </w:r>
      <w:r w:rsidRPr="00522792">
        <w:rPr>
          <w:color w:val="auto"/>
        </w:rPr>
        <w:t xml:space="preserve"> </w:t>
      </w:r>
      <w:r w:rsidRPr="00522792">
        <w:rPr>
          <w:b/>
          <w:bCs/>
          <w:color w:val="auto"/>
        </w:rPr>
        <w:t>57</w:t>
      </w:r>
      <w:r w:rsidRPr="00522792">
        <w:rPr>
          <w:color w:val="auto"/>
        </w:rPr>
        <w:t>, 2395–2407 (2025).</w:t>
      </w:r>
    </w:p>
    <w:p w14:paraId="4E114818" w14:textId="77777777" w:rsidR="00522792" w:rsidRPr="00522792" w:rsidRDefault="00522792" w:rsidP="00522792">
      <w:pPr>
        <w:pStyle w:val="Bibliography"/>
        <w:rPr>
          <w:color w:val="auto"/>
        </w:rPr>
      </w:pPr>
      <w:r w:rsidRPr="00522792">
        <w:rPr>
          <w:color w:val="auto"/>
        </w:rPr>
        <w:t xml:space="preserve">34. </w:t>
      </w:r>
      <w:r w:rsidRPr="00522792">
        <w:rPr>
          <w:color w:val="auto"/>
        </w:rPr>
        <w:tab/>
        <w:t xml:space="preserve">G. S. Gulati, </w:t>
      </w:r>
      <w:r w:rsidRPr="00522792">
        <w:rPr>
          <w:i/>
          <w:iCs/>
          <w:color w:val="auto"/>
        </w:rPr>
        <w:t>et al.</w:t>
      </w:r>
      <w:r w:rsidRPr="00522792">
        <w:rPr>
          <w:color w:val="auto"/>
        </w:rPr>
        <w:t xml:space="preserve">, Single-cell transcriptional diversity is a hallmark of developmental potential. </w:t>
      </w:r>
      <w:r w:rsidRPr="00522792">
        <w:rPr>
          <w:i/>
          <w:iCs/>
          <w:color w:val="auto"/>
        </w:rPr>
        <w:t>Science</w:t>
      </w:r>
      <w:r w:rsidRPr="00522792">
        <w:rPr>
          <w:color w:val="auto"/>
        </w:rPr>
        <w:t xml:space="preserve"> </w:t>
      </w:r>
      <w:r w:rsidRPr="00522792">
        <w:rPr>
          <w:b/>
          <w:bCs/>
          <w:color w:val="auto"/>
        </w:rPr>
        <w:t>367</w:t>
      </w:r>
      <w:r w:rsidRPr="00522792">
        <w:rPr>
          <w:color w:val="auto"/>
        </w:rPr>
        <w:t>, 405–411 (2020).</w:t>
      </w:r>
    </w:p>
    <w:p w14:paraId="0807AD25" w14:textId="77777777" w:rsidR="00522792" w:rsidRPr="00522792" w:rsidRDefault="00522792" w:rsidP="00522792">
      <w:pPr>
        <w:pStyle w:val="Bibliography"/>
        <w:rPr>
          <w:color w:val="auto"/>
        </w:rPr>
      </w:pPr>
      <w:r w:rsidRPr="00522792">
        <w:rPr>
          <w:color w:val="auto"/>
        </w:rPr>
        <w:t xml:space="preserve">35. </w:t>
      </w:r>
      <w:r w:rsidRPr="00522792">
        <w:rPr>
          <w:color w:val="auto"/>
        </w:rPr>
        <w:tab/>
        <w:t xml:space="preserve">L. Hollander-Cohen, M. Golan, B. Levavi-Sivan, Differential Regulation of Gonadotropins as Revealed by Transcriptomes of Distinct LH and FSH Cells of Fish Pituitary. </w:t>
      </w:r>
      <w:r w:rsidRPr="00522792">
        <w:rPr>
          <w:i/>
          <w:iCs/>
          <w:color w:val="auto"/>
        </w:rPr>
        <w:t>Int J Mol Sci</w:t>
      </w:r>
      <w:r w:rsidRPr="00522792">
        <w:rPr>
          <w:color w:val="auto"/>
        </w:rPr>
        <w:t xml:space="preserve"> </w:t>
      </w:r>
      <w:r w:rsidRPr="00522792">
        <w:rPr>
          <w:b/>
          <w:bCs/>
          <w:color w:val="auto"/>
        </w:rPr>
        <w:t>22</w:t>
      </w:r>
      <w:r w:rsidRPr="00522792">
        <w:rPr>
          <w:color w:val="auto"/>
        </w:rPr>
        <w:t>, 6478 (2021).</w:t>
      </w:r>
    </w:p>
    <w:p w14:paraId="298A118D" w14:textId="77777777" w:rsidR="00522792" w:rsidRPr="00522792" w:rsidRDefault="00522792" w:rsidP="00522792">
      <w:pPr>
        <w:pStyle w:val="Bibliography"/>
        <w:rPr>
          <w:color w:val="auto"/>
        </w:rPr>
      </w:pPr>
      <w:r w:rsidRPr="00522792">
        <w:rPr>
          <w:color w:val="auto"/>
        </w:rPr>
        <w:t xml:space="preserve">36. </w:t>
      </w:r>
      <w:r w:rsidRPr="00522792">
        <w:rPr>
          <w:color w:val="auto"/>
        </w:rPr>
        <w:tab/>
        <w:t xml:space="preserve">A. Campo, S. Dufour, K. Rousseau, Tachykinins, new players in the control of reproduction and food intake: A comparative review in mammals and teleosts. </w:t>
      </w:r>
      <w:r w:rsidRPr="00522792">
        <w:rPr>
          <w:i/>
          <w:iCs/>
          <w:color w:val="auto"/>
        </w:rPr>
        <w:t>Front. Endocrinol.</w:t>
      </w:r>
      <w:r w:rsidRPr="00522792">
        <w:rPr>
          <w:color w:val="auto"/>
        </w:rPr>
        <w:t xml:space="preserve"> </w:t>
      </w:r>
      <w:r w:rsidRPr="00522792">
        <w:rPr>
          <w:b/>
          <w:bCs/>
          <w:color w:val="auto"/>
        </w:rPr>
        <w:t>13</w:t>
      </w:r>
      <w:r w:rsidRPr="00522792">
        <w:rPr>
          <w:color w:val="auto"/>
        </w:rPr>
        <w:t xml:space="preserve"> (2022).</w:t>
      </w:r>
    </w:p>
    <w:p w14:paraId="30D00F09" w14:textId="77777777" w:rsidR="00522792" w:rsidRPr="00522792" w:rsidRDefault="00522792" w:rsidP="00522792">
      <w:pPr>
        <w:pStyle w:val="Bibliography"/>
        <w:rPr>
          <w:color w:val="auto"/>
        </w:rPr>
      </w:pPr>
      <w:r w:rsidRPr="00522792">
        <w:rPr>
          <w:color w:val="auto"/>
        </w:rPr>
        <w:t xml:space="preserve">37. </w:t>
      </w:r>
      <w:r w:rsidRPr="00522792">
        <w:rPr>
          <w:color w:val="auto"/>
        </w:rPr>
        <w:tab/>
        <w:t xml:space="preserve">V. L. Trudeau, Neuroendocrine Control of Reproduction in Teleost Fish: Concepts and Controversies. </w:t>
      </w:r>
      <w:r w:rsidRPr="00522792">
        <w:rPr>
          <w:i/>
          <w:iCs/>
          <w:color w:val="auto"/>
        </w:rPr>
        <w:t>Annual Review of Animal Biosciences</w:t>
      </w:r>
      <w:r w:rsidRPr="00522792">
        <w:rPr>
          <w:color w:val="auto"/>
        </w:rPr>
        <w:t xml:space="preserve"> </w:t>
      </w:r>
      <w:r w:rsidRPr="00522792">
        <w:rPr>
          <w:b/>
          <w:bCs/>
          <w:color w:val="auto"/>
        </w:rPr>
        <w:t>10</w:t>
      </w:r>
      <w:r w:rsidRPr="00522792">
        <w:rPr>
          <w:color w:val="auto"/>
        </w:rPr>
        <w:t>, 107–130 (2022).</w:t>
      </w:r>
    </w:p>
    <w:p w14:paraId="38DDAAAE" w14:textId="77777777" w:rsidR="00522792" w:rsidRPr="00522792" w:rsidRDefault="00522792" w:rsidP="00522792">
      <w:pPr>
        <w:pStyle w:val="Bibliography"/>
        <w:rPr>
          <w:color w:val="auto"/>
        </w:rPr>
      </w:pPr>
      <w:r w:rsidRPr="00522792">
        <w:rPr>
          <w:color w:val="auto"/>
        </w:rPr>
        <w:t xml:space="preserve">38. </w:t>
      </w:r>
      <w:r w:rsidRPr="00522792">
        <w:rPr>
          <w:color w:val="auto"/>
        </w:rPr>
        <w:tab/>
        <w:t xml:space="preserve">L. H. Cohen, </w:t>
      </w:r>
      <w:r w:rsidRPr="00522792">
        <w:rPr>
          <w:i/>
          <w:iCs/>
          <w:color w:val="auto"/>
        </w:rPr>
        <w:t>et al.</w:t>
      </w:r>
      <w:r w:rsidRPr="00522792">
        <w:rPr>
          <w:color w:val="auto"/>
        </w:rPr>
        <w:t xml:space="preserve">, The satiety hormone cholecystokinin gates reproduction in fish by controlling gonadotropin secretion. </w:t>
      </w:r>
      <w:r w:rsidRPr="00522792">
        <w:rPr>
          <w:i/>
          <w:iCs/>
          <w:color w:val="auto"/>
        </w:rPr>
        <w:t>eLife</w:t>
      </w:r>
      <w:r w:rsidRPr="00522792">
        <w:rPr>
          <w:color w:val="auto"/>
        </w:rPr>
        <w:t xml:space="preserve"> </w:t>
      </w:r>
      <w:r w:rsidRPr="00522792">
        <w:rPr>
          <w:b/>
          <w:bCs/>
          <w:color w:val="auto"/>
        </w:rPr>
        <w:t>13</w:t>
      </w:r>
      <w:r w:rsidRPr="00522792">
        <w:rPr>
          <w:color w:val="auto"/>
        </w:rPr>
        <w:t xml:space="preserve"> (2024).</w:t>
      </w:r>
    </w:p>
    <w:p w14:paraId="2AE9A9F5" w14:textId="77777777" w:rsidR="00522792" w:rsidRPr="00522792" w:rsidRDefault="00522792" w:rsidP="00522792">
      <w:pPr>
        <w:pStyle w:val="Bibliography"/>
        <w:rPr>
          <w:color w:val="auto"/>
        </w:rPr>
      </w:pPr>
      <w:r w:rsidRPr="00522792">
        <w:rPr>
          <w:color w:val="auto"/>
        </w:rPr>
        <w:t xml:space="preserve">39. </w:t>
      </w:r>
      <w:r w:rsidRPr="00522792">
        <w:rPr>
          <w:color w:val="auto"/>
        </w:rPr>
        <w:tab/>
        <w:t xml:space="preserve">S. K. Uehara, </w:t>
      </w:r>
      <w:r w:rsidRPr="00522792">
        <w:rPr>
          <w:i/>
          <w:iCs/>
          <w:color w:val="auto"/>
        </w:rPr>
        <w:t>et al.</w:t>
      </w:r>
      <w:r w:rsidRPr="00522792">
        <w:rPr>
          <w:color w:val="auto"/>
        </w:rPr>
        <w:t xml:space="preserve">, Identification of the FSH-RH as the other gonadotropin-releasing hormone. </w:t>
      </w:r>
      <w:r w:rsidRPr="00522792">
        <w:rPr>
          <w:i/>
          <w:iCs/>
          <w:color w:val="auto"/>
        </w:rPr>
        <w:t>Nat Commun</w:t>
      </w:r>
      <w:r w:rsidRPr="00522792">
        <w:rPr>
          <w:color w:val="auto"/>
        </w:rPr>
        <w:t xml:space="preserve"> </w:t>
      </w:r>
      <w:r w:rsidRPr="00522792">
        <w:rPr>
          <w:b/>
          <w:bCs/>
          <w:color w:val="auto"/>
        </w:rPr>
        <w:t>15</w:t>
      </w:r>
      <w:r w:rsidRPr="00522792">
        <w:rPr>
          <w:color w:val="auto"/>
        </w:rPr>
        <w:t>, 5342 (2024).</w:t>
      </w:r>
    </w:p>
    <w:p w14:paraId="6129E030" w14:textId="77777777" w:rsidR="00522792" w:rsidRPr="00522792" w:rsidRDefault="00522792" w:rsidP="00522792">
      <w:pPr>
        <w:pStyle w:val="Bibliography"/>
        <w:rPr>
          <w:color w:val="auto"/>
        </w:rPr>
      </w:pPr>
      <w:r w:rsidRPr="00522792">
        <w:rPr>
          <w:color w:val="auto"/>
        </w:rPr>
        <w:t xml:space="preserve">40. </w:t>
      </w:r>
      <w:r w:rsidRPr="00522792">
        <w:rPr>
          <w:color w:val="auto"/>
        </w:rPr>
        <w:tab/>
        <w:t xml:space="preserve">J. Xu, </w:t>
      </w:r>
      <w:r w:rsidRPr="00522792">
        <w:rPr>
          <w:i/>
          <w:iCs/>
          <w:color w:val="auto"/>
        </w:rPr>
        <w:t>et al.</w:t>
      </w:r>
      <w:r w:rsidRPr="00522792">
        <w:rPr>
          <w:color w:val="auto"/>
        </w:rPr>
        <w:t xml:space="preserve">, Ccdc85c-Par3 condensates couple cell polarity with Notch to control neural progenitor proliferation. </w:t>
      </w:r>
      <w:r w:rsidRPr="00522792">
        <w:rPr>
          <w:i/>
          <w:iCs/>
          <w:color w:val="auto"/>
        </w:rPr>
        <w:t>Cell Rep</w:t>
      </w:r>
      <w:r w:rsidRPr="00522792">
        <w:rPr>
          <w:color w:val="auto"/>
        </w:rPr>
        <w:t xml:space="preserve"> </w:t>
      </w:r>
      <w:r w:rsidRPr="00522792">
        <w:rPr>
          <w:b/>
          <w:bCs/>
          <w:color w:val="auto"/>
        </w:rPr>
        <w:t>42</w:t>
      </w:r>
      <w:r w:rsidRPr="00522792">
        <w:rPr>
          <w:color w:val="auto"/>
        </w:rPr>
        <w:t>, 112677 (2023).</w:t>
      </w:r>
    </w:p>
    <w:p w14:paraId="1E8A7685" w14:textId="77777777" w:rsidR="00522792" w:rsidRPr="00522792" w:rsidRDefault="00522792" w:rsidP="00522792">
      <w:pPr>
        <w:pStyle w:val="Bibliography"/>
        <w:rPr>
          <w:color w:val="auto"/>
        </w:rPr>
      </w:pPr>
      <w:r w:rsidRPr="00522792">
        <w:rPr>
          <w:color w:val="auto"/>
        </w:rPr>
        <w:t xml:space="preserve">41. </w:t>
      </w:r>
      <w:r w:rsidRPr="00522792">
        <w:rPr>
          <w:color w:val="auto"/>
        </w:rPr>
        <w:tab/>
        <w:t xml:space="preserve">S. Simó, Y. Jossin, J. A. Cooper, Cullin 5 Regulates Cortical Layering by Modulating the Speed and Duration of Dab1-Dependent Neuronal Migration. </w:t>
      </w:r>
      <w:r w:rsidRPr="00522792">
        <w:rPr>
          <w:i/>
          <w:iCs/>
          <w:color w:val="auto"/>
        </w:rPr>
        <w:t>J. Neurosci.</w:t>
      </w:r>
      <w:r w:rsidRPr="00522792">
        <w:rPr>
          <w:color w:val="auto"/>
        </w:rPr>
        <w:t xml:space="preserve"> </w:t>
      </w:r>
      <w:r w:rsidRPr="00522792">
        <w:rPr>
          <w:b/>
          <w:bCs/>
          <w:color w:val="auto"/>
        </w:rPr>
        <w:t>30</w:t>
      </w:r>
      <w:r w:rsidRPr="00522792">
        <w:rPr>
          <w:color w:val="auto"/>
        </w:rPr>
        <w:t>, 5668–5676 (2010).</w:t>
      </w:r>
    </w:p>
    <w:p w14:paraId="40F18111" w14:textId="77777777" w:rsidR="00522792" w:rsidRPr="00522792" w:rsidRDefault="00522792" w:rsidP="00522792">
      <w:pPr>
        <w:pStyle w:val="Bibliography"/>
        <w:rPr>
          <w:color w:val="auto"/>
        </w:rPr>
      </w:pPr>
      <w:r w:rsidRPr="00522792">
        <w:rPr>
          <w:color w:val="auto"/>
        </w:rPr>
        <w:t xml:space="preserve">42. </w:t>
      </w:r>
      <w:r w:rsidRPr="00522792">
        <w:rPr>
          <w:color w:val="auto"/>
        </w:rPr>
        <w:tab/>
        <w:t xml:space="preserve">X. Han, </w:t>
      </w:r>
      <w:r w:rsidRPr="00522792">
        <w:rPr>
          <w:i/>
          <w:iCs/>
          <w:color w:val="auto"/>
        </w:rPr>
        <w:t>et al.</w:t>
      </w:r>
      <w:r w:rsidRPr="00522792">
        <w:rPr>
          <w:color w:val="auto"/>
        </w:rPr>
        <w:t xml:space="preserve">, Mapping human pluripotent stem cell differentiation pathways using high throughput single-cell RNA-sequencing. </w:t>
      </w:r>
      <w:r w:rsidRPr="00522792">
        <w:rPr>
          <w:i/>
          <w:iCs/>
          <w:color w:val="auto"/>
        </w:rPr>
        <w:t>Genome Biol</w:t>
      </w:r>
      <w:r w:rsidRPr="00522792">
        <w:rPr>
          <w:color w:val="auto"/>
        </w:rPr>
        <w:t xml:space="preserve"> </w:t>
      </w:r>
      <w:r w:rsidRPr="00522792">
        <w:rPr>
          <w:b/>
          <w:bCs/>
          <w:color w:val="auto"/>
        </w:rPr>
        <w:t>19</w:t>
      </w:r>
      <w:r w:rsidRPr="00522792">
        <w:rPr>
          <w:color w:val="auto"/>
        </w:rPr>
        <w:t>, 47 (2018).</w:t>
      </w:r>
    </w:p>
    <w:p w14:paraId="0BF13E39" w14:textId="77777777" w:rsidR="00522792" w:rsidRPr="00522792" w:rsidRDefault="00522792" w:rsidP="00522792">
      <w:pPr>
        <w:pStyle w:val="Bibliography"/>
        <w:rPr>
          <w:color w:val="auto"/>
        </w:rPr>
      </w:pPr>
      <w:r w:rsidRPr="00522792">
        <w:rPr>
          <w:color w:val="auto"/>
        </w:rPr>
        <w:lastRenderedPageBreak/>
        <w:t xml:space="preserve">43. </w:t>
      </w:r>
      <w:r w:rsidRPr="00522792">
        <w:rPr>
          <w:color w:val="auto"/>
        </w:rPr>
        <w:tab/>
        <w:t xml:space="preserve">N. Sammeta, D. L. Hardin, T. S. McClintock, Uncx regulates proliferation of neural progenitor cells and neuronal survival in the olfactory epithelium. </w:t>
      </w:r>
      <w:r w:rsidRPr="00522792">
        <w:rPr>
          <w:i/>
          <w:iCs/>
          <w:color w:val="auto"/>
        </w:rPr>
        <w:t>Molecular and Cellular Neuroscience</w:t>
      </w:r>
      <w:r w:rsidRPr="00522792">
        <w:rPr>
          <w:color w:val="auto"/>
        </w:rPr>
        <w:t xml:space="preserve"> </w:t>
      </w:r>
      <w:r w:rsidRPr="00522792">
        <w:rPr>
          <w:b/>
          <w:bCs/>
          <w:color w:val="auto"/>
        </w:rPr>
        <w:t>45</w:t>
      </w:r>
      <w:r w:rsidRPr="00522792">
        <w:rPr>
          <w:color w:val="auto"/>
        </w:rPr>
        <w:t>, 398–407 (2010).</w:t>
      </w:r>
    </w:p>
    <w:p w14:paraId="40ECCA67" w14:textId="77777777" w:rsidR="00522792" w:rsidRPr="00522792" w:rsidRDefault="00522792" w:rsidP="00522792">
      <w:pPr>
        <w:pStyle w:val="Bibliography"/>
        <w:rPr>
          <w:color w:val="auto"/>
        </w:rPr>
      </w:pPr>
      <w:r w:rsidRPr="00522792">
        <w:rPr>
          <w:color w:val="auto"/>
        </w:rPr>
        <w:t xml:space="preserve">44. </w:t>
      </w:r>
      <w:r w:rsidRPr="00522792">
        <w:rPr>
          <w:color w:val="auto"/>
        </w:rPr>
        <w:tab/>
        <w:t xml:space="preserve">J. Aruga, K. Mikoshiba, Role of BMP, FGF, Calcium Signaling, and Zic Proteins in Vertebrate Neuroectodermal Differentiation. </w:t>
      </w:r>
      <w:r w:rsidRPr="00522792">
        <w:rPr>
          <w:i/>
          <w:iCs/>
          <w:color w:val="auto"/>
        </w:rPr>
        <w:t>Neurochem Res</w:t>
      </w:r>
      <w:r w:rsidRPr="00522792">
        <w:rPr>
          <w:color w:val="auto"/>
        </w:rPr>
        <w:t xml:space="preserve"> </w:t>
      </w:r>
      <w:r w:rsidRPr="00522792">
        <w:rPr>
          <w:b/>
          <w:bCs/>
          <w:color w:val="auto"/>
        </w:rPr>
        <w:t>36</w:t>
      </w:r>
      <w:r w:rsidRPr="00522792">
        <w:rPr>
          <w:color w:val="auto"/>
        </w:rPr>
        <w:t>, 1286–1292 (2011).</w:t>
      </w:r>
    </w:p>
    <w:p w14:paraId="571DA603" w14:textId="77777777" w:rsidR="00522792" w:rsidRPr="00522792" w:rsidRDefault="00522792" w:rsidP="00522792">
      <w:pPr>
        <w:pStyle w:val="Bibliography"/>
        <w:rPr>
          <w:color w:val="auto"/>
        </w:rPr>
      </w:pPr>
      <w:r w:rsidRPr="00522792">
        <w:rPr>
          <w:color w:val="auto"/>
        </w:rPr>
        <w:t xml:space="preserve">45. </w:t>
      </w:r>
      <w:r w:rsidRPr="00522792">
        <w:rPr>
          <w:color w:val="auto"/>
        </w:rPr>
        <w:tab/>
        <w:t xml:space="preserve">T. Inoue, M. Ota, M. Ogawa, K. Mikoshiba, J. Aruga, Zic1 and Zic3 regulate medial forebrain development through expansion of neuronal progenitors. </w:t>
      </w:r>
      <w:r w:rsidRPr="00522792">
        <w:rPr>
          <w:i/>
          <w:iCs/>
          <w:color w:val="auto"/>
        </w:rPr>
        <w:t>J Neurosci</w:t>
      </w:r>
      <w:r w:rsidRPr="00522792">
        <w:rPr>
          <w:color w:val="auto"/>
        </w:rPr>
        <w:t xml:space="preserve"> </w:t>
      </w:r>
      <w:r w:rsidRPr="00522792">
        <w:rPr>
          <w:b/>
          <w:bCs/>
          <w:color w:val="auto"/>
        </w:rPr>
        <w:t>27</w:t>
      </w:r>
      <w:r w:rsidRPr="00522792">
        <w:rPr>
          <w:color w:val="auto"/>
        </w:rPr>
        <w:t>, 5461–5473 (2007).</w:t>
      </w:r>
    </w:p>
    <w:p w14:paraId="27769DB4" w14:textId="77777777" w:rsidR="00522792" w:rsidRPr="00522792" w:rsidRDefault="00522792" w:rsidP="00522792">
      <w:pPr>
        <w:pStyle w:val="Bibliography"/>
        <w:rPr>
          <w:color w:val="auto"/>
        </w:rPr>
      </w:pPr>
      <w:r w:rsidRPr="00522792">
        <w:rPr>
          <w:color w:val="auto"/>
        </w:rPr>
        <w:t xml:space="preserve">46. </w:t>
      </w:r>
      <w:r w:rsidRPr="00522792">
        <w:rPr>
          <w:color w:val="auto"/>
        </w:rPr>
        <w:tab/>
        <w:t xml:space="preserve">E. V. Bashkirova, </w:t>
      </w:r>
      <w:r w:rsidRPr="00522792">
        <w:rPr>
          <w:i/>
          <w:iCs/>
          <w:color w:val="auto"/>
        </w:rPr>
        <w:t>et al.</w:t>
      </w:r>
      <w:r w:rsidRPr="00522792">
        <w:rPr>
          <w:color w:val="auto"/>
        </w:rPr>
        <w:t xml:space="preserve">, Opposing, spatially-determined epigenetic forces impose restrictions on stochastic olfactory receptor choice. </w:t>
      </w:r>
      <w:r w:rsidRPr="00522792">
        <w:rPr>
          <w:i/>
          <w:iCs/>
          <w:color w:val="auto"/>
        </w:rPr>
        <w:t>eLife</w:t>
      </w:r>
      <w:r w:rsidRPr="00522792">
        <w:rPr>
          <w:color w:val="auto"/>
        </w:rPr>
        <w:t xml:space="preserve"> </w:t>
      </w:r>
      <w:r w:rsidRPr="00522792">
        <w:rPr>
          <w:b/>
          <w:bCs/>
          <w:color w:val="auto"/>
        </w:rPr>
        <w:t>12</w:t>
      </w:r>
      <w:r w:rsidRPr="00522792">
        <w:rPr>
          <w:color w:val="auto"/>
        </w:rPr>
        <w:t>, RP87445 (2023).</w:t>
      </w:r>
    </w:p>
    <w:p w14:paraId="0C8CC95A" w14:textId="77777777" w:rsidR="00522792" w:rsidRPr="00522792" w:rsidRDefault="00522792" w:rsidP="00522792">
      <w:pPr>
        <w:pStyle w:val="Bibliography"/>
        <w:rPr>
          <w:color w:val="auto"/>
        </w:rPr>
      </w:pPr>
      <w:r w:rsidRPr="00522792">
        <w:rPr>
          <w:color w:val="auto"/>
        </w:rPr>
        <w:t xml:space="preserve">47. </w:t>
      </w:r>
      <w:r w:rsidRPr="00522792">
        <w:rPr>
          <w:color w:val="auto"/>
        </w:rPr>
        <w:tab/>
        <w:t xml:space="preserve">C. R. Kramer, M. A. Imbriano, Neuropeptide Y (NPY) induces gonad reversal in the protogynous bluehead wrasse, Thalassoma bifasciatum (Teleostei: Labridae). </w:t>
      </w:r>
      <w:r w:rsidRPr="00522792">
        <w:rPr>
          <w:i/>
          <w:iCs/>
          <w:color w:val="auto"/>
        </w:rPr>
        <w:t>Journal of Experimental Zoology</w:t>
      </w:r>
      <w:r w:rsidRPr="00522792">
        <w:rPr>
          <w:color w:val="auto"/>
        </w:rPr>
        <w:t xml:space="preserve"> </w:t>
      </w:r>
      <w:r w:rsidRPr="00522792">
        <w:rPr>
          <w:b/>
          <w:bCs/>
          <w:color w:val="auto"/>
        </w:rPr>
        <w:t>279</w:t>
      </w:r>
      <w:r w:rsidRPr="00522792">
        <w:rPr>
          <w:color w:val="auto"/>
        </w:rPr>
        <w:t>, 133–144 (1997).</w:t>
      </w:r>
    </w:p>
    <w:p w14:paraId="101535B3" w14:textId="77777777" w:rsidR="00522792" w:rsidRPr="00522792" w:rsidRDefault="00522792" w:rsidP="00522792">
      <w:pPr>
        <w:pStyle w:val="Bibliography"/>
        <w:rPr>
          <w:color w:val="auto"/>
        </w:rPr>
      </w:pPr>
      <w:r w:rsidRPr="00522792">
        <w:rPr>
          <w:color w:val="auto"/>
        </w:rPr>
        <w:t xml:space="preserve">48. </w:t>
      </w:r>
      <w:r w:rsidRPr="00522792">
        <w:rPr>
          <w:color w:val="auto"/>
        </w:rPr>
        <w:tab/>
        <w:t xml:space="preserve">L. Casas, </w:t>
      </w:r>
      <w:r w:rsidRPr="00522792">
        <w:rPr>
          <w:i/>
          <w:iCs/>
          <w:color w:val="auto"/>
        </w:rPr>
        <w:t>et al.</w:t>
      </w:r>
      <w:r w:rsidRPr="00522792">
        <w:rPr>
          <w:color w:val="auto"/>
        </w:rPr>
        <w:t xml:space="preserve">, Sex Change in Clownfish: Molecular Insights from Transcriptome Analysis. </w:t>
      </w:r>
      <w:r w:rsidRPr="00522792">
        <w:rPr>
          <w:i/>
          <w:iCs/>
          <w:color w:val="auto"/>
        </w:rPr>
        <w:t>Sci Rep</w:t>
      </w:r>
      <w:r w:rsidRPr="00522792">
        <w:rPr>
          <w:color w:val="auto"/>
        </w:rPr>
        <w:t xml:space="preserve"> </w:t>
      </w:r>
      <w:r w:rsidRPr="00522792">
        <w:rPr>
          <w:b/>
          <w:bCs/>
          <w:color w:val="auto"/>
        </w:rPr>
        <w:t>6</w:t>
      </w:r>
      <w:r w:rsidRPr="00522792">
        <w:rPr>
          <w:color w:val="auto"/>
        </w:rPr>
        <w:t>, 35461 (2016).</w:t>
      </w:r>
    </w:p>
    <w:p w14:paraId="18B9C9C1" w14:textId="77777777" w:rsidR="00522792" w:rsidRPr="00522792" w:rsidRDefault="00522792" w:rsidP="00522792">
      <w:pPr>
        <w:pStyle w:val="Bibliography"/>
        <w:rPr>
          <w:color w:val="auto"/>
        </w:rPr>
      </w:pPr>
      <w:r w:rsidRPr="00522792">
        <w:rPr>
          <w:color w:val="auto"/>
        </w:rPr>
        <w:t xml:space="preserve">49. </w:t>
      </w:r>
      <w:r w:rsidRPr="00522792">
        <w:rPr>
          <w:color w:val="auto"/>
        </w:rPr>
        <w:tab/>
        <w:t xml:space="preserve">N. Mizrahi, </w:t>
      </w:r>
      <w:r w:rsidRPr="00522792">
        <w:rPr>
          <w:i/>
          <w:iCs/>
          <w:color w:val="auto"/>
        </w:rPr>
        <w:t>et al.</w:t>
      </w:r>
      <w:r w:rsidRPr="00522792">
        <w:rPr>
          <w:color w:val="auto"/>
        </w:rPr>
        <w:t xml:space="preserve">, Deciphering Direct and Indirect Effects of Neurokinin B and GnRH in the Brain-Pituitary Axis of Tilapia. </w:t>
      </w:r>
      <w:r w:rsidRPr="00522792">
        <w:rPr>
          <w:i/>
          <w:iCs/>
          <w:color w:val="auto"/>
        </w:rPr>
        <w:t>Front Endocrinol (Lausanne)</w:t>
      </w:r>
      <w:r w:rsidRPr="00522792">
        <w:rPr>
          <w:color w:val="auto"/>
        </w:rPr>
        <w:t xml:space="preserve"> </w:t>
      </w:r>
      <w:r w:rsidRPr="00522792">
        <w:rPr>
          <w:b/>
          <w:bCs/>
          <w:color w:val="auto"/>
        </w:rPr>
        <w:t>10</w:t>
      </w:r>
      <w:r w:rsidRPr="00522792">
        <w:rPr>
          <w:color w:val="auto"/>
        </w:rPr>
        <w:t>, 469 (2019).</w:t>
      </w:r>
    </w:p>
    <w:p w14:paraId="2A7DADA8" w14:textId="77777777" w:rsidR="00522792" w:rsidRPr="00522792" w:rsidRDefault="00522792" w:rsidP="00522792">
      <w:pPr>
        <w:pStyle w:val="Bibliography"/>
        <w:rPr>
          <w:color w:val="auto"/>
        </w:rPr>
      </w:pPr>
      <w:r w:rsidRPr="00522792">
        <w:rPr>
          <w:color w:val="auto"/>
        </w:rPr>
        <w:t xml:space="preserve">50. </w:t>
      </w:r>
      <w:r w:rsidRPr="00522792">
        <w:rPr>
          <w:color w:val="auto"/>
        </w:rPr>
        <w:tab/>
        <w:t xml:space="preserve">P. Palma, </w:t>
      </w:r>
      <w:r w:rsidRPr="00522792">
        <w:rPr>
          <w:i/>
          <w:iCs/>
          <w:color w:val="auto"/>
        </w:rPr>
        <w:t>et al.</w:t>
      </w:r>
      <w:r w:rsidRPr="00522792">
        <w:rPr>
          <w:color w:val="auto"/>
        </w:rPr>
        <w:t xml:space="preserve">, Induction of Gonadal Development in Protogynous Grouper with Orally Delivered FSH DNA. </w:t>
      </w:r>
      <w:r w:rsidRPr="00522792">
        <w:rPr>
          <w:i/>
          <w:iCs/>
          <w:color w:val="auto"/>
        </w:rPr>
        <w:t>Mar Biotechnol</w:t>
      </w:r>
      <w:r w:rsidRPr="00522792">
        <w:rPr>
          <w:color w:val="auto"/>
        </w:rPr>
        <w:t xml:space="preserve"> </w:t>
      </w:r>
      <w:r w:rsidRPr="00522792">
        <w:rPr>
          <w:b/>
          <w:bCs/>
          <w:color w:val="auto"/>
        </w:rPr>
        <w:t>21</w:t>
      </w:r>
      <w:r w:rsidRPr="00522792">
        <w:rPr>
          <w:color w:val="auto"/>
        </w:rPr>
        <w:t>, 697–706 (2019).</w:t>
      </w:r>
    </w:p>
    <w:p w14:paraId="327BD6E1" w14:textId="77777777" w:rsidR="00522792" w:rsidRPr="00522792" w:rsidRDefault="00522792" w:rsidP="00522792">
      <w:pPr>
        <w:pStyle w:val="Bibliography"/>
        <w:rPr>
          <w:color w:val="auto"/>
        </w:rPr>
      </w:pPr>
      <w:r w:rsidRPr="00522792">
        <w:rPr>
          <w:color w:val="auto"/>
        </w:rPr>
        <w:t xml:space="preserve">51. </w:t>
      </w:r>
      <w:r w:rsidRPr="00522792">
        <w:rPr>
          <w:color w:val="auto"/>
        </w:rPr>
        <w:tab/>
        <w:t xml:space="preserve">N. Murozumi, </w:t>
      </w:r>
      <w:r w:rsidRPr="00522792">
        <w:rPr>
          <w:i/>
          <w:iCs/>
          <w:color w:val="auto"/>
        </w:rPr>
        <w:t>et al.</w:t>
      </w:r>
      <w:r w:rsidRPr="00522792">
        <w:rPr>
          <w:color w:val="auto"/>
        </w:rPr>
        <w:t xml:space="preserve">, Loss of Follicle-Stimulating Hormone Receptor Function Causes Masculinization and Suppression of Ovarian Development in Genetically Female Medaka. </w:t>
      </w:r>
      <w:r w:rsidRPr="00522792">
        <w:rPr>
          <w:i/>
          <w:iCs/>
          <w:color w:val="auto"/>
        </w:rPr>
        <w:t>Endocrinology</w:t>
      </w:r>
      <w:r w:rsidRPr="00522792">
        <w:rPr>
          <w:color w:val="auto"/>
        </w:rPr>
        <w:t xml:space="preserve"> </w:t>
      </w:r>
      <w:r w:rsidRPr="00522792">
        <w:rPr>
          <w:b/>
          <w:bCs/>
          <w:color w:val="auto"/>
        </w:rPr>
        <w:t>155</w:t>
      </w:r>
      <w:r w:rsidRPr="00522792">
        <w:rPr>
          <w:color w:val="auto"/>
        </w:rPr>
        <w:t>, 3136–3145 (2014).</w:t>
      </w:r>
    </w:p>
    <w:p w14:paraId="53EF4F34" w14:textId="77777777" w:rsidR="00522792" w:rsidRPr="00522792" w:rsidRDefault="00522792" w:rsidP="00522792">
      <w:pPr>
        <w:pStyle w:val="Bibliography"/>
        <w:rPr>
          <w:color w:val="auto"/>
        </w:rPr>
      </w:pPr>
      <w:r w:rsidRPr="00522792">
        <w:rPr>
          <w:color w:val="auto"/>
        </w:rPr>
        <w:t xml:space="preserve">52. </w:t>
      </w:r>
      <w:r w:rsidRPr="00522792">
        <w:rPr>
          <w:color w:val="auto"/>
        </w:rPr>
        <w:tab/>
        <w:t xml:space="preserve">L. Chu, J. Li, Y. Liu, C. H. K. Cheng, Gonadotropin Signaling in Zebrafish Ovary and Testis Development: Insights From Gene Knockout Study. </w:t>
      </w:r>
      <w:r w:rsidRPr="00522792">
        <w:rPr>
          <w:i/>
          <w:iCs/>
          <w:color w:val="auto"/>
        </w:rPr>
        <w:t>Mol Endocrinol</w:t>
      </w:r>
      <w:r w:rsidRPr="00522792">
        <w:rPr>
          <w:color w:val="auto"/>
        </w:rPr>
        <w:t xml:space="preserve"> </w:t>
      </w:r>
      <w:r w:rsidRPr="00522792">
        <w:rPr>
          <w:b/>
          <w:bCs/>
          <w:color w:val="auto"/>
        </w:rPr>
        <w:t>29</w:t>
      </w:r>
      <w:r w:rsidRPr="00522792">
        <w:rPr>
          <w:color w:val="auto"/>
        </w:rPr>
        <w:t>, 1743–1758 (2015).</w:t>
      </w:r>
    </w:p>
    <w:p w14:paraId="1EBE5316" w14:textId="77777777" w:rsidR="00522792" w:rsidRPr="00522792" w:rsidRDefault="00522792" w:rsidP="00522792">
      <w:pPr>
        <w:pStyle w:val="Bibliography"/>
        <w:rPr>
          <w:color w:val="auto"/>
        </w:rPr>
      </w:pPr>
      <w:r w:rsidRPr="00522792">
        <w:rPr>
          <w:color w:val="auto"/>
        </w:rPr>
        <w:t xml:space="preserve">53. </w:t>
      </w:r>
      <w:r w:rsidRPr="00522792">
        <w:rPr>
          <w:color w:val="auto"/>
        </w:rPr>
        <w:tab/>
        <w:t xml:space="preserve">S. Koulish, C. R. Kramer, Human chorionic gonadotropin (hCG) induces gonad reversal in a protogynous fish, the bluehead wrasse, Thalassoma bifasciatum (teleostei, labridae). </w:t>
      </w:r>
      <w:r w:rsidRPr="00522792">
        <w:rPr>
          <w:i/>
          <w:iCs/>
          <w:color w:val="auto"/>
        </w:rPr>
        <w:t>Journal of Experimental Zoology</w:t>
      </w:r>
      <w:r w:rsidRPr="00522792">
        <w:rPr>
          <w:color w:val="auto"/>
        </w:rPr>
        <w:t xml:space="preserve"> </w:t>
      </w:r>
      <w:r w:rsidRPr="00522792">
        <w:rPr>
          <w:b/>
          <w:bCs/>
          <w:color w:val="auto"/>
        </w:rPr>
        <w:t>252</w:t>
      </w:r>
      <w:r w:rsidRPr="00522792">
        <w:rPr>
          <w:color w:val="auto"/>
        </w:rPr>
        <w:t>, 156–168 (1989).</w:t>
      </w:r>
    </w:p>
    <w:p w14:paraId="06863AA1" w14:textId="77777777" w:rsidR="00522792" w:rsidRPr="00522792" w:rsidRDefault="00522792" w:rsidP="00522792">
      <w:pPr>
        <w:pStyle w:val="Bibliography"/>
        <w:rPr>
          <w:color w:val="auto"/>
        </w:rPr>
      </w:pPr>
      <w:r w:rsidRPr="00522792">
        <w:rPr>
          <w:color w:val="auto"/>
        </w:rPr>
        <w:t xml:space="preserve">54. </w:t>
      </w:r>
      <w:r w:rsidRPr="00522792">
        <w:rPr>
          <w:color w:val="auto"/>
        </w:rPr>
        <w:tab/>
        <w:t xml:space="preserve">R. Reinboth, S. Bnrusle-Sicard, Histological and ultrastructural studies on the effects of hCG on sex inversion in the protogynous teleost Coris julis. </w:t>
      </w:r>
      <w:r w:rsidRPr="00522792">
        <w:rPr>
          <w:i/>
          <w:iCs/>
          <w:color w:val="auto"/>
        </w:rPr>
        <w:t>Journal of Fish Biology</w:t>
      </w:r>
      <w:r w:rsidRPr="00522792">
        <w:rPr>
          <w:color w:val="auto"/>
        </w:rPr>
        <w:t xml:space="preserve"> </w:t>
      </w:r>
      <w:r w:rsidRPr="00522792">
        <w:rPr>
          <w:b/>
          <w:bCs/>
          <w:color w:val="auto"/>
        </w:rPr>
        <w:t>51</w:t>
      </w:r>
      <w:r w:rsidRPr="00522792">
        <w:rPr>
          <w:color w:val="auto"/>
        </w:rPr>
        <w:t>, 738–749 (1997).</w:t>
      </w:r>
    </w:p>
    <w:p w14:paraId="6683D87A" w14:textId="77777777" w:rsidR="00522792" w:rsidRPr="00522792" w:rsidRDefault="00522792" w:rsidP="00522792">
      <w:pPr>
        <w:pStyle w:val="Bibliography"/>
        <w:rPr>
          <w:color w:val="auto"/>
        </w:rPr>
      </w:pPr>
      <w:r w:rsidRPr="00522792">
        <w:rPr>
          <w:color w:val="auto"/>
        </w:rPr>
        <w:t xml:space="preserve">55. </w:t>
      </w:r>
      <w:r w:rsidRPr="00522792">
        <w:rPr>
          <w:color w:val="auto"/>
        </w:rPr>
        <w:tab/>
        <w:t xml:space="preserve">Y. Benjamini, Y. Hochberg, Controlling the False Discovery Rate: A Practical and Powerful Approach to Multiple Testing. </w:t>
      </w:r>
      <w:r w:rsidRPr="00522792">
        <w:rPr>
          <w:i/>
          <w:iCs/>
          <w:color w:val="auto"/>
        </w:rPr>
        <w:t>Journal of the Royal Statistical Society. Series B (Methodological)</w:t>
      </w:r>
      <w:r w:rsidRPr="00522792">
        <w:rPr>
          <w:color w:val="auto"/>
        </w:rPr>
        <w:t xml:space="preserve"> </w:t>
      </w:r>
      <w:r w:rsidRPr="00522792">
        <w:rPr>
          <w:b/>
          <w:bCs/>
          <w:color w:val="auto"/>
        </w:rPr>
        <w:t>57</w:t>
      </w:r>
      <w:r w:rsidRPr="00522792">
        <w:rPr>
          <w:color w:val="auto"/>
        </w:rPr>
        <w:t>, 289–300 (1995).</w:t>
      </w:r>
    </w:p>
    <w:p w14:paraId="6B149DAE" w14:textId="77777777" w:rsidR="00522792" w:rsidRPr="00522792" w:rsidRDefault="00522792" w:rsidP="00522792">
      <w:pPr>
        <w:pStyle w:val="Bibliography"/>
        <w:rPr>
          <w:color w:val="auto"/>
        </w:rPr>
      </w:pPr>
      <w:r w:rsidRPr="00522792">
        <w:rPr>
          <w:color w:val="auto"/>
        </w:rPr>
        <w:lastRenderedPageBreak/>
        <w:t xml:space="preserve">56. </w:t>
      </w:r>
      <w:r w:rsidRPr="00522792">
        <w:rPr>
          <w:color w:val="auto"/>
        </w:rPr>
        <w:tab/>
        <w:t xml:space="preserve">R. V. Lenth, </w:t>
      </w:r>
      <w:r w:rsidRPr="00522792">
        <w:rPr>
          <w:i/>
          <w:iCs/>
          <w:color w:val="auto"/>
        </w:rPr>
        <w:t>et al.</w:t>
      </w:r>
      <w:r w:rsidRPr="00522792">
        <w:rPr>
          <w:color w:val="auto"/>
        </w:rPr>
        <w:t>, emmeans: Estimated Marginal Means, aka Least-Squares Means. (2024). Deposited 21 August 2024.</w:t>
      </w:r>
    </w:p>
    <w:p w14:paraId="10F2027E" w14:textId="77777777" w:rsidR="00522792" w:rsidRPr="00522792" w:rsidRDefault="00522792" w:rsidP="00522792">
      <w:pPr>
        <w:pStyle w:val="Bibliography"/>
        <w:rPr>
          <w:color w:val="auto"/>
        </w:rPr>
      </w:pPr>
      <w:r w:rsidRPr="00522792">
        <w:rPr>
          <w:color w:val="auto"/>
        </w:rPr>
        <w:t xml:space="preserve">57. </w:t>
      </w:r>
      <w:r w:rsidRPr="00522792">
        <w:rPr>
          <w:color w:val="auto"/>
        </w:rPr>
        <w:tab/>
        <w:t xml:space="preserve">J. Fox, </w:t>
      </w:r>
      <w:r w:rsidRPr="00522792">
        <w:rPr>
          <w:i/>
          <w:iCs/>
          <w:color w:val="auto"/>
        </w:rPr>
        <w:t>et al.</w:t>
      </w:r>
      <w:r w:rsidRPr="00522792">
        <w:rPr>
          <w:color w:val="auto"/>
        </w:rPr>
        <w:t>, car: Companion to Applied Regression. (2023). Deposited 30 March 2023.</w:t>
      </w:r>
    </w:p>
    <w:p w14:paraId="2F564D01" w14:textId="77777777" w:rsidR="00522792" w:rsidRPr="00522792" w:rsidRDefault="00522792" w:rsidP="00522792">
      <w:pPr>
        <w:pStyle w:val="Bibliography"/>
        <w:rPr>
          <w:color w:val="auto"/>
        </w:rPr>
      </w:pPr>
      <w:r w:rsidRPr="00522792">
        <w:rPr>
          <w:color w:val="auto"/>
        </w:rPr>
        <w:t xml:space="preserve">58. </w:t>
      </w:r>
      <w:r w:rsidRPr="00522792">
        <w:rPr>
          <w:color w:val="auto"/>
        </w:rPr>
        <w:tab/>
        <w:t xml:space="preserve">H. M. Kang, </w:t>
      </w:r>
      <w:r w:rsidRPr="00522792">
        <w:rPr>
          <w:i/>
          <w:iCs/>
          <w:color w:val="auto"/>
        </w:rPr>
        <w:t>et al.</w:t>
      </w:r>
      <w:r w:rsidRPr="00522792">
        <w:rPr>
          <w:color w:val="auto"/>
        </w:rPr>
        <w:t xml:space="preserve">, Multiplexed droplet single-cell RNA-sequencing using natural genetic variation. </w:t>
      </w:r>
      <w:r w:rsidRPr="00522792">
        <w:rPr>
          <w:i/>
          <w:iCs/>
          <w:color w:val="auto"/>
        </w:rPr>
        <w:t>Nat Biotechnol</w:t>
      </w:r>
      <w:r w:rsidRPr="00522792">
        <w:rPr>
          <w:color w:val="auto"/>
        </w:rPr>
        <w:t xml:space="preserve"> </w:t>
      </w:r>
      <w:r w:rsidRPr="00522792">
        <w:rPr>
          <w:b/>
          <w:bCs/>
          <w:color w:val="auto"/>
        </w:rPr>
        <w:t>36</w:t>
      </w:r>
      <w:r w:rsidRPr="00522792">
        <w:rPr>
          <w:color w:val="auto"/>
        </w:rPr>
        <w:t>, 89–94 (2018).</w:t>
      </w:r>
    </w:p>
    <w:p w14:paraId="1CD4DFCE" w14:textId="77777777" w:rsidR="00522792" w:rsidRPr="00522792" w:rsidRDefault="00522792" w:rsidP="00522792">
      <w:pPr>
        <w:pStyle w:val="Bibliography"/>
        <w:rPr>
          <w:color w:val="auto"/>
        </w:rPr>
      </w:pPr>
      <w:r w:rsidRPr="00522792">
        <w:rPr>
          <w:color w:val="auto"/>
        </w:rPr>
        <w:t xml:space="preserve">59. </w:t>
      </w:r>
      <w:r w:rsidRPr="00522792">
        <w:rPr>
          <w:color w:val="auto"/>
        </w:rPr>
        <w:tab/>
        <w:t xml:space="preserve">H. Heaton, </w:t>
      </w:r>
      <w:r w:rsidRPr="00522792">
        <w:rPr>
          <w:i/>
          <w:iCs/>
          <w:color w:val="auto"/>
        </w:rPr>
        <w:t>et al.</w:t>
      </w:r>
      <w:r w:rsidRPr="00522792">
        <w:rPr>
          <w:color w:val="auto"/>
        </w:rPr>
        <w:t xml:space="preserve">, Souporcell: robust clustering of single-cell RNA-seq data by genotype without reference genotypes. </w:t>
      </w:r>
      <w:r w:rsidRPr="00522792">
        <w:rPr>
          <w:i/>
          <w:iCs/>
          <w:color w:val="auto"/>
        </w:rPr>
        <w:t>Nat Methods</w:t>
      </w:r>
      <w:r w:rsidRPr="00522792">
        <w:rPr>
          <w:color w:val="auto"/>
        </w:rPr>
        <w:t xml:space="preserve"> </w:t>
      </w:r>
      <w:r w:rsidRPr="00522792">
        <w:rPr>
          <w:b/>
          <w:bCs/>
          <w:color w:val="auto"/>
        </w:rPr>
        <w:t>17</w:t>
      </w:r>
      <w:r w:rsidRPr="00522792">
        <w:rPr>
          <w:color w:val="auto"/>
        </w:rPr>
        <w:t>, 615–620 (2020).</w:t>
      </w:r>
    </w:p>
    <w:p w14:paraId="2D9A9D68" w14:textId="77777777" w:rsidR="00522792" w:rsidRPr="00522792" w:rsidRDefault="00522792" w:rsidP="00522792">
      <w:pPr>
        <w:pStyle w:val="Bibliography"/>
        <w:rPr>
          <w:color w:val="auto"/>
        </w:rPr>
      </w:pPr>
      <w:r w:rsidRPr="00522792">
        <w:rPr>
          <w:color w:val="auto"/>
        </w:rPr>
        <w:t xml:space="preserve">60. </w:t>
      </w:r>
      <w:r w:rsidRPr="00522792">
        <w:rPr>
          <w:color w:val="auto"/>
        </w:rPr>
        <w:tab/>
        <w:t xml:space="preserve">S. Megas, V. Lorenzi, J. C. Marioni, EmptyDropsMultiome discriminates real cells from background in single-cell multiomics assays. </w:t>
      </w:r>
      <w:r w:rsidRPr="00522792">
        <w:rPr>
          <w:i/>
          <w:iCs/>
          <w:color w:val="auto"/>
        </w:rPr>
        <w:t>Genome Biology</w:t>
      </w:r>
      <w:r w:rsidRPr="00522792">
        <w:rPr>
          <w:color w:val="auto"/>
        </w:rPr>
        <w:t xml:space="preserve"> </w:t>
      </w:r>
      <w:r w:rsidRPr="00522792">
        <w:rPr>
          <w:b/>
          <w:bCs/>
          <w:color w:val="auto"/>
        </w:rPr>
        <w:t>25</w:t>
      </w:r>
      <w:r w:rsidRPr="00522792">
        <w:rPr>
          <w:color w:val="auto"/>
        </w:rPr>
        <w:t>, 121 (2024).</w:t>
      </w:r>
    </w:p>
    <w:p w14:paraId="1F9561C5" w14:textId="77777777" w:rsidR="00522792" w:rsidRPr="00522792" w:rsidRDefault="00522792" w:rsidP="00522792">
      <w:pPr>
        <w:pStyle w:val="Bibliography"/>
        <w:rPr>
          <w:color w:val="auto"/>
        </w:rPr>
      </w:pPr>
      <w:r w:rsidRPr="00522792">
        <w:rPr>
          <w:color w:val="auto"/>
        </w:rPr>
        <w:t xml:space="preserve">61. </w:t>
      </w:r>
      <w:r w:rsidRPr="00522792">
        <w:rPr>
          <w:color w:val="auto"/>
        </w:rPr>
        <w:tab/>
        <w:t xml:space="preserve">I. Korsunsky, </w:t>
      </w:r>
      <w:r w:rsidRPr="00522792">
        <w:rPr>
          <w:i/>
          <w:iCs/>
          <w:color w:val="auto"/>
        </w:rPr>
        <w:t>et al.</w:t>
      </w:r>
      <w:r w:rsidRPr="00522792">
        <w:rPr>
          <w:color w:val="auto"/>
        </w:rPr>
        <w:t xml:space="preserve">, Fast, sensitive, and accurate integration of single cell data with Harmony. </w:t>
      </w:r>
      <w:r w:rsidRPr="00522792">
        <w:rPr>
          <w:i/>
          <w:iCs/>
          <w:color w:val="auto"/>
        </w:rPr>
        <w:t>Nat Methods</w:t>
      </w:r>
      <w:r w:rsidRPr="00522792">
        <w:rPr>
          <w:color w:val="auto"/>
        </w:rPr>
        <w:t xml:space="preserve"> </w:t>
      </w:r>
      <w:r w:rsidRPr="00522792">
        <w:rPr>
          <w:b/>
          <w:bCs/>
          <w:color w:val="auto"/>
        </w:rPr>
        <w:t>16</w:t>
      </w:r>
      <w:r w:rsidRPr="00522792">
        <w:rPr>
          <w:color w:val="auto"/>
        </w:rPr>
        <w:t>, 1289–1296 (2019).</w:t>
      </w:r>
    </w:p>
    <w:p w14:paraId="40D484E1" w14:textId="77777777" w:rsidR="00522792" w:rsidRPr="00522792" w:rsidRDefault="00522792" w:rsidP="00522792">
      <w:pPr>
        <w:pStyle w:val="Bibliography"/>
        <w:rPr>
          <w:color w:val="auto"/>
        </w:rPr>
      </w:pPr>
      <w:r w:rsidRPr="00522792">
        <w:rPr>
          <w:color w:val="auto"/>
        </w:rPr>
        <w:t xml:space="preserve">62. </w:t>
      </w:r>
      <w:r w:rsidRPr="00522792">
        <w:rPr>
          <w:color w:val="auto"/>
        </w:rPr>
        <w:tab/>
        <w:t>Y. Bai, L. Chu, A Graph-based Approach to Estimating the Number of Clusters. [Preprint] (2024). Available at: http://arxiv.org/abs/2402.15600 [Accessed 11 March 2025].</w:t>
      </w:r>
    </w:p>
    <w:p w14:paraId="33FA7C10" w14:textId="77777777" w:rsidR="00522792" w:rsidRPr="00522792" w:rsidRDefault="00522792" w:rsidP="00522792">
      <w:pPr>
        <w:pStyle w:val="Bibliography"/>
        <w:rPr>
          <w:color w:val="auto"/>
        </w:rPr>
      </w:pPr>
      <w:r w:rsidRPr="00522792">
        <w:rPr>
          <w:color w:val="auto"/>
        </w:rPr>
        <w:t xml:space="preserve">63. </w:t>
      </w:r>
      <w:r w:rsidRPr="00522792">
        <w:rPr>
          <w:color w:val="auto"/>
        </w:rPr>
        <w:tab/>
        <w:t xml:space="preserve">K. P. Maruska, J. M. Butler, K. E. Field, D. T. Porter, Localization of glutamatergic, GABAergic, and cholinergic neurons in the brain of the African cichlid fish, Astatotilapia burtoni. </w:t>
      </w:r>
      <w:r w:rsidRPr="00522792">
        <w:rPr>
          <w:i/>
          <w:iCs/>
          <w:color w:val="auto"/>
        </w:rPr>
        <w:t>J Comp Neurol</w:t>
      </w:r>
      <w:r w:rsidRPr="00522792">
        <w:rPr>
          <w:color w:val="auto"/>
        </w:rPr>
        <w:t xml:space="preserve"> </w:t>
      </w:r>
      <w:r w:rsidRPr="00522792">
        <w:rPr>
          <w:b/>
          <w:bCs/>
          <w:color w:val="auto"/>
        </w:rPr>
        <w:t>525</w:t>
      </w:r>
      <w:r w:rsidRPr="00522792">
        <w:rPr>
          <w:color w:val="auto"/>
        </w:rPr>
        <w:t>, 610–638 (2017).</w:t>
      </w:r>
    </w:p>
    <w:p w14:paraId="2B7640DD" w14:textId="77777777" w:rsidR="00522792" w:rsidRPr="00522792" w:rsidRDefault="00522792" w:rsidP="00522792">
      <w:pPr>
        <w:pStyle w:val="Bibliography"/>
        <w:rPr>
          <w:color w:val="auto"/>
        </w:rPr>
      </w:pPr>
      <w:r w:rsidRPr="00522792">
        <w:rPr>
          <w:color w:val="auto"/>
        </w:rPr>
        <w:t xml:space="preserve">64. </w:t>
      </w:r>
      <w:r w:rsidRPr="00522792">
        <w:rPr>
          <w:color w:val="auto"/>
        </w:rPr>
        <w:tab/>
        <w:t xml:space="preserve">Z. V. Johnson, </w:t>
      </w:r>
      <w:r w:rsidRPr="00522792">
        <w:rPr>
          <w:i/>
          <w:iCs/>
          <w:color w:val="auto"/>
        </w:rPr>
        <w:t>et al.</w:t>
      </w:r>
      <w:r w:rsidRPr="00522792">
        <w:rPr>
          <w:color w:val="auto"/>
        </w:rPr>
        <w:t xml:space="preserve">, Cellular profiling of a recently-evolved social behavior in cichlid fishes. </w:t>
      </w:r>
      <w:r w:rsidRPr="00522792">
        <w:rPr>
          <w:i/>
          <w:iCs/>
          <w:color w:val="auto"/>
        </w:rPr>
        <w:t>Nat Commun</w:t>
      </w:r>
      <w:r w:rsidRPr="00522792">
        <w:rPr>
          <w:color w:val="auto"/>
        </w:rPr>
        <w:t xml:space="preserve"> </w:t>
      </w:r>
      <w:r w:rsidRPr="00522792">
        <w:rPr>
          <w:b/>
          <w:bCs/>
          <w:color w:val="auto"/>
        </w:rPr>
        <w:t>14</w:t>
      </w:r>
      <w:r w:rsidRPr="00522792">
        <w:rPr>
          <w:color w:val="auto"/>
        </w:rPr>
        <w:t>, 4891 (2023).</w:t>
      </w:r>
    </w:p>
    <w:p w14:paraId="72A329F6" w14:textId="77777777" w:rsidR="00522792" w:rsidRPr="00522792" w:rsidRDefault="00522792" w:rsidP="00522792">
      <w:pPr>
        <w:pStyle w:val="Bibliography"/>
        <w:rPr>
          <w:color w:val="auto"/>
        </w:rPr>
      </w:pPr>
      <w:r w:rsidRPr="00522792">
        <w:rPr>
          <w:color w:val="auto"/>
        </w:rPr>
        <w:t xml:space="preserve">65. </w:t>
      </w:r>
      <w:r w:rsidRPr="00522792">
        <w:rPr>
          <w:color w:val="auto"/>
        </w:rPr>
        <w:tab/>
        <w:t xml:space="preserve">M. G. Connolly, </w:t>
      </w:r>
      <w:r w:rsidRPr="00522792">
        <w:rPr>
          <w:i/>
          <w:iCs/>
          <w:color w:val="auto"/>
        </w:rPr>
        <w:t>et al.</w:t>
      </w:r>
      <w:r w:rsidRPr="00522792">
        <w:rPr>
          <w:color w:val="auto"/>
        </w:rPr>
        <w:t xml:space="preserve">, Single-Nucleus RNA Sequencing Reveals Enduring Signatures of Acute Stress and Chronic Exercise in Striatal Microglia. </w:t>
      </w:r>
      <w:r w:rsidRPr="00522792">
        <w:rPr>
          <w:i/>
          <w:iCs/>
          <w:color w:val="auto"/>
        </w:rPr>
        <w:t>Genes, Brain and Behavior</w:t>
      </w:r>
      <w:r w:rsidRPr="00522792">
        <w:rPr>
          <w:color w:val="auto"/>
        </w:rPr>
        <w:t xml:space="preserve"> </w:t>
      </w:r>
      <w:r w:rsidRPr="00522792">
        <w:rPr>
          <w:b/>
          <w:bCs/>
          <w:color w:val="auto"/>
        </w:rPr>
        <w:t>24</w:t>
      </w:r>
      <w:r w:rsidRPr="00522792">
        <w:rPr>
          <w:color w:val="auto"/>
        </w:rPr>
        <w:t>, e70019 (2025).</w:t>
      </w:r>
    </w:p>
    <w:p w14:paraId="788DADBC" w14:textId="77777777" w:rsidR="00522792" w:rsidRPr="00522792" w:rsidRDefault="00522792" w:rsidP="00522792">
      <w:pPr>
        <w:pStyle w:val="Bibliography"/>
        <w:rPr>
          <w:color w:val="auto"/>
        </w:rPr>
      </w:pPr>
      <w:r w:rsidRPr="00522792">
        <w:rPr>
          <w:color w:val="auto"/>
        </w:rPr>
        <w:t xml:space="preserve">66. </w:t>
      </w:r>
      <w:r w:rsidRPr="00522792">
        <w:rPr>
          <w:color w:val="auto"/>
        </w:rPr>
        <w:tab/>
        <w:t xml:space="preserve">D. Bates, </w:t>
      </w:r>
      <w:r w:rsidRPr="00522792">
        <w:rPr>
          <w:i/>
          <w:iCs/>
          <w:color w:val="auto"/>
        </w:rPr>
        <w:t>et al.</w:t>
      </w:r>
      <w:r w:rsidRPr="00522792">
        <w:rPr>
          <w:color w:val="auto"/>
        </w:rPr>
        <w:t>, lme4: Linear Mixed-Effects Models using “Eigen” and S4. (2024). Deposited 3 July 2024.</w:t>
      </w:r>
    </w:p>
    <w:p w14:paraId="6E4F10BC" w14:textId="77777777" w:rsidR="00522792" w:rsidRPr="00522792" w:rsidRDefault="00522792" w:rsidP="00522792">
      <w:pPr>
        <w:pStyle w:val="Bibliography"/>
        <w:rPr>
          <w:color w:val="auto"/>
        </w:rPr>
      </w:pPr>
      <w:r w:rsidRPr="00522792">
        <w:rPr>
          <w:color w:val="auto"/>
        </w:rPr>
        <w:t xml:space="preserve">67. </w:t>
      </w:r>
      <w:r w:rsidRPr="00522792">
        <w:rPr>
          <w:color w:val="auto"/>
        </w:rPr>
        <w:tab/>
        <w:t xml:space="preserve">G. S. Gulati, </w:t>
      </w:r>
      <w:r w:rsidRPr="00522792">
        <w:rPr>
          <w:i/>
          <w:iCs/>
          <w:color w:val="auto"/>
        </w:rPr>
        <w:t>et al.</w:t>
      </w:r>
      <w:r w:rsidRPr="00522792">
        <w:rPr>
          <w:color w:val="auto"/>
        </w:rPr>
        <w:t xml:space="preserve">, Single-cell transcriptional diversity is a hallmark of developmental potential. </w:t>
      </w:r>
      <w:r w:rsidRPr="00522792">
        <w:rPr>
          <w:i/>
          <w:iCs/>
          <w:color w:val="auto"/>
        </w:rPr>
        <w:t>Science</w:t>
      </w:r>
      <w:r w:rsidRPr="00522792">
        <w:rPr>
          <w:color w:val="auto"/>
        </w:rPr>
        <w:t xml:space="preserve"> </w:t>
      </w:r>
      <w:r w:rsidRPr="00522792">
        <w:rPr>
          <w:b/>
          <w:bCs/>
          <w:color w:val="auto"/>
        </w:rPr>
        <w:t>367</w:t>
      </w:r>
      <w:r w:rsidRPr="00522792">
        <w:rPr>
          <w:color w:val="auto"/>
        </w:rPr>
        <w:t>, 405–411 (2020).</w:t>
      </w:r>
    </w:p>
    <w:p w14:paraId="6A41FDD8" w14:textId="77777777" w:rsidR="00522792" w:rsidRPr="00522792" w:rsidRDefault="00522792" w:rsidP="00522792">
      <w:pPr>
        <w:pStyle w:val="Bibliography"/>
        <w:rPr>
          <w:color w:val="auto"/>
        </w:rPr>
      </w:pPr>
      <w:r w:rsidRPr="00522792">
        <w:rPr>
          <w:color w:val="auto"/>
        </w:rPr>
        <w:t xml:space="preserve">68. </w:t>
      </w:r>
      <w:r w:rsidRPr="00522792">
        <w:rPr>
          <w:color w:val="auto"/>
        </w:rPr>
        <w:tab/>
        <w:t xml:space="preserve">S. Aibar, </w:t>
      </w:r>
      <w:r w:rsidRPr="00522792">
        <w:rPr>
          <w:i/>
          <w:iCs/>
          <w:color w:val="auto"/>
        </w:rPr>
        <w:t>et al.</w:t>
      </w:r>
      <w:r w:rsidRPr="00522792">
        <w:rPr>
          <w:color w:val="auto"/>
        </w:rPr>
        <w:t xml:space="preserve">, SCENIC: single-cell regulatory network inference and clustering. </w:t>
      </w:r>
      <w:r w:rsidRPr="00522792">
        <w:rPr>
          <w:i/>
          <w:iCs/>
          <w:color w:val="auto"/>
        </w:rPr>
        <w:t>Nat Methods</w:t>
      </w:r>
      <w:r w:rsidRPr="00522792">
        <w:rPr>
          <w:color w:val="auto"/>
        </w:rPr>
        <w:t xml:space="preserve"> </w:t>
      </w:r>
      <w:r w:rsidRPr="00522792">
        <w:rPr>
          <w:b/>
          <w:bCs/>
          <w:color w:val="auto"/>
        </w:rPr>
        <w:t>14</w:t>
      </w:r>
      <w:r w:rsidRPr="00522792">
        <w:rPr>
          <w:color w:val="auto"/>
        </w:rPr>
        <w:t>, 1083–1086 (2017).</w:t>
      </w:r>
    </w:p>
    <w:p w14:paraId="15D1B0F5" w14:textId="00B449EC" w:rsidR="002613B6" w:rsidRPr="007A682B" w:rsidRDefault="004F6DBB" w:rsidP="00522792">
      <w:pPr>
        <w:pStyle w:val="Bibliography"/>
        <w:rPr>
          <w:rFonts w:ascii="Arial" w:hAnsi="Arial" w:cs="Arial"/>
          <w:sz w:val="20"/>
          <w:szCs w:val="20"/>
        </w:rPr>
      </w:pPr>
      <w:r w:rsidRPr="007A682B">
        <w:rPr>
          <w:rFonts w:ascii="Arial" w:hAnsi="Arial" w:cs="Arial"/>
          <w:sz w:val="20"/>
          <w:szCs w:val="20"/>
        </w:rPr>
        <w:fldChar w:fldCharType="end"/>
      </w:r>
    </w:p>
    <w:sectPr w:rsidR="002613B6" w:rsidRPr="007A682B" w:rsidSect="00551E7E">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Rhodes, Justin S" w:date="2026-10-13T09:55:00Z" w:initials="JR">
    <w:p w14:paraId="17EA4AA7" w14:textId="77777777" w:rsidR="00E019AF" w:rsidRDefault="00E019AF" w:rsidP="00E019AF">
      <w:pPr>
        <w:pStyle w:val="CommentText"/>
      </w:pPr>
      <w:r>
        <w:rPr>
          <w:rStyle w:val="CommentReference"/>
        </w:rPr>
        <w:annotationRef/>
      </w:r>
      <w:r>
        <w:t>Throughout check that you are referring to the groups with a capital letter first.  I started making changes, but you should check the entire document.  This should be consistent throughout.</w:t>
      </w:r>
    </w:p>
  </w:comment>
  <w:comment w:id="1" w:author="Rhodes, Justin S" w:date="2026-10-12T19:55:00Z" w:initials="JR">
    <w:p w14:paraId="2C05218E" w14:textId="77777777" w:rsidR="00BB3BC8" w:rsidRDefault="00BB3BC8" w:rsidP="00BB3BC8">
      <w:pPr>
        <w:pStyle w:val="CommentText"/>
      </w:pPr>
      <w:r>
        <w:rPr>
          <w:rStyle w:val="CommentReference"/>
        </w:rPr>
        <w:annotationRef/>
      </w:r>
      <w:r>
        <w:t xml:space="preserve">We need to add posthoc tests in the excel file for these, just add additional columns </w:t>
      </w:r>
    </w:p>
  </w:comment>
  <w:comment w:id="2" w:author="Graham, Gabriel J." w:date="2026-10-08T19:18:00Z" w:initials="GGJ">
    <w:p w14:paraId="160B58DC" w14:textId="77777777" w:rsidR="00861E9A" w:rsidRDefault="00861E9A" w:rsidP="00861E9A">
      <w:r>
        <w:rPr>
          <w:rStyle w:val="CommentReference"/>
        </w:rPr>
        <w:annotationRef/>
      </w:r>
      <w:r>
        <w:rPr>
          <w:sz w:val="20"/>
          <w:szCs w:val="20"/>
        </w:rPr>
        <w:t>Note this is fold change of log10 transformed, should it be in raw scale instead which is closer to 20</w:t>
      </w:r>
    </w:p>
  </w:comment>
  <w:comment w:id="3" w:author="Rhodes, Justin S" w:date="2026-10-18T17:23:00Z" w:initials="JR">
    <w:p w14:paraId="6264BF57" w14:textId="77777777" w:rsidR="000C5206" w:rsidRDefault="000C5206" w:rsidP="000C5206">
      <w:pPr>
        <w:pStyle w:val="CommentText"/>
      </w:pPr>
      <w:r>
        <w:rPr>
          <w:rStyle w:val="CommentReference"/>
        </w:rPr>
        <w:annotationRef/>
      </w:r>
      <w:r>
        <w:t xml:space="preserve">Yes this should be back transformed so it is in the actual scale.  </w:t>
      </w:r>
    </w:p>
  </w:comment>
  <w:comment w:id="4" w:author="Graham, Gabriel J." w:date="2026-08-24T12:14:00Z" w:initials="GGJ">
    <w:p w14:paraId="3C4ECC42" w14:textId="2379CC57" w:rsidR="00715C76" w:rsidRDefault="00715C76" w:rsidP="00715C76">
      <w:r>
        <w:rPr>
          <w:rStyle w:val="CommentReference"/>
        </w:rPr>
        <w:annotationRef/>
      </w:r>
      <w:r>
        <w:rPr>
          <w:sz w:val="20"/>
          <w:szCs w:val="20"/>
        </w:rPr>
        <w:t>Coltan can you review the figure and see if there is anything you want to change about it</w:t>
      </w:r>
    </w:p>
  </w:comment>
  <w:comment w:id="5" w:author="Rhodes, Justin S" w:date="2026-10-13T09:55:00Z" w:initials="JR">
    <w:p w14:paraId="790A5CA1" w14:textId="77777777" w:rsidR="00E019AF" w:rsidRDefault="00E019AF" w:rsidP="00E019AF">
      <w:pPr>
        <w:pStyle w:val="CommentText"/>
      </w:pPr>
      <w:r>
        <w:rPr>
          <w:rStyle w:val="CommentReference"/>
        </w:rPr>
        <w:annotationRef/>
      </w:r>
      <w:r>
        <w:t>Probably don’t need this many significant digits.  Keep it consistent, with only 1, so 64.6.  Make these changes throughout.</w:t>
      </w:r>
    </w:p>
  </w:comment>
  <w:comment w:id="7" w:author="Rhodes, Justin S" w:date="2026-10-13T09:36:00Z" w:initials="JR">
    <w:p w14:paraId="1D75E148" w14:textId="55D8E029" w:rsidR="005930D4" w:rsidRDefault="005930D4" w:rsidP="005930D4">
      <w:pPr>
        <w:pStyle w:val="CommentText"/>
      </w:pPr>
      <w:r>
        <w:rPr>
          <w:rStyle w:val="CommentReference"/>
        </w:rPr>
        <w:annotationRef/>
      </w:r>
      <w:r>
        <w:t xml:space="preserve">We should be consistent with the significant digits.  You have 2 significant digits for decreases and one for increases, 1.4 fold versus 37% for example, to keep consistent 1.4x. </w:t>
      </w:r>
    </w:p>
  </w:comment>
  <w:comment w:id="6" w:author="Rhodes, Justin S" w:date="2026-10-13T09:35:00Z" w:initials="JR">
    <w:p w14:paraId="63288A86" w14:textId="77777777" w:rsidR="005930D4" w:rsidRDefault="005930D4" w:rsidP="005930D4">
      <w:pPr>
        <w:pStyle w:val="CommentText"/>
      </w:pPr>
      <w:r>
        <w:rPr>
          <w:rStyle w:val="CommentReference"/>
        </w:rPr>
        <w:annotationRef/>
      </w:r>
      <w:r>
        <w:rPr>
          <w:color w:val="000000"/>
        </w:rPr>
        <w:t xml:space="preserve">We have to be consistent, either put the stats in the text or put in a table.  Above you put the stats in the text, here you don’t mention stats at all.  </w:t>
      </w:r>
    </w:p>
  </w:comment>
  <w:comment w:id="8" w:author="Rhodes, Justin S" w:date="2026-10-13T09:54:00Z" w:initials="JR">
    <w:p w14:paraId="5E177211" w14:textId="77777777" w:rsidR="00E019AF" w:rsidRDefault="00E019AF" w:rsidP="00E019AF">
      <w:pPr>
        <w:pStyle w:val="CommentText"/>
      </w:pPr>
      <w:r>
        <w:rPr>
          <w:rStyle w:val="CommentReference"/>
        </w:rPr>
        <w:annotationRef/>
      </w:r>
      <w:r>
        <w:t>You showed chi-square statistics earlier.  Be consistent.</w:t>
      </w:r>
    </w:p>
  </w:comment>
  <w:comment w:id="9" w:author="Rhodes, Justin S" w:date="2026-10-13T12:12:00Z" w:initials="JR">
    <w:p w14:paraId="37F797A7" w14:textId="77777777" w:rsidR="00181D45" w:rsidRDefault="00181D45" w:rsidP="00181D45">
      <w:pPr>
        <w:pStyle w:val="CommentText"/>
      </w:pPr>
      <w:r>
        <w:rPr>
          <w:rStyle w:val="CommentReference"/>
        </w:rPr>
        <w:annotationRef/>
      </w:r>
      <w:r>
        <w:rPr>
          <w:color w:val="000000"/>
        </w:rPr>
        <w:t>Why is expression measured using different statistics? I see it did not converge but why?  Was that the only gene that did not converge?</w:t>
      </w:r>
    </w:p>
  </w:comment>
  <w:comment w:id="10" w:author="Graham, Gabriel J." w:date="2026-10-20T14:12:00Z" w:initials="GGJ">
    <w:p w14:paraId="4C8E87FB" w14:textId="77777777" w:rsidR="008C795A" w:rsidRDefault="008C795A" w:rsidP="008C795A">
      <w:r>
        <w:rPr>
          <w:rStyle w:val="CommentReference"/>
        </w:rPr>
        <w:annotationRef/>
      </w:r>
      <w:r>
        <w:rPr>
          <w:sz w:val="20"/>
          <w:szCs w:val="20"/>
        </w:rPr>
        <w:t>It was the only gene that did not converge that we discuss, so I pseudobulked and used linear regression</w:t>
      </w:r>
    </w:p>
  </w:comment>
  <w:comment w:id="11" w:author="Rhodes, Justin S" w:date="2026-10-18T17:26:00Z" w:initials="JR">
    <w:p w14:paraId="7BE28CCA" w14:textId="77777777" w:rsidR="005A3828" w:rsidRDefault="005A3828" w:rsidP="005A3828">
      <w:pPr>
        <w:pStyle w:val="CommentText"/>
      </w:pPr>
      <w:r>
        <w:rPr>
          <w:rStyle w:val="CommentReference"/>
        </w:rPr>
        <w:annotationRef/>
      </w:r>
      <w:r>
        <w:t>Gabe, please consider adding something like this</w:t>
      </w:r>
    </w:p>
  </w:comment>
  <w:comment w:id="12" w:author="Graham, Gabriel J." w:date="2026-10-20T14:12:00Z" w:initials="GGJ">
    <w:p w14:paraId="0D62F5CF" w14:textId="77777777" w:rsidR="008C795A" w:rsidRDefault="008C795A" w:rsidP="008C795A">
      <w:r>
        <w:rPr>
          <w:rStyle w:val="CommentReference"/>
        </w:rPr>
        <w:annotationRef/>
      </w:r>
      <w:r>
        <w:rPr>
          <w:sz w:val="20"/>
          <w:szCs w:val="20"/>
        </w:rPr>
        <w:t>Gabe show venn diagram?</w:t>
      </w:r>
    </w:p>
  </w:comment>
  <w:comment w:id="13" w:author="Graham, Gabriel J." w:date="2026-10-07T21:50:00Z" w:initials="GGJ">
    <w:p w14:paraId="547D4B9C" w14:textId="77777777" w:rsidR="00385EE8" w:rsidRDefault="00385EE8" w:rsidP="00385EE8">
      <w:r>
        <w:rPr>
          <w:rStyle w:val="CommentReference"/>
        </w:rPr>
        <w:annotationRef/>
      </w:r>
      <w:r>
        <w:rPr>
          <w:sz w:val="20"/>
          <w:szCs w:val="20"/>
        </w:rPr>
        <w:t>Do we need both hedges g and F value?</w:t>
      </w:r>
    </w:p>
  </w:comment>
  <w:comment w:id="14" w:author="Rhodes, Justin S" w:date="2026-10-13T16:20:00Z" w:initials="JR">
    <w:p w14:paraId="6A3B7B0E" w14:textId="77777777" w:rsidR="00C9120C" w:rsidRDefault="00F54B25" w:rsidP="00C9120C">
      <w:pPr>
        <w:pStyle w:val="CommentText"/>
      </w:pPr>
      <w:r>
        <w:rPr>
          <w:rStyle w:val="CommentReference"/>
        </w:rPr>
        <w:annotationRef/>
      </w:r>
      <w:r w:rsidR="00C9120C">
        <w:rPr>
          <w:color w:val="000000"/>
        </w:rPr>
        <w:t>The Hedges g value is an effect size.  I think we can delete it for now, usually the journal requires you to report effect sizes, check.</w:t>
      </w:r>
    </w:p>
  </w:comment>
  <w:comment w:id="15" w:author="Graham, Gabriel J." w:date="2026-10-09T15:54:00Z" w:initials="GGJ">
    <w:p w14:paraId="30A58DDD" w14:textId="77777777" w:rsidR="00913D54" w:rsidRDefault="00913D54" w:rsidP="00913D54">
      <w:r>
        <w:rPr>
          <w:rStyle w:val="CommentReference"/>
        </w:rPr>
        <w:annotationRef/>
      </w:r>
      <w:r>
        <w:rPr>
          <w:sz w:val="20"/>
          <w:szCs w:val="20"/>
        </w:rPr>
        <w:t>Which file are these data from? I can put in supplemental</w:t>
      </w:r>
    </w:p>
  </w:comment>
  <w:comment w:id="16" w:author="Rhodes, Justin S" w:date="2026-10-13T16:21:00Z" w:initials="JR">
    <w:p w14:paraId="1EEDDE8C" w14:textId="50C2A0D9" w:rsidR="00F54B25" w:rsidRDefault="00F54B25" w:rsidP="00F54B25">
      <w:pPr>
        <w:pStyle w:val="CommentText"/>
      </w:pPr>
      <w:r>
        <w:rPr>
          <w:rStyle w:val="CommentReference"/>
        </w:rPr>
        <w:annotationRef/>
      </w:r>
      <w:r>
        <w:t>We should put them in your statistics section.  I will send you the files.</w:t>
      </w:r>
    </w:p>
  </w:comment>
  <w:comment w:id="17" w:author="Rhodes, Justin S" w:date="2026-10-19T15:38:00Z" w:initials="JR">
    <w:p w14:paraId="7501EA59" w14:textId="77777777" w:rsidR="00C9120C" w:rsidRDefault="00C9120C" w:rsidP="00C9120C">
      <w:pPr>
        <w:pStyle w:val="CommentText"/>
      </w:pPr>
      <w:r>
        <w:rPr>
          <w:rStyle w:val="CommentReference"/>
        </w:rPr>
        <w:annotationRef/>
      </w:r>
      <w:r>
        <w:t xml:space="preserve">Need to add these important graphs to the figure.  </w:t>
      </w:r>
    </w:p>
  </w:comment>
  <w:comment w:id="18" w:author="Graham, Gabriel J." w:date="2026-10-20T14:14:00Z" w:initials="GGJ">
    <w:p w14:paraId="3955C83D" w14:textId="77777777" w:rsidR="008C795A" w:rsidRDefault="008C795A" w:rsidP="008C795A">
      <w:r>
        <w:rPr>
          <w:rStyle w:val="CommentReference"/>
        </w:rPr>
        <w:annotationRef/>
      </w:r>
      <w:r>
        <w:rPr>
          <w:sz w:val="20"/>
          <w:szCs w:val="20"/>
        </w:rPr>
        <w:t>Gabe make the transition feel better</w:t>
      </w:r>
    </w:p>
  </w:comment>
  <w:comment w:id="19" w:author="Graham, Gabriel J." w:date="2026-10-20T14:15:00Z" w:initials="GGJ">
    <w:p w14:paraId="660F4820" w14:textId="77777777" w:rsidR="008C795A" w:rsidRDefault="008C795A" w:rsidP="008C795A">
      <w:r>
        <w:rPr>
          <w:rStyle w:val="CommentReference"/>
        </w:rPr>
        <w:annotationRef/>
      </w:r>
      <w:r>
        <w:rPr>
          <w:sz w:val="20"/>
          <w:szCs w:val="20"/>
        </w:rPr>
        <w:t>I dont really understand the "in contrast" because one of the major findings is that neurogenesis to the POA also changes</w:t>
      </w:r>
    </w:p>
  </w:comment>
  <w:comment w:id="20" w:author="Graham, Gabriel J." w:date="2026-10-20T14:16:00Z" w:initials="GGJ">
    <w:p w14:paraId="7D9908D5" w14:textId="77777777" w:rsidR="008C795A" w:rsidRDefault="008C795A" w:rsidP="008C795A">
      <w:r>
        <w:rPr>
          <w:rStyle w:val="CommentReference"/>
        </w:rPr>
        <w:annotationRef/>
      </w:r>
      <w:r>
        <w:rPr>
          <w:sz w:val="20"/>
          <w:szCs w:val="20"/>
        </w:rPr>
        <w:t>I dont like the word exciting here</w:t>
      </w:r>
    </w:p>
  </w:comment>
  <w:comment w:id="21" w:author="Graham, Gabriel J." w:date="2026-10-20T14:17:00Z" w:initials="GGJ">
    <w:p w14:paraId="2979334B" w14:textId="77777777" w:rsidR="00455420" w:rsidRDefault="00455420" w:rsidP="00455420">
      <w:r>
        <w:rPr>
          <w:rStyle w:val="CommentReference"/>
        </w:rPr>
        <w:annotationRef/>
      </w:r>
      <w:r>
        <w:rPr>
          <w:sz w:val="20"/>
          <w:szCs w:val="20"/>
        </w:rPr>
        <w:t>I think we should be more confident than "raises the possibility", this is by definition a thing that must happen and now we have evidence for some of the details</w:t>
      </w:r>
    </w:p>
  </w:comment>
  <w:comment w:id="22" w:author="Graham, Gabriel J." w:date="2026-10-20T14:20:00Z" w:initials="GGJ">
    <w:p w14:paraId="2B0C8805" w14:textId="77777777" w:rsidR="00455420" w:rsidRDefault="00455420" w:rsidP="00455420">
      <w:r>
        <w:rPr>
          <w:rStyle w:val="CommentReference"/>
        </w:rPr>
        <w:annotationRef/>
      </w:r>
      <w:r>
        <w:rPr>
          <w:sz w:val="20"/>
          <w:szCs w:val="20"/>
        </w:rPr>
        <w:t>seems fine to me, relatively minor</w:t>
      </w:r>
    </w:p>
  </w:comment>
  <w:comment w:id="23" w:author="Rhodes, Justin S" w:date="2026-10-02T10:19:00Z" w:initials="JR">
    <w:p w14:paraId="3231B06A" w14:textId="77777777" w:rsidR="009E60BC" w:rsidRDefault="009E60BC" w:rsidP="009E60BC">
      <w:pPr>
        <w:pStyle w:val="CommentText"/>
      </w:pPr>
      <w:r>
        <w:rPr>
          <w:rStyle w:val="CommentReference"/>
        </w:rPr>
        <w:annotationRef/>
      </w:r>
      <w:r>
        <w:t>Can we say more about what this means.  I don’t understand.  Are there references we can provide for this?</w:t>
      </w:r>
    </w:p>
  </w:comment>
  <w:comment w:id="24" w:author="Graham, Gabriel J." w:date="2026-10-05T14:10:00Z" w:initials="GGJ">
    <w:p w14:paraId="49761346" w14:textId="77777777" w:rsidR="009613F6" w:rsidRDefault="009613F6" w:rsidP="009613F6">
      <w:r>
        <w:rPr>
          <w:rStyle w:val="CommentReference"/>
        </w:rPr>
        <w:annotationRef/>
      </w:r>
      <w:r>
        <w:rPr>
          <w:sz w:val="20"/>
          <w:szCs w:val="20"/>
        </w:rPr>
        <w:t>This is from Katies QC but what it means is cells that are not expressing at least 55% of the genes from the FindVariableGenes() function are removed, is I believe part of the satija lab workflow thout katie could speak more to it</w:t>
      </w:r>
    </w:p>
  </w:comment>
  <w:comment w:id="25" w:author="Rhodes, Justin S" w:date="2026-10-02T10:20:00Z" w:initials="JR">
    <w:p w14:paraId="12FED78F" w14:textId="77777777" w:rsidR="009E60BC" w:rsidRDefault="009E60BC" w:rsidP="009E60BC">
      <w:pPr>
        <w:pStyle w:val="CommentText"/>
      </w:pPr>
      <w:r>
        <w:rPr>
          <w:rStyle w:val="CommentReference"/>
        </w:rPr>
        <w:annotationRef/>
      </w:r>
      <w:r>
        <w:t>Why did we use these criteria, following another paper or standard...</w:t>
      </w:r>
    </w:p>
  </w:comment>
  <w:comment w:id="26" w:author="Graham, Gabriel J." w:date="2026-10-05T14:10:00Z" w:initials="GGJ">
    <w:p w14:paraId="361006A4" w14:textId="77777777" w:rsidR="009613F6" w:rsidRDefault="009613F6" w:rsidP="009613F6">
      <w:r>
        <w:rPr>
          <w:rStyle w:val="CommentReference"/>
        </w:rPr>
        <w:annotationRef/>
      </w:r>
      <w:r>
        <w:rPr>
          <w:sz w:val="20"/>
          <w:szCs w:val="20"/>
        </w:rPr>
        <w:t>Again, ask Katie, though most of this is standard</w:t>
      </w:r>
    </w:p>
  </w:comment>
  <w:comment w:id="27" w:author="Graham, Gabriel J." w:date="2026-10-09T15:56:00Z" w:initials="GGJ">
    <w:p w14:paraId="49D8820A" w14:textId="77777777" w:rsidR="00913D54" w:rsidRDefault="00913D54" w:rsidP="00913D54">
      <w:r>
        <w:rPr>
          <w:rStyle w:val="CommentReference"/>
        </w:rPr>
        <w:annotationRef/>
      </w:r>
      <w:r>
        <w:rPr>
          <w:sz w:val="20"/>
          <w:szCs w:val="20"/>
        </w:rPr>
        <w:t>Need this table, do you really think this is necessary though?</w:t>
      </w:r>
    </w:p>
  </w:comment>
  <w:comment w:id="28" w:author="Rhodes, Justin S" w:date="2026-10-13T12:14:00Z" w:initials="JR">
    <w:p w14:paraId="2C933FB0" w14:textId="55281DAF" w:rsidR="00181D45" w:rsidRDefault="00181D45" w:rsidP="00181D45">
      <w:pPr>
        <w:pStyle w:val="CommentText"/>
      </w:pPr>
      <w:r>
        <w:rPr>
          <w:rStyle w:val="CommentReference"/>
        </w:rPr>
        <w:annotationRef/>
      </w:r>
      <w:r>
        <w:t xml:space="preserve">Huh?  That is the only gene that failed to converge?  Why did it fail?  We should investigate this.  If it cannot detect individual variance then it should be singular but then converge. </w:t>
      </w:r>
    </w:p>
  </w:comment>
  <w:comment w:id="29" w:author="Graham, Gabriel J." w:date="2026-10-20T14:28:00Z" w:initials="GGJ">
    <w:p w14:paraId="144E0AEE" w14:textId="77777777" w:rsidR="00D606A6" w:rsidRDefault="00D606A6" w:rsidP="00D606A6">
      <w:r>
        <w:rPr>
          <w:rStyle w:val="CommentReference"/>
        </w:rPr>
        <w:annotationRef/>
      </w:r>
      <w:r>
        <w:rPr>
          <w:sz w:val="20"/>
          <w:szCs w:val="20"/>
        </w:rPr>
        <w:t>Not singular, the negative binomial failed to converge on a certain percent of genes usually with high variance and low counts. I tried to alleviate this with a few tricks I know like changing iterations and the optimizer but I couldnt get it to converge so I just pseudobulked, not sure what else you want me to 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7EA4AA7" w15:done="0"/>
  <w15:commentEx w15:paraId="2C05218E" w15:done="0"/>
  <w15:commentEx w15:paraId="160B58DC" w15:done="0"/>
  <w15:commentEx w15:paraId="6264BF57" w15:paraIdParent="160B58DC" w15:done="0"/>
  <w15:commentEx w15:paraId="3C4ECC42" w15:done="0"/>
  <w15:commentEx w15:paraId="790A5CA1" w15:done="0"/>
  <w15:commentEx w15:paraId="1D75E148" w15:done="0"/>
  <w15:commentEx w15:paraId="63288A86" w15:done="0"/>
  <w15:commentEx w15:paraId="5E177211" w15:done="0"/>
  <w15:commentEx w15:paraId="37F797A7" w15:done="0"/>
  <w15:commentEx w15:paraId="4C8E87FB" w15:paraIdParent="37F797A7" w15:done="0"/>
  <w15:commentEx w15:paraId="7BE28CCA" w15:done="0"/>
  <w15:commentEx w15:paraId="0D62F5CF" w15:paraIdParent="7BE28CCA" w15:done="0"/>
  <w15:commentEx w15:paraId="547D4B9C" w15:done="0"/>
  <w15:commentEx w15:paraId="6A3B7B0E" w15:paraIdParent="547D4B9C" w15:done="0"/>
  <w15:commentEx w15:paraId="30A58DDD" w15:done="0"/>
  <w15:commentEx w15:paraId="1EEDDE8C" w15:paraIdParent="30A58DDD" w15:done="0"/>
  <w15:commentEx w15:paraId="7501EA59" w15:done="0"/>
  <w15:commentEx w15:paraId="3955C83D" w15:done="0"/>
  <w15:commentEx w15:paraId="660F4820" w15:done="0"/>
  <w15:commentEx w15:paraId="7D9908D5" w15:done="0"/>
  <w15:commentEx w15:paraId="2979334B" w15:done="0"/>
  <w15:commentEx w15:paraId="2B0C8805" w15:done="0"/>
  <w15:commentEx w15:paraId="3231B06A" w15:done="0"/>
  <w15:commentEx w15:paraId="49761346" w15:paraIdParent="3231B06A" w15:done="0"/>
  <w15:commentEx w15:paraId="12FED78F" w15:done="0"/>
  <w15:commentEx w15:paraId="361006A4" w15:paraIdParent="12FED78F" w15:done="0"/>
  <w15:commentEx w15:paraId="49D8820A" w15:done="0"/>
  <w15:commentEx w15:paraId="2C933FB0" w15:done="0"/>
  <w15:commentEx w15:paraId="144E0AEE" w15:paraIdParent="2C933F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D25E682" w16cex:dateUtc="2026-10-13T14:55:00Z"/>
  <w16cex:commentExtensible w16cex:durableId="1B0131E6" w16cex:dateUtc="2026-10-13T00:55:00Z"/>
  <w16cex:commentExtensible w16cex:durableId="0FAB0F5A" w16cex:dateUtc="2026-10-08T23:18:00Z"/>
  <w16cex:commentExtensible w16cex:durableId="1DF2058E" w16cex:dateUtc="2026-10-18T22:23:00Z"/>
  <w16cex:commentExtensible w16cex:durableId="433C772E" w16cex:dateUtc="2026-08-24T16:14:00Z"/>
  <w16cex:commentExtensible w16cex:durableId="6CDE9C0D" w16cex:dateUtc="2026-10-13T14:55:00Z"/>
  <w16cex:commentExtensible w16cex:durableId="3E335D28" w16cex:dateUtc="2026-10-13T14:36:00Z"/>
  <w16cex:commentExtensible w16cex:durableId="0672E2E7" w16cex:dateUtc="2026-10-13T14:35:00Z"/>
  <w16cex:commentExtensible w16cex:durableId="26DCE6B3" w16cex:dateUtc="2026-10-13T14:54:00Z"/>
  <w16cex:commentExtensible w16cex:durableId="08B6CF11" w16cex:dateUtc="2026-10-13T17:12:00Z"/>
  <w16cex:commentExtensible w16cex:durableId="28A81997" w16cex:dateUtc="2026-10-20T18:12:00Z"/>
  <w16cex:commentExtensible w16cex:durableId="58F88375" w16cex:dateUtc="2026-10-18T22:26:00Z"/>
  <w16cex:commentExtensible w16cex:durableId="059E7BAB" w16cex:dateUtc="2026-10-20T18:12:00Z"/>
  <w16cex:commentExtensible w16cex:durableId="7D1E6C1C" w16cex:dateUtc="2026-10-08T01:50:00Z"/>
  <w16cex:commentExtensible w16cex:durableId="64B885AB" w16cex:dateUtc="2026-10-13T21:20:00Z"/>
  <w16cex:commentExtensible w16cex:durableId="4854A006" w16cex:dateUtc="2026-10-09T19:54:00Z"/>
  <w16cex:commentExtensible w16cex:durableId="2A9C3853" w16cex:dateUtc="2026-10-13T21:21:00Z"/>
  <w16cex:commentExtensible w16cex:durableId="640B0DFF" w16cex:dateUtc="2026-10-19T20:38:00Z"/>
  <w16cex:commentExtensible w16cex:durableId="7AB6C3FD" w16cex:dateUtc="2026-10-20T18:14:00Z"/>
  <w16cex:commentExtensible w16cex:durableId="43C8FFB7" w16cex:dateUtc="2026-10-20T18:15:00Z"/>
  <w16cex:commentExtensible w16cex:durableId="296AA526" w16cex:dateUtc="2026-10-20T18:16:00Z"/>
  <w16cex:commentExtensible w16cex:durableId="5E60E25B" w16cex:dateUtc="2026-10-20T18:17:00Z"/>
  <w16cex:commentExtensible w16cex:durableId="75FA73EC" w16cex:dateUtc="2026-10-20T18:20:00Z"/>
  <w16cex:commentExtensible w16cex:durableId="4EA48AB1" w16cex:dateUtc="2026-10-02T15:19:00Z"/>
  <w16cex:commentExtensible w16cex:durableId="7FB6B3D1" w16cex:dateUtc="2026-10-05T18:10:00Z"/>
  <w16cex:commentExtensible w16cex:durableId="4FB49A17" w16cex:dateUtc="2026-10-02T15:20:00Z"/>
  <w16cex:commentExtensible w16cex:durableId="0AF10FE5" w16cex:dateUtc="2026-10-05T18:10:00Z"/>
  <w16cex:commentExtensible w16cex:durableId="62899C02" w16cex:dateUtc="2026-10-09T19:56:00Z"/>
  <w16cex:commentExtensible w16cex:durableId="1FBB2980" w16cex:dateUtc="2026-10-13T17:14:00Z"/>
  <w16cex:commentExtensible w16cex:durableId="3AD5A128" w16cex:dateUtc="2026-10-20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7EA4AA7" w16cid:durableId="4D25E682"/>
  <w16cid:commentId w16cid:paraId="2C05218E" w16cid:durableId="1B0131E6"/>
  <w16cid:commentId w16cid:paraId="160B58DC" w16cid:durableId="0FAB0F5A"/>
  <w16cid:commentId w16cid:paraId="6264BF57" w16cid:durableId="1DF2058E"/>
  <w16cid:commentId w16cid:paraId="3C4ECC42" w16cid:durableId="433C772E"/>
  <w16cid:commentId w16cid:paraId="790A5CA1" w16cid:durableId="6CDE9C0D"/>
  <w16cid:commentId w16cid:paraId="1D75E148" w16cid:durableId="3E335D28"/>
  <w16cid:commentId w16cid:paraId="63288A86" w16cid:durableId="0672E2E7"/>
  <w16cid:commentId w16cid:paraId="5E177211" w16cid:durableId="26DCE6B3"/>
  <w16cid:commentId w16cid:paraId="37F797A7" w16cid:durableId="08B6CF11"/>
  <w16cid:commentId w16cid:paraId="4C8E87FB" w16cid:durableId="28A81997"/>
  <w16cid:commentId w16cid:paraId="7BE28CCA" w16cid:durableId="58F88375"/>
  <w16cid:commentId w16cid:paraId="0D62F5CF" w16cid:durableId="059E7BAB"/>
  <w16cid:commentId w16cid:paraId="547D4B9C" w16cid:durableId="7D1E6C1C"/>
  <w16cid:commentId w16cid:paraId="6A3B7B0E" w16cid:durableId="64B885AB"/>
  <w16cid:commentId w16cid:paraId="30A58DDD" w16cid:durableId="4854A006"/>
  <w16cid:commentId w16cid:paraId="1EEDDE8C" w16cid:durableId="2A9C3853"/>
  <w16cid:commentId w16cid:paraId="7501EA59" w16cid:durableId="640B0DFF"/>
  <w16cid:commentId w16cid:paraId="3955C83D" w16cid:durableId="7AB6C3FD"/>
  <w16cid:commentId w16cid:paraId="660F4820" w16cid:durableId="43C8FFB7"/>
  <w16cid:commentId w16cid:paraId="7D9908D5" w16cid:durableId="296AA526"/>
  <w16cid:commentId w16cid:paraId="2979334B" w16cid:durableId="5E60E25B"/>
  <w16cid:commentId w16cid:paraId="2B0C8805" w16cid:durableId="75FA73EC"/>
  <w16cid:commentId w16cid:paraId="3231B06A" w16cid:durableId="4EA48AB1"/>
  <w16cid:commentId w16cid:paraId="49761346" w16cid:durableId="7FB6B3D1"/>
  <w16cid:commentId w16cid:paraId="12FED78F" w16cid:durableId="4FB49A17"/>
  <w16cid:commentId w16cid:paraId="361006A4" w16cid:durableId="0AF10FE5"/>
  <w16cid:commentId w16cid:paraId="49D8820A" w16cid:durableId="62899C02"/>
  <w16cid:commentId w16cid:paraId="2C933FB0" w16cid:durableId="1FBB2980"/>
  <w16cid:commentId w16cid:paraId="144E0AEE" w16cid:durableId="3AD5A1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24279D" w14:textId="77777777" w:rsidR="00BF6079" w:rsidRDefault="00BF6079" w:rsidP="00485133">
      <w:r>
        <w:separator/>
      </w:r>
    </w:p>
  </w:endnote>
  <w:endnote w:type="continuationSeparator" w:id="0">
    <w:p w14:paraId="5EDD87FA" w14:textId="77777777" w:rsidR="00BF6079" w:rsidRDefault="00BF6079"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69AA53" w14:textId="77777777" w:rsidR="00BF6079" w:rsidRDefault="00BF6079" w:rsidP="00485133">
      <w:r>
        <w:separator/>
      </w:r>
    </w:p>
  </w:footnote>
  <w:footnote w:type="continuationSeparator" w:id="0">
    <w:p w14:paraId="455A224C" w14:textId="77777777" w:rsidR="00BF6079" w:rsidRDefault="00BF6079" w:rsidP="0048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4DD6F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84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7"/>
  </w:num>
  <w:num w:numId="2" w16cid:durableId="1920164938">
    <w:abstractNumId w:val="2"/>
  </w:num>
  <w:num w:numId="3" w16cid:durableId="2128348">
    <w:abstractNumId w:val="5"/>
  </w:num>
  <w:num w:numId="4" w16cid:durableId="438066328">
    <w:abstractNumId w:val="1"/>
  </w:num>
  <w:num w:numId="5" w16cid:durableId="449131336">
    <w:abstractNumId w:val="4"/>
  </w:num>
  <w:num w:numId="6" w16cid:durableId="607322564">
    <w:abstractNumId w:val="3"/>
  </w:num>
  <w:num w:numId="7" w16cid:durableId="1139496976">
    <w:abstractNumId w:val="0"/>
  </w:num>
  <w:num w:numId="8" w16cid:durableId="18788575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hodes, Justin S">
    <w15:presenceInfo w15:providerId="AD" w15:userId="S::jrhodes@illinois.edu::27bcc96f-859c-4b57-a2a0-7a1e2125262b"/>
  </w15:person>
  <w15:person w15:author="Graham, Gabriel J.">
    <w15:presenceInfo w15:providerId="AD" w15:userId="S::gjg2134@cumc.columbia.edu::d04249e3-dddd-46f1-a69e-ff52b653090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259D"/>
    <w:rsid w:val="0000678A"/>
    <w:rsid w:val="00007CA9"/>
    <w:rsid w:val="00013B2B"/>
    <w:rsid w:val="00013D8B"/>
    <w:rsid w:val="0001401D"/>
    <w:rsid w:val="000160E8"/>
    <w:rsid w:val="0001613D"/>
    <w:rsid w:val="00017C6D"/>
    <w:rsid w:val="00021BBD"/>
    <w:rsid w:val="00021DFB"/>
    <w:rsid w:val="00024751"/>
    <w:rsid w:val="000256B5"/>
    <w:rsid w:val="000260E3"/>
    <w:rsid w:val="00026866"/>
    <w:rsid w:val="00026EE3"/>
    <w:rsid w:val="00027947"/>
    <w:rsid w:val="00031B43"/>
    <w:rsid w:val="00032EC3"/>
    <w:rsid w:val="00036181"/>
    <w:rsid w:val="00036E25"/>
    <w:rsid w:val="00040572"/>
    <w:rsid w:val="00042EF3"/>
    <w:rsid w:val="000471EB"/>
    <w:rsid w:val="00047516"/>
    <w:rsid w:val="00047A9E"/>
    <w:rsid w:val="0005005F"/>
    <w:rsid w:val="00051CD7"/>
    <w:rsid w:val="00052114"/>
    <w:rsid w:val="00053087"/>
    <w:rsid w:val="000532BC"/>
    <w:rsid w:val="00056B81"/>
    <w:rsid w:val="00057566"/>
    <w:rsid w:val="00060A4E"/>
    <w:rsid w:val="00063103"/>
    <w:rsid w:val="00063CC7"/>
    <w:rsid w:val="00064EA0"/>
    <w:rsid w:val="00065EE2"/>
    <w:rsid w:val="000720FC"/>
    <w:rsid w:val="00073A7B"/>
    <w:rsid w:val="000745C4"/>
    <w:rsid w:val="00081B4A"/>
    <w:rsid w:val="00081C22"/>
    <w:rsid w:val="00083E1E"/>
    <w:rsid w:val="00084CB5"/>
    <w:rsid w:val="00085080"/>
    <w:rsid w:val="00085C8E"/>
    <w:rsid w:val="00085EC5"/>
    <w:rsid w:val="0009095F"/>
    <w:rsid w:val="00093DF6"/>
    <w:rsid w:val="00093E8E"/>
    <w:rsid w:val="0009486A"/>
    <w:rsid w:val="00094EA5"/>
    <w:rsid w:val="000A04FB"/>
    <w:rsid w:val="000A129F"/>
    <w:rsid w:val="000A3209"/>
    <w:rsid w:val="000A3941"/>
    <w:rsid w:val="000A694F"/>
    <w:rsid w:val="000A7BB6"/>
    <w:rsid w:val="000B01EA"/>
    <w:rsid w:val="000B2652"/>
    <w:rsid w:val="000B4F36"/>
    <w:rsid w:val="000B7848"/>
    <w:rsid w:val="000C33B0"/>
    <w:rsid w:val="000C5206"/>
    <w:rsid w:val="000C584D"/>
    <w:rsid w:val="000E12FE"/>
    <w:rsid w:val="000E3306"/>
    <w:rsid w:val="000E3F08"/>
    <w:rsid w:val="000E4265"/>
    <w:rsid w:val="000E7AF0"/>
    <w:rsid w:val="000F0BD7"/>
    <w:rsid w:val="000F5120"/>
    <w:rsid w:val="000F5186"/>
    <w:rsid w:val="000F54D0"/>
    <w:rsid w:val="000F67DE"/>
    <w:rsid w:val="001114AD"/>
    <w:rsid w:val="00112078"/>
    <w:rsid w:val="00112B33"/>
    <w:rsid w:val="0011470A"/>
    <w:rsid w:val="00120D6D"/>
    <w:rsid w:val="00120EF9"/>
    <w:rsid w:val="00121609"/>
    <w:rsid w:val="00121AE8"/>
    <w:rsid w:val="001225C7"/>
    <w:rsid w:val="00123917"/>
    <w:rsid w:val="00127676"/>
    <w:rsid w:val="001277A8"/>
    <w:rsid w:val="0013116C"/>
    <w:rsid w:val="0013365A"/>
    <w:rsid w:val="00133953"/>
    <w:rsid w:val="00135D5F"/>
    <w:rsid w:val="00137AED"/>
    <w:rsid w:val="00141C2A"/>
    <w:rsid w:val="00142C03"/>
    <w:rsid w:val="00146E01"/>
    <w:rsid w:val="00152ED0"/>
    <w:rsid w:val="001575EF"/>
    <w:rsid w:val="00161CC6"/>
    <w:rsid w:val="0016224F"/>
    <w:rsid w:val="00166663"/>
    <w:rsid w:val="00167572"/>
    <w:rsid w:val="00170D0A"/>
    <w:rsid w:val="00173A1E"/>
    <w:rsid w:val="00174060"/>
    <w:rsid w:val="00175C20"/>
    <w:rsid w:val="00176DB5"/>
    <w:rsid w:val="001770F5"/>
    <w:rsid w:val="0018081A"/>
    <w:rsid w:val="0018132A"/>
    <w:rsid w:val="00181D2D"/>
    <w:rsid w:val="00181D45"/>
    <w:rsid w:val="001856E9"/>
    <w:rsid w:val="00185E00"/>
    <w:rsid w:val="00190090"/>
    <w:rsid w:val="00193AD3"/>
    <w:rsid w:val="001942D0"/>
    <w:rsid w:val="001960C6"/>
    <w:rsid w:val="00196302"/>
    <w:rsid w:val="0019641B"/>
    <w:rsid w:val="001A15EB"/>
    <w:rsid w:val="001A5C06"/>
    <w:rsid w:val="001A65DE"/>
    <w:rsid w:val="001B0395"/>
    <w:rsid w:val="001B16DE"/>
    <w:rsid w:val="001B7043"/>
    <w:rsid w:val="001C3785"/>
    <w:rsid w:val="001C3D08"/>
    <w:rsid w:val="001C46FB"/>
    <w:rsid w:val="001C4E6C"/>
    <w:rsid w:val="001C6762"/>
    <w:rsid w:val="001C7F1E"/>
    <w:rsid w:val="001D3188"/>
    <w:rsid w:val="001D3AD4"/>
    <w:rsid w:val="001D4EEB"/>
    <w:rsid w:val="001E03AD"/>
    <w:rsid w:val="001E145A"/>
    <w:rsid w:val="001E33C3"/>
    <w:rsid w:val="001E3631"/>
    <w:rsid w:val="001E447B"/>
    <w:rsid w:val="001E59FF"/>
    <w:rsid w:val="001F056C"/>
    <w:rsid w:val="001F1449"/>
    <w:rsid w:val="001F62FB"/>
    <w:rsid w:val="00202D27"/>
    <w:rsid w:val="00202DDC"/>
    <w:rsid w:val="0020355D"/>
    <w:rsid w:val="00204F66"/>
    <w:rsid w:val="002108AE"/>
    <w:rsid w:val="00212FC0"/>
    <w:rsid w:val="0021381B"/>
    <w:rsid w:val="00215E72"/>
    <w:rsid w:val="0023174B"/>
    <w:rsid w:val="0023338A"/>
    <w:rsid w:val="00234ECB"/>
    <w:rsid w:val="00235034"/>
    <w:rsid w:val="0023586C"/>
    <w:rsid w:val="00240ECF"/>
    <w:rsid w:val="00247AA6"/>
    <w:rsid w:val="0025005C"/>
    <w:rsid w:val="00250B02"/>
    <w:rsid w:val="0025138F"/>
    <w:rsid w:val="00256506"/>
    <w:rsid w:val="002613B6"/>
    <w:rsid w:val="002636B9"/>
    <w:rsid w:val="0026403A"/>
    <w:rsid w:val="00264301"/>
    <w:rsid w:val="00264846"/>
    <w:rsid w:val="00264867"/>
    <w:rsid w:val="002661BD"/>
    <w:rsid w:val="0026691F"/>
    <w:rsid w:val="00266E78"/>
    <w:rsid w:val="00267A9B"/>
    <w:rsid w:val="00271E33"/>
    <w:rsid w:val="00276BC3"/>
    <w:rsid w:val="00277514"/>
    <w:rsid w:val="00277795"/>
    <w:rsid w:val="0028234A"/>
    <w:rsid w:val="002839DF"/>
    <w:rsid w:val="0028615F"/>
    <w:rsid w:val="00287262"/>
    <w:rsid w:val="00287C69"/>
    <w:rsid w:val="00290B1A"/>
    <w:rsid w:val="002925D5"/>
    <w:rsid w:val="00294540"/>
    <w:rsid w:val="00294947"/>
    <w:rsid w:val="00294B19"/>
    <w:rsid w:val="00296CF0"/>
    <w:rsid w:val="002A0494"/>
    <w:rsid w:val="002A568F"/>
    <w:rsid w:val="002B52D9"/>
    <w:rsid w:val="002B6B13"/>
    <w:rsid w:val="002C0089"/>
    <w:rsid w:val="002C130D"/>
    <w:rsid w:val="002C292C"/>
    <w:rsid w:val="002C3982"/>
    <w:rsid w:val="002C4026"/>
    <w:rsid w:val="002C63FE"/>
    <w:rsid w:val="002C76BB"/>
    <w:rsid w:val="002C7C6B"/>
    <w:rsid w:val="002D1A1A"/>
    <w:rsid w:val="002D1FFB"/>
    <w:rsid w:val="002D3F77"/>
    <w:rsid w:val="002D4401"/>
    <w:rsid w:val="002D5F81"/>
    <w:rsid w:val="002D6A85"/>
    <w:rsid w:val="002D7F34"/>
    <w:rsid w:val="002E29FC"/>
    <w:rsid w:val="002E7186"/>
    <w:rsid w:val="002F0AE6"/>
    <w:rsid w:val="002F2A67"/>
    <w:rsid w:val="002F5974"/>
    <w:rsid w:val="0030268C"/>
    <w:rsid w:val="00304865"/>
    <w:rsid w:val="00304DDF"/>
    <w:rsid w:val="00306D5A"/>
    <w:rsid w:val="00310DC3"/>
    <w:rsid w:val="003139C8"/>
    <w:rsid w:val="0031506B"/>
    <w:rsid w:val="00315CA8"/>
    <w:rsid w:val="00316A3A"/>
    <w:rsid w:val="00317AC5"/>
    <w:rsid w:val="00321681"/>
    <w:rsid w:val="003218DF"/>
    <w:rsid w:val="003247AC"/>
    <w:rsid w:val="00326DD1"/>
    <w:rsid w:val="003341ED"/>
    <w:rsid w:val="003372A9"/>
    <w:rsid w:val="003405A4"/>
    <w:rsid w:val="00340F8A"/>
    <w:rsid w:val="00344061"/>
    <w:rsid w:val="003440F3"/>
    <w:rsid w:val="0034452B"/>
    <w:rsid w:val="00345212"/>
    <w:rsid w:val="00345CB0"/>
    <w:rsid w:val="00346140"/>
    <w:rsid w:val="003471BC"/>
    <w:rsid w:val="003509A3"/>
    <w:rsid w:val="0035227F"/>
    <w:rsid w:val="00353774"/>
    <w:rsid w:val="0035522B"/>
    <w:rsid w:val="00357350"/>
    <w:rsid w:val="00360180"/>
    <w:rsid w:val="003609C5"/>
    <w:rsid w:val="00360E1D"/>
    <w:rsid w:val="00361EB1"/>
    <w:rsid w:val="003628DE"/>
    <w:rsid w:val="00362C1C"/>
    <w:rsid w:val="00363A7B"/>
    <w:rsid w:val="003645DC"/>
    <w:rsid w:val="00364E61"/>
    <w:rsid w:val="00370690"/>
    <w:rsid w:val="00371CA8"/>
    <w:rsid w:val="003732BC"/>
    <w:rsid w:val="00376C7F"/>
    <w:rsid w:val="00382D0D"/>
    <w:rsid w:val="00382FC9"/>
    <w:rsid w:val="00385EE8"/>
    <w:rsid w:val="003861FB"/>
    <w:rsid w:val="00392151"/>
    <w:rsid w:val="00393C5E"/>
    <w:rsid w:val="00395B26"/>
    <w:rsid w:val="00395F94"/>
    <w:rsid w:val="003964CD"/>
    <w:rsid w:val="003969AE"/>
    <w:rsid w:val="003979F8"/>
    <w:rsid w:val="003A2C4D"/>
    <w:rsid w:val="003A38D8"/>
    <w:rsid w:val="003A3E1A"/>
    <w:rsid w:val="003A491B"/>
    <w:rsid w:val="003A55B1"/>
    <w:rsid w:val="003B11D7"/>
    <w:rsid w:val="003B67E0"/>
    <w:rsid w:val="003B69C0"/>
    <w:rsid w:val="003C0375"/>
    <w:rsid w:val="003C61F2"/>
    <w:rsid w:val="003C65F0"/>
    <w:rsid w:val="003C6D7C"/>
    <w:rsid w:val="003D37DF"/>
    <w:rsid w:val="003D6751"/>
    <w:rsid w:val="003E4206"/>
    <w:rsid w:val="003E4DDF"/>
    <w:rsid w:val="003E76A2"/>
    <w:rsid w:val="003E7C41"/>
    <w:rsid w:val="003F13DB"/>
    <w:rsid w:val="003F230C"/>
    <w:rsid w:val="003F3C8F"/>
    <w:rsid w:val="003F42C7"/>
    <w:rsid w:val="003F53CC"/>
    <w:rsid w:val="003F6938"/>
    <w:rsid w:val="003F6DE9"/>
    <w:rsid w:val="0040232C"/>
    <w:rsid w:val="00412F78"/>
    <w:rsid w:val="004136AC"/>
    <w:rsid w:val="00414B4E"/>
    <w:rsid w:val="00415AF2"/>
    <w:rsid w:val="00422C46"/>
    <w:rsid w:val="00423023"/>
    <w:rsid w:val="00423BD8"/>
    <w:rsid w:val="00433010"/>
    <w:rsid w:val="0043315D"/>
    <w:rsid w:val="00433BD8"/>
    <w:rsid w:val="004340FC"/>
    <w:rsid w:val="00437591"/>
    <w:rsid w:val="00440AC4"/>
    <w:rsid w:val="004428A4"/>
    <w:rsid w:val="00445981"/>
    <w:rsid w:val="00446156"/>
    <w:rsid w:val="00455420"/>
    <w:rsid w:val="004554AD"/>
    <w:rsid w:val="00461386"/>
    <w:rsid w:val="00461D0A"/>
    <w:rsid w:val="004634AC"/>
    <w:rsid w:val="004648F4"/>
    <w:rsid w:val="0046592A"/>
    <w:rsid w:val="00466473"/>
    <w:rsid w:val="00467056"/>
    <w:rsid w:val="004671DB"/>
    <w:rsid w:val="00467A00"/>
    <w:rsid w:val="00471523"/>
    <w:rsid w:val="00471DCC"/>
    <w:rsid w:val="004741B8"/>
    <w:rsid w:val="0048000D"/>
    <w:rsid w:val="004816FA"/>
    <w:rsid w:val="004828F1"/>
    <w:rsid w:val="00484C13"/>
    <w:rsid w:val="00485133"/>
    <w:rsid w:val="00485DB7"/>
    <w:rsid w:val="00486CB8"/>
    <w:rsid w:val="004878FE"/>
    <w:rsid w:val="00491F69"/>
    <w:rsid w:val="00494DCD"/>
    <w:rsid w:val="004958FF"/>
    <w:rsid w:val="004A2114"/>
    <w:rsid w:val="004A27C9"/>
    <w:rsid w:val="004A2F02"/>
    <w:rsid w:val="004A7A7C"/>
    <w:rsid w:val="004B14B0"/>
    <w:rsid w:val="004B219E"/>
    <w:rsid w:val="004B30CE"/>
    <w:rsid w:val="004B376B"/>
    <w:rsid w:val="004B7996"/>
    <w:rsid w:val="004C0ACC"/>
    <w:rsid w:val="004C751B"/>
    <w:rsid w:val="004D00FE"/>
    <w:rsid w:val="004D3B43"/>
    <w:rsid w:val="004D49F9"/>
    <w:rsid w:val="004D60C4"/>
    <w:rsid w:val="004E043A"/>
    <w:rsid w:val="004E2E78"/>
    <w:rsid w:val="004E4E61"/>
    <w:rsid w:val="004F008D"/>
    <w:rsid w:val="004F4BE8"/>
    <w:rsid w:val="004F6DBB"/>
    <w:rsid w:val="00505BEB"/>
    <w:rsid w:val="00512BA9"/>
    <w:rsid w:val="00513C00"/>
    <w:rsid w:val="00514562"/>
    <w:rsid w:val="00515930"/>
    <w:rsid w:val="0051799D"/>
    <w:rsid w:val="00520F12"/>
    <w:rsid w:val="005225B0"/>
    <w:rsid w:val="0052265A"/>
    <w:rsid w:val="00522792"/>
    <w:rsid w:val="005263E4"/>
    <w:rsid w:val="00527BCA"/>
    <w:rsid w:val="00530E82"/>
    <w:rsid w:val="005311A9"/>
    <w:rsid w:val="005339FF"/>
    <w:rsid w:val="00536D5D"/>
    <w:rsid w:val="00540717"/>
    <w:rsid w:val="00543726"/>
    <w:rsid w:val="00543744"/>
    <w:rsid w:val="0054434D"/>
    <w:rsid w:val="00546599"/>
    <w:rsid w:val="0055180A"/>
    <w:rsid w:val="00551E7E"/>
    <w:rsid w:val="00555C7B"/>
    <w:rsid w:val="00555CB5"/>
    <w:rsid w:val="00555E1C"/>
    <w:rsid w:val="00557AEB"/>
    <w:rsid w:val="0057036D"/>
    <w:rsid w:val="00571B44"/>
    <w:rsid w:val="0057324D"/>
    <w:rsid w:val="005739D4"/>
    <w:rsid w:val="00574054"/>
    <w:rsid w:val="005750F7"/>
    <w:rsid w:val="00577390"/>
    <w:rsid w:val="00577575"/>
    <w:rsid w:val="005777FD"/>
    <w:rsid w:val="005779D6"/>
    <w:rsid w:val="005805F7"/>
    <w:rsid w:val="00581F6A"/>
    <w:rsid w:val="00582F40"/>
    <w:rsid w:val="005924E4"/>
    <w:rsid w:val="005930D4"/>
    <w:rsid w:val="0059476D"/>
    <w:rsid w:val="005969A0"/>
    <w:rsid w:val="005A3828"/>
    <w:rsid w:val="005A5266"/>
    <w:rsid w:val="005A5613"/>
    <w:rsid w:val="005A5924"/>
    <w:rsid w:val="005A6CD0"/>
    <w:rsid w:val="005A7B72"/>
    <w:rsid w:val="005B29AC"/>
    <w:rsid w:val="005B3EFA"/>
    <w:rsid w:val="005B6A84"/>
    <w:rsid w:val="005C10F3"/>
    <w:rsid w:val="005C1206"/>
    <w:rsid w:val="005C15E1"/>
    <w:rsid w:val="005C2135"/>
    <w:rsid w:val="005C3963"/>
    <w:rsid w:val="005C41EC"/>
    <w:rsid w:val="005D53D7"/>
    <w:rsid w:val="005D58C0"/>
    <w:rsid w:val="005D608E"/>
    <w:rsid w:val="005E0F93"/>
    <w:rsid w:val="005E11A7"/>
    <w:rsid w:val="005E315B"/>
    <w:rsid w:val="005E352F"/>
    <w:rsid w:val="005E6D3B"/>
    <w:rsid w:val="005F0F41"/>
    <w:rsid w:val="005F1690"/>
    <w:rsid w:val="005F2690"/>
    <w:rsid w:val="005F3162"/>
    <w:rsid w:val="005F3D1A"/>
    <w:rsid w:val="005F5289"/>
    <w:rsid w:val="005F52F0"/>
    <w:rsid w:val="006006B8"/>
    <w:rsid w:val="006044D0"/>
    <w:rsid w:val="00604C38"/>
    <w:rsid w:val="006056B6"/>
    <w:rsid w:val="00606D62"/>
    <w:rsid w:val="006112BF"/>
    <w:rsid w:val="0061407C"/>
    <w:rsid w:val="006145D5"/>
    <w:rsid w:val="006146C0"/>
    <w:rsid w:val="00615890"/>
    <w:rsid w:val="00616AEC"/>
    <w:rsid w:val="006229E7"/>
    <w:rsid w:val="006237C8"/>
    <w:rsid w:val="00623BE2"/>
    <w:rsid w:val="00624645"/>
    <w:rsid w:val="00624B3D"/>
    <w:rsid w:val="00624FDC"/>
    <w:rsid w:val="00632C04"/>
    <w:rsid w:val="0063462A"/>
    <w:rsid w:val="006352E1"/>
    <w:rsid w:val="006363E5"/>
    <w:rsid w:val="006365CB"/>
    <w:rsid w:val="00636965"/>
    <w:rsid w:val="00636B11"/>
    <w:rsid w:val="006414B3"/>
    <w:rsid w:val="00641B20"/>
    <w:rsid w:val="006424C0"/>
    <w:rsid w:val="00643A53"/>
    <w:rsid w:val="00646584"/>
    <w:rsid w:val="006468B0"/>
    <w:rsid w:val="00646BA7"/>
    <w:rsid w:val="00647315"/>
    <w:rsid w:val="00653426"/>
    <w:rsid w:val="006537FF"/>
    <w:rsid w:val="00653835"/>
    <w:rsid w:val="00662040"/>
    <w:rsid w:val="00662CDC"/>
    <w:rsid w:val="00663046"/>
    <w:rsid w:val="00663761"/>
    <w:rsid w:val="006648A8"/>
    <w:rsid w:val="0066495D"/>
    <w:rsid w:val="00664EF3"/>
    <w:rsid w:val="00665C44"/>
    <w:rsid w:val="00666EF2"/>
    <w:rsid w:val="00671CA5"/>
    <w:rsid w:val="006728FC"/>
    <w:rsid w:val="00675A71"/>
    <w:rsid w:val="0067618D"/>
    <w:rsid w:val="00676B87"/>
    <w:rsid w:val="0068006A"/>
    <w:rsid w:val="00680E5C"/>
    <w:rsid w:val="00681942"/>
    <w:rsid w:val="0068232A"/>
    <w:rsid w:val="006841D9"/>
    <w:rsid w:val="00685644"/>
    <w:rsid w:val="00685651"/>
    <w:rsid w:val="00686A03"/>
    <w:rsid w:val="00686B22"/>
    <w:rsid w:val="00687AB0"/>
    <w:rsid w:val="00691563"/>
    <w:rsid w:val="006915ED"/>
    <w:rsid w:val="00693770"/>
    <w:rsid w:val="006943DC"/>
    <w:rsid w:val="00694459"/>
    <w:rsid w:val="00695D81"/>
    <w:rsid w:val="006960D4"/>
    <w:rsid w:val="00697079"/>
    <w:rsid w:val="006A3906"/>
    <w:rsid w:val="006A58A0"/>
    <w:rsid w:val="006A58B2"/>
    <w:rsid w:val="006A5E9A"/>
    <w:rsid w:val="006A6964"/>
    <w:rsid w:val="006A74D0"/>
    <w:rsid w:val="006B2C09"/>
    <w:rsid w:val="006B5E2E"/>
    <w:rsid w:val="006C2F07"/>
    <w:rsid w:val="006C4906"/>
    <w:rsid w:val="006C59EE"/>
    <w:rsid w:val="006C603E"/>
    <w:rsid w:val="006C6D1D"/>
    <w:rsid w:val="006D1586"/>
    <w:rsid w:val="006D23BB"/>
    <w:rsid w:val="006D6D4B"/>
    <w:rsid w:val="006E0C84"/>
    <w:rsid w:val="006E17C5"/>
    <w:rsid w:val="006E1E2E"/>
    <w:rsid w:val="006E2FB6"/>
    <w:rsid w:val="006E3D9C"/>
    <w:rsid w:val="006E4B96"/>
    <w:rsid w:val="006E6A73"/>
    <w:rsid w:val="006E6DD9"/>
    <w:rsid w:val="006E711B"/>
    <w:rsid w:val="00704475"/>
    <w:rsid w:val="00706198"/>
    <w:rsid w:val="00706EBA"/>
    <w:rsid w:val="00706FDF"/>
    <w:rsid w:val="007127AF"/>
    <w:rsid w:val="00713BC1"/>
    <w:rsid w:val="00715C76"/>
    <w:rsid w:val="0071780B"/>
    <w:rsid w:val="007207D1"/>
    <w:rsid w:val="00722AF7"/>
    <w:rsid w:val="0072390C"/>
    <w:rsid w:val="00723FEE"/>
    <w:rsid w:val="00725FD3"/>
    <w:rsid w:val="007276EA"/>
    <w:rsid w:val="0072779C"/>
    <w:rsid w:val="00732F54"/>
    <w:rsid w:val="0073643B"/>
    <w:rsid w:val="00736DDD"/>
    <w:rsid w:val="00737F9A"/>
    <w:rsid w:val="007407FC"/>
    <w:rsid w:val="00740D5D"/>
    <w:rsid w:val="00743B20"/>
    <w:rsid w:val="0074463F"/>
    <w:rsid w:val="00747DD7"/>
    <w:rsid w:val="00750B82"/>
    <w:rsid w:val="0075146E"/>
    <w:rsid w:val="00753B93"/>
    <w:rsid w:val="00753C87"/>
    <w:rsid w:val="007558D5"/>
    <w:rsid w:val="0076007E"/>
    <w:rsid w:val="00760B46"/>
    <w:rsid w:val="00765A31"/>
    <w:rsid w:val="00767F95"/>
    <w:rsid w:val="00771E24"/>
    <w:rsid w:val="00772C22"/>
    <w:rsid w:val="00773EB3"/>
    <w:rsid w:val="0077473A"/>
    <w:rsid w:val="007748F6"/>
    <w:rsid w:val="00775FE7"/>
    <w:rsid w:val="0078035B"/>
    <w:rsid w:val="007810B8"/>
    <w:rsid w:val="00781F06"/>
    <w:rsid w:val="00794BD9"/>
    <w:rsid w:val="00795D6D"/>
    <w:rsid w:val="00796469"/>
    <w:rsid w:val="007A682B"/>
    <w:rsid w:val="007A7762"/>
    <w:rsid w:val="007B28CF"/>
    <w:rsid w:val="007B3AC0"/>
    <w:rsid w:val="007B5324"/>
    <w:rsid w:val="007D0AAA"/>
    <w:rsid w:val="007D232F"/>
    <w:rsid w:val="007D381D"/>
    <w:rsid w:val="007D4E1D"/>
    <w:rsid w:val="007E0ACD"/>
    <w:rsid w:val="007E445A"/>
    <w:rsid w:val="007E46B8"/>
    <w:rsid w:val="007E5738"/>
    <w:rsid w:val="007E5E79"/>
    <w:rsid w:val="007E61AC"/>
    <w:rsid w:val="007E72A3"/>
    <w:rsid w:val="007F07B7"/>
    <w:rsid w:val="007F2078"/>
    <w:rsid w:val="007F445F"/>
    <w:rsid w:val="007F73C2"/>
    <w:rsid w:val="007F7B85"/>
    <w:rsid w:val="0080702E"/>
    <w:rsid w:val="008073F9"/>
    <w:rsid w:val="00810536"/>
    <w:rsid w:val="00810A40"/>
    <w:rsid w:val="0081143E"/>
    <w:rsid w:val="008127F8"/>
    <w:rsid w:val="00815DA7"/>
    <w:rsid w:val="00817393"/>
    <w:rsid w:val="008219FB"/>
    <w:rsid w:val="008252DF"/>
    <w:rsid w:val="00825820"/>
    <w:rsid w:val="00830BD3"/>
    <w:rsid w:val="0083537C"/>
    <w:rsid w:val="0083565B"/>
    <w:rsid w:val="008376D2"/>
    <w:rsid w:val="00837E4E"/>
    <w:rsid w:val="00847A45"/>
    <w:rsid w:val="00852AB4"/>
    <w:rsid w:val="00853F0F"/>
    <w:rsid w:val="008544F0"/>
    <w:rsid w:val="00856E2A"/>
    <w:rsid w:val="00860220"/>
    <w:rsid w:val="00861E9A"/>
    <w:rsid w:val="00871B4A"/>
    <w:rsid w:val="00871D0A"/>
    <w:rsid w:val="00873441"/>
    <w:rsid w:val="008751EA"/>
    <w:rsid w:val="0087743C"/>
    <w:rsid w:val="00882F08"/>
    <w:rsid w:val="00883078"/>
    <w:rsid w:val="008847F6"/>
    <w:rsid w:val="008A06AB"/>
    <w:rsid w:val="008A4446"/>
    <w:rsid w:val="008A7784"/>
    <w:rsid w:val="008C1A15"/>
    <w:rsid w:val="008C397B"/>
    <w:rsid w:val="008C3B03"/>
    <w:rsid w:val="008C3E81"/>
    <w:rsid w:val="008C5902"/>
    <w:rsid w:val="008C6120"/>
    <w:rsid w:val="008C6AF5"/>
    <w:rsid w:val="008C795A"/>
    <w:rsid w:val="008D0F6D"/>
    <w:rsid w:val="008D37D7"/>
    <w:rsid w:val="008D40AE"/>
    <w:rsid w:val="008D4159"/>
    <w:rsid w:val="008D4815"/>
    <w:rsid w:val="008D78EA"/>
    <w:rsid w:val="008D7F0E"/>
    <w:rsid w:val="008E2FAC"/>
    <w:rsid w:val="008E5C00"/>
    <w:rsid w:val="008E5D07"/>
    <w:rsid w:val="008E6884"/>
    <w:rsid w:val="008F02EC"/>
    <w:rsid w:val="008F17DE"/>
    <w:rsid w:val="008F18CE"/>
    <w:rsid w:val="008F2643"/>
    <w:rsid w:val="008F54E9"/>
    <w:rsid w:val="008F5F53"/>
    <w:rsid w:val="008F7A2F"/>
    <w:rsid w:val="009021B3"/>
    <w:rsid w:val="009076FF"/>
    <w:rsid w:val="0090798C"/>
    <w:rsid w:val="009100F9"/>
    <w:rsid w:val="00910508"/>
    <w:rsid w:val="00910DBE"/>
    <w:rsid w:val="009112E5"/>
    <w:rsid w:val="00913D54"/>
    <w:rsid w:val="00915B2F"/>
    <w:rsid w:val="009208CE"/>
    <w:rsid w:val="00921877"/>
    <w:rsid w:val="00921CD4"/>
    <w:rsid w:val="00922B58"/>
    <w:rsid w:val="00922C5D"/>
    <w:rsid w:val="009244C4"/>
    <w:rsid w:val="0092464E"/>
    <w:rsid w:val="00933230"/>
    <w:rsid w:val="00935218"/>
    <w:rsid w:val="00935F98"/>
    <w:rsid w:val="00936738"/>
    <w:rsid w:val="00940122"/>
    <w:rsid w:val="009402D1"/>
    <w:rsid w:val="00940846"/>
    <w:rsid w:val="00940979"/>
    <w:rsid w:val="0094374A"/>
    <w:rsid w:val="00943A57"/>
    <w:rsid w:val="00946194"/>
    <w:rsid w:val="009527A3"/>
    <w:rsid w:val="0095315E"/>
    <w:rsid w:val="0095372E"/>
    <w:rsid w:val="009539CB"/>
    <w:rsid w:val="009539CC"/>
    <w:rsid w:val="00953BF7"/>
    <w:rsid w:val="00954328"/>
    <w:rsid w:val="00960B36"/>
    <w:rsid w:val="009613F6"/>
    <w:rsid w:val="009638F7"/>
    <w:rsid w:val="00970814"/>
    <w:rsid w:val="009724E6"/>
    <w:rsid w:val="0097327E"/>
    <w:rsid w:val="009737B1"/>
    <w:rsid w:val="0097409C"/>
    <w:rsid w:val="00976804"/>
    <w:rsid w:val="00977985"/>
    <w:rsid w:val="009811C6"/>
    <w:rsid w:val="00981F27"/>
    <w:rsid w:val="00985AED"/>
    <w:rsid w:val="00991F18"/>
    <w:rsid w:val="00993703"/>
    <w:rsid w:val="00997370"/>
    <w:rsid w:val="00997F7F"/>
    <w:rsid w:val="009A359B"/>
    <w:rsid w:val="009B0FE5"/>
    <w:rsid w:val="009B4AA7"/>
    <w:rsid w:val="009B4B26"/>
    <w:rsid w:val="009B7419"/>
    <w:rsid w:val="009B745B"/>
    <w:rsid w:val="009C1A9D"/>
    <w:rsid w:val="009C1C7A"/>
    <w:rsid w:val="009C36A2"/>
    <w:rsid w:val="009C5659"/>
    <w:rsid w:val="009D1420"/>
    <w:rsid w:val="009D2526"/>
    <w:rsid w:val="009D42E4"/>
    <w:rsid w:val="009D66E3"/>
    <w:rsid w:val="009D76F1"/>
    <w:rsid w:val="009E0925"/>
    <w:rsid w:val="009E152A"/>
    <w:rsid w:val="009E3FD8"/>
    <w:rsid w:val="009E49E6"/>
    <w:rsid w:val="009E60BC"/>
    <w:rsid w:val="009F25AA"/>
    <w:rsid w:val="009F4952"/>
    <w:rsid w:val="00A0049F"/>
    <w:rsid w:val="00A04A52"/>
    <w:rsid w:val="00A13AF8"/>
    <w:rsid w:val="00A15165"/>
    <w:rsid w:val="00A23928"/>
    <w:rsid w:val="00A26A09"/>
    <w:rsid w:val="00A31F21"/>
    <w:rsid w:val="00A335BB"/>
    <w:rsid w:val="00A367F6"/>
    <w:rsid w:val="00A5211F"/>
    <w:rsid w:val="00A548FB"/>
    <w:rsid w:val="00A549A6"/>
    <w:rsid w:val="00A56AAE"/>
    <w:rsid w:val="00A571E1"/>
    <w:rsid w:val="00A60423"/>
    <w:rsid w:val="00A60E15"/>
    <w:rsid w:val="00A62EB2"/>
    <w:rsid w:val="00A66F6A"/>
    <w:rsid w:val="00A674E9"/>
    <w:rsid w:val="00A7398D"/>
    <w:rsid w:val="00A73A92"/>
    <w:rsid w:val="00A7700A"/>
    <w:rsid w:val="00A802D8"/>
    <w:rsid w:val="00A836DA"/>
    <w:rsid w:val="00A84C82"/>
    <w:rsid w:val="00A85F90"/>
    <w:rsid w:val="00A90752"/>
    <w:rsid w:val="00A925D6"/>
    <w:rsid w:val="00A9403F"/>
    <w:rsid w:val="00A967A5"/>
    <w:rsid w:val="00A974E0"/>
    <w:rsid w:val="00AA2D9D"/>
    <w:rsid w:val="00AA6439"/>
    <w:rsid w:val="00AB18FA"/>
    <w:rsid w:val="00AB19C0"/>
    <w:rsid w:val="00AB2D47"/>
    <w:rsid w:val="00AB52C8"/>
    <w:rsid w:val="00AB5925"/>
    <w:rsid w:val="00AC133B"/>
    <w:rsid w:val="00AC233A"/>
    <w:rsid w:val="00AC4828"/>
    <w:rsid w:val="00AC52FC"/>
    <w:rsid w:val="00AE0676"/>
    <w:rsid w:val="00AE103B"/>
    <w:rsid w:val="00AE13A1"/>
    <w:rsid w:val="00AE16ED"/>
    <w:rsid w:val="00AE1E99"/>
    <w:rsid w:val="00AF03D5"/>
    <w:rsid w:val="00AF0BB8"/>
    <w:rsid w:val="00AF1966"/>
    <w:rsid w:val="00B01C34"/>
    <w:rsid w:val="00B01EFF"/>
    <w:rsid w:val="00B04808"/>
    <w:rsid w:val="00B07A8D"/>
    <w:rsid w:val="00B117D6"/>
    <w:rsid w:val="00B13A2F"/>
    <w:rsid w:val="00B169CA"/>
    <w:rsid w:val="00B16A1B"/>
    <w:rsid w:val="00B16F07"/>
    <w:rsid w:val="00B20310"/>
    <w:rsid w:val="00B24ECA"/>
    <w:rsid w:val="00B25474"/>
    <w:rsid w:val="00B267E5"/>
    <w:rsid w:val="00B26804"/>
    <w:rsid w:val="00B27562"/>
    <w:rsid w:val="00B278B6"/>
    <w:rsid w:val="00B32107"/>
    <w:rsid w:val="00B32C93"/>
    <w:rsid w:val="00B3326D"/>
    <w:rsid w:val="00B36C6C"/>
    <w:rsid w:val="00B3738B"/>
    <w:rsid w:val="00B37FE2"/>
    <w:rsid w:val="00B5051C"/>
    <w:rsid w:val="00B505C6"/>
    <w:rsid w:val="00B56453"/>
    <w:rsid w:val="00B56E4A"/>
    <w:rsid w:val="00B57062"/>
    <w:rsid w:val="00B57B95"/>
    <w:rsid w:val="00B6161D"/>
    <w:rsid w:val="00B63B31"/>
    <w:rsid w:val="00B66BE2"/>
    <w:rsid w:val="00B66FAB"/>
    <w:rsid w:val="00B677E1"/>
    <w:rsid w:val="00B67DA7"/>
    <w:rsid w:val="00B70931"/>
    <w:rsid w:val="00B73602"/>
    <w:rsid w:val="00B73E7A"/>
    <w:rsid w:val="00B746A3"/>
    <w:rsid w:val="00B747A1"/>
    <w:rsid w:val="00B75C16"/>
    <w:rsid w:val="00B75E22"/>
    <w:rsid w:val="00B764DB"/>
    <w:rsid w:val="00B802CF"/>
    <w:rsid w:val="00B80674"/>
    <w:rsid w:val="00B84D5C"/>
    <w:rsid w:val="00B85D20"/>
    <w:rsid w:val="00B91E4A"/>
    <w:rsid w:val="00B931D9"/>
    <w:rsid w:val="00B944A6"/>
    <w:rsid w:val="00B965EE"/>
    <w:rsid w:val="00B96A83"/>
    <w:rsid w:val="00BA05D3"/>
    <w:rsid w:val="00BA21DD"/>
    <w:rsid w:val="00BA436F"/>
    <w:rsid w:val="00BA4CCE"/>
    <w:rsid w:val="00BA565C"/>
    <w:rsid w:val="00BA77E1"/>
    <w:rsid w:val="00BB1803"/>
    <w:rsid w:val="00BB1D69"/>
    <w:rsid w:val="00BB3ACB"/>
    <w:rsid w:val="00BB3BC8"/>
    <w:rsid w:val="00BB5B02"/>
    <w:rsid w:val="00BB7A98"/>
    <w:rsid w:val="00BC05E8"/>
    <w:rsid w:val="00BC1A9E"/>
    <w:rsid w:val="00BD29CF"/>
    <w:rsid w:val="00BD3704"/>
    <w:rsid w:val="00BD3B17"/>
    <w:rsid w:val="00BE0608"/>
    <w:rsid w:val="00BE15FE"/>
    <w:rsid w:val="00BE2E09"/>
    <w:rsid w:val="00BE39A3"/>
    <w:rsid w:val="00BE3ABD"/>
    <w:rsid w:val="00BE4FE1"/>
    <w:rsid w:val="00BE65FB"/>
    <w:rsid w:val="00BF1E03"/>
    <w:rsid w:val="00BF1F55"/>
    <w:rsid w:val="00BF6079"/>
    <w:rsid w:val="00BF6921"/>
    <w:rsid w:val="00C02425"/>
    <w:rsid w:val="00C024DD"/>
    <w:rsid w:val="00C02633"/>
    <w:rsid w:val="00C05010"/>
    <w:rsid w:val="00C0534F"/>
    <w:rsid w:val="00C054BD"/>
    <w:rsid w:val="00C108FB"/>
    <w:rsid w:val="00C10A2B"/>
    <w:rsid w:val="00C14968"/>
    <w:rsid w:val="00C14CF5"/>
    <w:rsid w:val="00C15ED9"/>
    <w:rsid w:val="00C16BE9"/>
    <w:rsid w:val="00C223B0"/>
    <w:rsid w:val="00C27653"/>
    <w:rsid w:val="00C2794B"/>
    <w:rsid w:val="00C32F02"/>
    <w:rsid w:val="00C334F5"/>
    <w:rsid w:val="00C40753"/>
    <w:rsid w:val="00C4164E"/>
    <w:rsid w:val="00C448A3"/>
    <w:rsid w:val="00C51A54"/>
    <w:rsid w:val="00C538DF"/>
    <w:rsid w:val="00C551F6"/>
    <w:rsid w:val="00C56EB9"/>
    <w:rsid w:val="00C613B5"/>
    <w:rsid w:val="00C61BB7"/>
    <w:rsid w:val="00C6492A"/>
    <w:rsid w:val="00C65318"/>
    <w:rsid w:val="00C67500"/>
    <w:rsid w:val="00C67DB8"/>
    <w:rsid w:val="00C72D9E"/>
    <w:rsid w:val="00C7398C"/>
    <w:rsid w:val="00C742E7"/>
    <w:rsid w:val="00C743E6"/>
    <w:rsid w:val="00C76F28"/>
    <w:rsid w:val="00C77AD7"/>
    <w:rsid w:val="00C800B2"/>
    <w:rsid w:val="00C80CBA"/>
    <w:rsid w:val="00C82188"/>
    <w:rsid w:val="00C84A09"/>
    <w:rsid w:val="00C84A93"/>
    <w:rsid w:val="00C864D6"/>
    <w:rsid w:val="00C8659C"/>
    <w:rsid w:val="00C869E2"/>
    <w:rsid w:val="00C9120C"/>
    <w:rsid w:val="00C91E74"/>
    <w:rsid w:val="00C93467"/>
    <w:rsid w:val="00C93560"/>
    <w:rsid w:val="00C94021"/>
    <w:rsid w:val="00C951A0"/>
    <w:rsid w:val="00C96FF7"/>
    <w:rsid w:val="00C97163"/>
    <w:rsid w:val="00C97676"/>
    <w:rsid w:val="00CA1D55"/>
    <w:rsid w:val="00CB26A9"/>
    <w:rsid w:val="00CB3966"/>
    <w:rsid w:val="00CB445F"/>
    <w:rsid w:val="00CC0144"/>
    <w:rsid w:val="00CC01A0"/>
    <w:rsid w:val="00CC0E7C"/>
    <w:rsid w:val="00CC4CF3"/>
    <w:rsid w:val="00CC6736"/>
    <w:rsid w:val="00CD0D94"/>
    <w:rsid w:val="00CD2B72"/>
    <w:rsid w:val="00CD494C"/>
    <w:rsid w:val="00CD54AF"/>
    <w:rsid w:val="00CD7E4F"/>
    <w:rsid w:val="00CE26B5"/>
    <w:rsid w:val="00CE3295"/>
    <w:rsid w:val="00CE482C"/>
    <w:rsid w:val="00CE51AB"/>
    <w:rsid w:val="00CE5A22"/>
    <w:rsid w:val="00CF0966"/>
    <w:rsid w:val="00CF0C60"/>
    <w:rsid w:val="00CF23C8"/>
    <w:rsid w:val="00CF4436"/>
    <w:rsid w:val="00CF496A"/>
    <w:rsid w:val="00CF51E5"/>
    <w:rsid w:val="00CF7C9C"/>
    <w:rsid w:val="00CF7C9D"/>
    <w:rsid w:val="00D017AF"/>
    <w:rsid w:val="00D01C4C"/>
    <w:rsid w:val="00D047AE"/>
    <w:rsid w:val="00D04814"/>
    <w:rsid w:val="00D105E1"/>
    <w:rsid w:val="00D13757"/>
    <w:rsid w:val="00D14500"/>
    <w:rsid w:val="00D14B33"/>
    <w:rsid w:val="00D15EB5"/>
    <w:rsid w:val="00D1686A"/>
    <w:rsid w:val="00D202B5"/>
    <w:rsid w:val="00D2074E"/>
    <w:rsid w:val="00D20926"/>
    <w:rsid w:val="00D20A6D"/>
    <w:rsid w:val="00D22E45"/>
    <w:rsid w:val="00D231FF"/>
    <w:rsid w:val="00D24F7D"/>
    <w:rsid w:val="00D24FC1"/>
    <w:rsid w:val="00D31A85"/>
    <w:rsid w:val="00D33ED4"/>
    <w:rsid w:val="00D36ACC"/>
    <w:rsid w:val="00D3765E"/>
    <w:rsid w:val="00D4017F"/>
    <w:rsid w:val="00D44132"/>
    <w:rsid w:val="00D533BF"/>
    <w:rsid w:val="00D606A6"/>
    <w:rsid w:val="00D606D4"/>
    <w:rsid w:val="00D62361"/>
    <w:rsid w:val="00D62C93"/>
    <w:rsid w:val="00D660FA"/>
    <w:rsid w:val="00D666C6"/>
    <w:rsid w:val="00D66DFA"/>
    <w:rsid w:val="00D6765B"/>
    <w:rsid w:val="00D70532"/>
    <w:rsid w:val="00D7250E"/>
    <w:rsid w:val="00D737B1"/>
    <w:rsid w:val="00D73BFC"/>
    <w:rsid w:val="00D75AD5"/>
    <w:rsid w:val="00D76C01"/>
    <w:rsid w:val="00D770B1"/>
    <w:rsid w:val="00D804D0"/>
    <w:rsid w:val="00D808E4"/>
    <w:rsid w:val="00D847BA"/>
    <w:rsid w:val="00D96386"/>
    <w:rsid w:val="00DA1F8D"/>
    <w:rsid w:val="00DA43AA"/>
    <w:rsid w:val="00DA454B"/>
    <w:rsid w:val="00DB34A4"/>
    <w:rsid w:val="00DB4306"/>
    <w:rsid w:val="00DB6277"/>
    <w:rsid w:val="00DC133F"/>
    <w:rsid w:val="00DC13FD"/>
    <w:rsid w:val="00DC2DA9"/>
    <w:rsid w:val="00DC30C8"/>
    <w:rsid w:val="00DC329C"/>
    <w:rsid w:val="00DC3495"/>
    <w:rsid w:val="00DC551E"/>
    <w:rsid w:val="00DD2C55"/>
    <w:rsid w:val="00DD445A"/>
    <w:rsid w:val="00DD5AF2"/>
    <w:rsid w:val="00DD6424"/>
    <w:rsid w:val="00DD66E0"/>
    <w:rsid w:val="00DE0B50"/>
    <w:rsid w:val="00DE38F9"/>
    <w:rsid w:val="00DE5581"/>
    <w:rsid w:val="00DE6435"/>
    <w:rsid w:val="00DF0001"/>
    <w:rsid w:val="00DF78E6"/>
    <w:rsid w:val="00E019AF"/>
    <w:rsid w:val="00E01B46"/>
    <w:rsid w:val="00E01DA9"/>
    <w:rsid w:val="00E046C6"/>
    <w:rsid w:val="00E04B65"/>
    <w:rsid w:val="00E051B3"/>
    <w:rsid w:val="00E06DBA"/>
    <w:rsid w:val="00E074EF"/>
    <w:rsid w:val="00E077D8"/>
    <w:rsid w:val="00E079A0"/>
    <w:rsid w:val="00E079F4"/>
    <w:rsid w:val="00E10162"/>
    <w:rsid w:val="00E10872"/>
    <w:rsid w:val="00E1149A"/>
    <w:rsid w:val="00E12101"/>
    <w:rsid w:val="00E1687F"/>
    <w:rsid w:val="00E16D82"/>
    <w:rsid w:val="00E16FFA"/>
    <w:rsid w:val="00E2315F"/>
    <w:rsid w:val="00E24CD5"/>
    <w:rsid w:val="00E2702B"/>
    <w:rsid w:val="00E2709A"/>
    <w:rsid w:val="00E31021"/>
    <w:rsid w:val="00E318E3"/>
    <w:rsid w:val="00E34A71"/>
    <w:rsid w:val="00E413D0"/>
    <w:rsid w:val="00E4476A"/>
    <w:rsid w:val="00E44871"/>
    <w:rsid w:val="00E44D1F"/>
    <w:rsid w:val="00E46755"/>
    <w:rsid w:val="00E471D6"/>
    <w:rsid w:val="00E50DD5"/>
    <w:rsid w:val="00E53DE5"/>
    <w:rsid w:val="00E540CF"/>
    <w:rsid w:val="00E5529F"/>
    <w:rsid w:val="00E55315"/>
    <w:rsid w:val="00E57312"/>
    <w:rsid w:val="00E654EB"/>
    <w:rsid w:val="00E71265"/>
    <w:rsid w:val="00E71627"/>
    <w:rsid w:val="00E71A84"/>
    <w:rsid w:val="00E74112"/>
    <w:rsid w:val="00E75029"/>
    <w:rsid w:val="00E76D4D"/>
    <w:rsid w:val="00E8320A"/>
    <w:rsid w:val="00E84409"/>
    <w:rsid w:val="00E939CE"/>
    <w:rsid w:val="00EA408F"/>
    <w:rsid w:val="00EA5C51"/>
    <w:rsid w:val="00EA726B"/>
    <w:rsid w:val="00EA7B09"/>
    <w:rsid w:val="00EB0F9F"/>
    <w:rsid w:val="00EB403D"/>
    <w:rsid w:val="00EB4946"/>
    <w:rsid w:val="00EB6456"/>
    <w:rsid w:val="00EB67D3"/>
    <w:rsid w:val="00EC4DDB"/>
    <w:rsid w:val="00EC6730"/>
    <w:rsid w:val="00ED0A94"/>
    <w:rsid w:val="00ED189D"/>
    <w:rsid w:val="00ED5593"/>
    <w:rsid w:val="00EE0CC4"/>
    <w:rsid w:val="00EE2CF7"/>
    <w:rsid w:val="00EE418C"/>
    <w:rsid w:val="00EE6FAB"/>
    <w:rsid w:val="00EE797F"/>
    <w:rsid w:val="00EF2E87"/>
    <w:rsid w:val="00EF66D2"/>
    <w:rsid w:val="00EF68F9"/>
    <w:rsid w:val="00F0028A"/>
    <w:rsid w:val="00F00CD3"/>
    <w:rsid w:val="00F02AF1"/>
    <w:rsid w:val="00F1566A"/>
    <w:rsid w:val="00F17056"/>
    <w:rsid w:val="00F20567"/>
    <w:rsid w:val="00F2184E"/>
    <w:rsid w:val="00F25B9C"/>
    <w:rsid w:val="00F25BED"/>
    <w:rsid w:val="00F25DEB"/>
    <w:rsid w:val="00F27886"/>
    <w:rsid w:val="00F3162F"/>
    <w:rsid w:val="00F32437"/>
    <w:rsid w:val="00F339F4"/>
    <w:rsid w:val="00F354FD"/>
    <w:rsid w:val="00F35B6E"/>
    <w:rsid w:val="00F35F42"/>
    <w:rsid w:val="00F3627F"/>
    <w:rsid w:val="00F3752B"/>
    <w:rsid w:val="00F40EEE"/>
    <w:rsid w:val="00F41A9D"/>
    <w:rsid w:val="00F457F3"/>
    <w:rsid w:val="00F53B62"/>
    <w:rsid w:val="00F54267"/>
    <w:rsid w:val="00F54B25"/>
    <w:rsid w:val="00F61EA0"/>
    <w:rsid w:val="00F653BE"/>
    <w:rsid w:val="00F65F7E"/>
    <w:rsid w:val="00F6638C"/>
    <w:rsid w:val="00F70850"/>
    <w:rsid w:val="00F70959"/>
    <w:rsid w:val="00F71408"/>
    <w:rsid w:val="00F7225B"/>
    <w:rsid w:val="00F818EB"/>
    <w:rsid w:val="00F84539"/>
    <w:rsid w:val="00F87F11"/>
    <w:rsid w:val="00F90DC5"/>
    <w:rsid w:val="00F9175F"/>
    <w:rsid w:val="00F92B50"/>
    <w:rsid w:val="00F94CDE"/>
    <w:rsid w:val="00FA0DC8"/>
    <w:rsid w:val="00FA2712"/>
    <w:rsid w:val="00FA51D0"/>
    <w:rsid w:val="00FA5D9F"/>
    <w:rsid w:val="00FA6478"/>
    <w:rsid w:val="00FA7CDB"/>
    <w:rsid w:val="00FB021F"/>
    <w:rsid w:val="00FB0418"/>
    <w:rsid w:val="00FB08DE"/>
    <w:rsid w:val="00FB20A3"/>
    <w:rsid w:val="00FB32CF"/>
    <w:rsid w:val="00FB4938"/>
    <w:rsid w:val="00FC0AE9"/>
    <w:rsid w:val="00FC1908"/>
    <w:rsid w:val="00FC2262"/>
    <w:rsid w:val="00FC4A4D"/>
    <w:rsid w:val="00FC57CB"/>
    <w:rsid w:val="00FC5F35"/>
    <w:rsid w:val="00FC7527"/>
    <w:rsid w:val="00FC7B0D"/>
    <w:rsid w:val="00FD0053"/>
    <w:rsid w:val="00FD16BF"/>
    <w:rsid w:val="00FD437F"/>
    <w:rsid w:val="00FD4A26"/>
    <w:rsid w:val="00FD5498"/>
    <w:rsid w:val="00FE4DCE"/>
    <w:rsid w:val="00FE6B86"/>
    <w:rsid w:val="00FF1F55"/>
    <w:rsid w:val="00FF53C2"/>
    <w:rsid w:val="00FF577F"/>
    <w:rsid w:val="00FF6E5D"/>
    <w:rsid w:val="00FF75EB"/>
    <w:rsid w:val="00FF77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46E"/>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 w:type="paragraph" w:styleId="Revision">
    <w:name w:val="Revision"/>
    <w:hidden/>
    <w:uiPriority w:val="99"/>
    <w:semiHidden/>
    <w:rsid w:val="003218DF"/>
  </w:style>
  <w:style w:type="paragraph" w:customStyle="1" w:styleId="Default">
    <w:name w:val="Default"/>
    <w:rsid w:val="00771E24"/>
    <w:pPr>
      <w:autoSpaceDE w:val="0"/>
      <w:autoSpaceDN w:val="0"/>
      <w:adjustRightInd w:val="0"/>
    </w:pPr>
    <w:rPr>
      <w:rFonts w:cs="Times New Roman"/>
      <w:color w:val="000000"/>
      <w:kern w:val="0"/>
      <w:szCs w:val="24"/>
    </w:rPr>
  </w:style>
  <w:style w:type="character" w:styleId="Hyperlink">
    <w:name w:val="Hyperlink"/>
    <w:basedOn w:val="DefaultParagraphFont"/>
    <w:uiPriority w:val="99"/>
    <w:unhideWhenUsed/>
    <w:rsid w:val="00C84A09"/>
    <w:rPr>
      <w:color w:val="467886" w:themeColor="hyperlink"/>
      <w:u w:val="single"/>
    </w:rPr>
  </w:style>
  <w:style w:type="character" w:styleId="UnresolvedMention">
    <w:name w:val="Unresolved Mention"/>
    <w:basedOn w:val="DefaultParagraphFont"/>
    <w:uiPriority w:val="99"/>
    <w:semiHidden/>
    <w:unhideWhenUsed/>
    <w:rsid w:val="00C84A09"/>
    <w:rPr>
      <w:color w:val="605E5C"/>
      <w:shd w:val="clear" w:color="auto" w:fill="E1DFDD"/>
    </w:rPr>
  </w:style>
  <w:style w:type="character" w:styleId="LineNumber">
    <w:name w:val="line number"/>
    <w:basedOn w:val="DefaultParagraphFont"/>
    <w:uiPriority w:val="99"/>
    <w:semiHidden/>
    <w:unhideWhenUsed/>
    <w:rsid w:val="00551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customXml/itemProps2.xml><?xml version="1.0" encoding="utf-8"?>
<ds:datastoreItem xmlns:ds="http://schemas.openxmlformats.org/officeDocument/2006/customXml" ds:itemID="{18BAD51C-C251-4DA2-89F5-398F51385D62}">
  <ds:schemaRefs>
    <ds:schemaRef ds:uri="http://schemas.openxmlformats.org/officeDocument/2006/bibliography"/>
  </ds:schemaRefs>
</ds:datastoreItem>
</file>

<file path=customXml/itemProps3.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968C65-22C6-4EA7-91FF-80C2582E7D8E}">
  <ds:schemaRefs>
    <ds:schemaRef ds:uri="http://schemas.microsoft.com/sharepoint/v3/contenttype/forms"/>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44</TotalTime>
  <Pages>27</Pages>
  <Words>55324</Words>
  <Characters>315351</Characters>
  <Application>Microsoft Office Word</Application>
  <DocSecurity>0</DocSecurity>
  <Lines>2627</Lines>
  <Paragraphs>739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7</cp:revision>
  <cp:lastPrinted>2026-07-19T17:52:00Z</cp:lastPrinted>
  <dcterms:created xsi:type="dcterms:W3CDTF">2026-10-20T18:07:00Z</dcterms:created>
  <dcterms:modified xsi:type="dcterms:W3CDTF">2026-10-22T00:57:00Z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zotero-version="10.0.6"&gt;&lt;session id="RXwucHmw"/&gt;&lt;style id="http://www.zotero.org/styles/pnas" hasBibliography="1" bibliographyStyleHasBeenSet="1"/&gt;&lt;prefs&gt;&lt;pref name="fieldType" value="Field"/&gt;&lt;/prefs&gt;&lt;/data&gt;</vt:lpwstr>
  </property>
</Properties>
</file>