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50"/>
      </w:pPr>
      <w:r>
        <w:rPr>
          <w:rFonts w:ascii="Arial" w:hAnsi="Arial" w:cs="Arial"/>
          <w:sz w:val="37"/>
          <w:sz-cs w:val="37"/>
          <w:b/>
          <w:spacing w:val="0"/>
        </w:rPr>
        <w:t xml:space="preserve">Materials and Methods (main text, shortened for PNAS)</w:t>
      </w:r>
    </w:p>
    <w:p>
      <w:pPr>
        <w:spacing w:after="160"/>
      </w:pPr>
      <w:r>
        <w:rPr>
          <w:rFonts w:ascii="Arial" w:hAnsi="Arial" w:cs="Arial"/>
          <w:sz w:val="26"/>
          <w:sz-cs w:val="26"/>
          <w:i/>
          <w:spacing w:val="0"/>
          <w:color w:val="650001"/>
        </w:rPr>
        <w:t xml:space="preserve">Draft built from Manuscript Draft v.2.5. Reference numbers are those shown in the current draft and must be renumbered in order of first citation. Anything removed is kept verbatim in 'SI Appendix - Detailed Methods'. Items in red italics are notes for the authors and are not manuscript text.</w:t>
      </w:r>
    </w:p>
    <w:p>
      <w:pPr>
        <w:spacing w:after="266"/>
      </w:pPr>
      <w:r>
        <w:rPr>
          <w:rFonts w:ascii="Arial" w:hAnsi="Arial" w:cs="Arial"/>
          <w:sz w:val="26"/>
          <w:sz-cs w:val="26"/>
          <w:b/>
          <w:spacing w:val="0"/>
        </w:rPr>
        <w:t xml:space="preserve">Animals, Experimental Design and Phases</w:t>
      </w:r>
    </w:p>
    <w:p>
      <w:pPr>
        <w:spacing w:after="160"/>
      </w:pPr>
      <w:r>
        <w:rPr>
          <w:rFonts w:ascii="Arial" w:hAnsi="Arial" w:cs="Arial"/>
          <w:sz w:val="26"/>
          <w:sz-cs w:val="26"/>
          <w:spacing w:val="0"/>
        </w:rPr>
        <w:t xml:space="preserve">Anemonefish (Amphiprion ocellaris) were first- or second-generation descendants of fish obtained from Oceans, Reefs, and Aquariums (Fort Pierce, FL) and were housed in centrally filtered aquaria, each containing a terra cotta pot as nest site (husbandry in SI Appendix). We induced sex change by creating 10 male–male pairs (n = 20). Eight pairs were formed from two known males, one notably larger than the other; two pairs were created by removing the dominant female from established social triads, leaving the β and γ males together. In each pair, the larger or socially dominant male (hereafter, “Intermediate”) was expected to undergo protandrous sex change, whereas the subordinate male (hereafter, “Intermediate Partner”) was expected to remain male. Fish were weighed and measured at pairing, and pairs were given six months, a time point at which approximately 10% of Intermediates have completed sex change, as indicated by vitellogenic oocytes, while the remainder are distributed across intermediate stages (7).</w:t>
      </w:r>
    </w:p>
    <w:p>
      <w:pPr>
        <w:spacing w:after="160"/>
      </w:pPr>
      <w:r>
        <w:rPr>
          <w:rFonts w:ascii="Arial" w:hAnsi="Arial" w:cs="Arial"/>
          <w:sz w:val="26"/>
          <w:sz-cs w:val="26"/>
          <w:spacing w:val="0"/>
        </w:rPr>
        <w:t xml:space="preserve">At the end of the experiment, one Intermediate had completed sex change, and two had enlarged gonads containing only non-vitellogenic oocytes and no testicular tissue. We reclassified these fish as a “New Female” and two “Late Intermediates,” and their partners as a “New Male” and two “Late Intermediate Partners.” We refer to these classifications as phases of sex change. Because the New Female, Late Intermediate, and corresponding partner groups were too small for group-level comparisons, statistical comparisons of phases were restricted to Males (M), Females (F), and Intermediates (I); analyses across individual fish, such as correlations between gene expression and chromatin accessibility, included all phases. The same six established male–female pairs (n = 12) served as male and female controls in all experiments.</w:t>
      </w:r>
    </w:p>
    <w:p>
      <w:pPr>
        <w:spacing w:after="266"/>
      </w:pPr>
      <w:r>
        <w:rPr>
          <w:rFonts w:ascii="Arial" w:hAnsi="Arial" w:cs="Arial"/>
          <w:sz w:val="26"/>
          <w:sz-cs w:val="26"/>
          <w:b/>
          <w:spacing w:val="0"/>
        </w:rPr>
        <w:t xml:space="preserve">Statistics</w:t>
      </w:r>
    </w:p>
    <w:p>
      <w:pPr>
        <w:spacing w:after="160"/>
      </w:pPr>
      <w:r>
        <w:rPr>
          <w:rFonts w:ascii="Arial" w:hAnsi="Arial" w:cs="Arial"/>
          <w:sz w:val="26"/>
          <w:sz-cs w:val="26"/>
          <w:spacing w:val="0"/>
        </w:rPr>
        <w:t xml:space="preserve">All computational analyses described below were performed in R 4.4.2 or Python 3.12.4. In all cases unless otherwise stated, we considered a p-value of &lt;0.05 (or false discovery rate q-value (55) where relevant) to be statistically significant. For pairwise comparisons, we used the “emmeans” package with no p-value adjustment specified (56).</w:t>
      </w:r>
    </w:p>
    <w:p>
      <w:pPr>
        <w:spacing w:after="160"/>
      </w:pPr>
      <w:r>
        <w:rPr>
          <w:rFonts w:ascii="Arial" w:hAnsi="Arial" w:cs="Arial"/>
          <w:sz w:val="26"/>
          <w:sz-cs w:val="26"/>
          <w:spacing w:val="0"/>
        </w:rPr>
        <w:t xml:space="preserve">Type-III tests were computed using the Anova function from the “car”(57) package, with F-tests for linear models, likelihood-ratio χ² tests for binomial GLMs, and Wald χ² tests for linear mixed-effects models.</w:t>
      </w:r>
    </w:p>
    <w:p>
      <w:pPr>
        <w:spacing w:after="266"/>
      </w:pPr>
      <w:r>
        <w:rPr>
          <w:rFonts w:ascii="Arial" w:hAnsi="Arial" w:cs="Arial"/>
          <w:sz w:val="26"/>
          <w:sz-cs w:val="26"/>
          <w:b/>
          <w:spacing w:val="0"/>
        </w:rPr>
        <w:t xml:space="preserve">Parental Care Assay</w:t>
      </w:r>
    </w:p>
    <w:p>
      <w:pPr>
        <w:spacing w:after="160"/>
      </w:pPr>
      <w:r>
        <w:rPr>
          <w:rFonts w:ascii="Arial" w:hAnsi="Arial" w:cs="Arial"/>
          <w:sz w:val="26"/>
          <w:sz-cs w:val="26"/>
          <w:spacing w:val="0"/>
        </w:rPr>
        <w:t xml:space="preserve">Six months following the initiation of sex change, we assessed male-like behaviors using a parental care assay known to produce robust and reproducible sex differences in anemonefish as described previously (7, 14–18). To do this, we replaced the terra cotta pot serving as the pair’s nest with a terra cotta pot containing eggs from another pair. Anemonefish do not discriminate between their own eggs and unrelated eggs, and parent them with similar vigor to their own (15, 18). We then allowed 24 hours for the fish to acclimate to the new pot. One hour prior to recording, we placed a camera in front of the tank to allow acclimation. We then recorded parental care behaviors (fanning, nipping, and wiggling) as well as the time spent in the nest for 10 minutes (Dataset S9). We analyzed these data using two linear regressions, one fitting the time spent in the nest to phase, and another fitting the sum of parental care behaviors to phase. For these analyses we included all phases: M (n=6), F (n=6), I (n=7), IP (n=7), LI (n=2), LIP (n=2), NF (n=1), NM (n=1).</w:t>
      </w:r>
    </w:p>
    <w:p>
      <w:pPr>
        <w:spacing w:after="266"/>
      </w:pPr>
      <w:r>
        <w:rPr>
          <w:rFonts w:ascii="Arial" w:hAnsi="Arial" w:cs="Arial"/>
          <w:sz w:val="26"/>
          <w:sz-cs w:val="26"/>
          <w:b/>
          <w:spacing w:val="0"/>
        </w:rPr>
        <w:t xml:space="preserve">Serum 11-Ketotestosterone</w:t>
      </w:r>
    </w:p>
    <w:p>
      <w:pPr>
        <w:spacing w:after="160"/>
      </w:pPr>
      <w:r>
        <w:rPr>
          <w:rFonts w:ascii="Arial" w:hAnsi="Arial" w:cs="Arial"/>
          <w:sz w:val="26"/>
          <w:sz-cs w:val="26"/>
          <w:spacing w:val="0"/>
        </w:rPr>
        <w:t xml:space="preserve">After behavioral analysis, blood was drawn from the caudal vein, and plasma was separated by centrifugation and stored at −80°C (SI Appendix). 11-ketotestosterone (11-KT) was measured in duplicate with a Cayman Chemical 11-KT ELISA kit (#582751) according to the manufacturer’s instructions, with plasma diluted 1:30. Plasma could not be obtained from two individuals (one male and one female), who were omitted from the 11-KT analysis. Log10-transformed 11-KT was fit by phase with a linear regression (all phases included).</w:t>
      </w:r>
    </w:p>
    <w:p>
      <w:pPr>
        <w:spacing w:after="266"/>
      </w:pPr>
      <w:r>
        <w:rPr>
          <w:rFonts w:ascii="Arial" w:hAnsi="Arial" w:cs="Arial"/>
          <w:sz w:val="26"/>
          <w:sz-cs w:val="26"/>
          <w:b/>
          <w:spacing w:val="0"/>
        </w:rPr>
        <w:t xml:space="preserve">Gonad Histology</w:t>
      </w:r>
    </w:p>
    <w:p>
      <w:pPr>
        <w:spacing w:after="160"/>
      </w:pPr>
      <w:r>
        <w:rPr>
          <w:rFonts w:ascii="Arial" w:hAnsi="Arial" w:cs="Arial"/>
          <w:sz w:val="26"/>
          <w:sz-cs w:val="26"/>
          <w:spacing w:val="0"/>
        </w:rPr>
        <w:t xml:space="preserve">After euthanasia, bodies were fixed in 4% paraformaldehyde, cryoprotected in sucrose, and gonads were cryosectioned sagittally at 40 μm and stained with hematoxylin and eosin (SI Appendix). To quantify gonadal composition, 20 randomly selected sections per individual were imaged at 10× magnification, and the areas of testicular tissue, non-vitellogenic ovarian tissue, and connective tissue were measured in Photoshop. The proportion of each tissue was its area divided by the combined area of the three tissues, excluding empty space. Females and the New Female were excluded from this analysis because their gonads consisted entirely of ovarian tissue with large vitellogenic oocytes (7). Testicular and ovarian proportions were analyzed separately by linear regression on phase. To estimate gonadal volume, 20 random sections were imaged at 2.5× magnification so that the entire gonad was in frame (several images when necessary), the gonad area was measured in each section, and the volume of the whole gonad (in pixels) was estimated. Volume was log10-transformed, and because gonadal volume correlates with body size, it was analyzed with phase and body length as covariates. In Fig. 1C (bottom panel) we plot the residuals of a regression of log10 volume on body length so that phases are directly comparable.</w:t>
      </w:r>
    </w:p>
    <w:p>
      <w:pPr>
        <w:spacing w:after="160"/>
      </w:pPr>
      <w:r>
        <w:rPr>
          <w:rFonts w:ascii="Arial" w:hAnsi="Arial" w:cs="Arial"/>
          <w:sz w:val="26"/>
          <w:sz-cs w:val="26"/>
          <w:i/>
          <w:spacing w:val="0"/>
          <w:color w:val="650001"/>
        </w:rPr>
        <w:t xml:space="preserve">Note: the original text says 'bottom panel in Figure 1B'; the Fig. 1 legend places this panel in 1C. I used 1C.</w:t>
      </w:r>
    </w:p>
    <w:p>
      <w:pPr>
        <w:spacing w:after="266"/>
      </w:pPr>
      <w:r>
        <w:rPr>
          <w:rFonts w:ascii="Arial" w:hAnsi="Arial" w:cs="Arial"/>
          <w:sz w:val="26"/>
          <w:sz-cs w:val="26"/>
          <w:b/>
          <w:spacing w:val="0"/>
        </w:rPr>
        <w:t xml:space="preserve">POA Dissection</w:t>
      </w:r>
    </w:p>
    <w:p>
      <w:pPr>
        <w:spacing w:after="160"/>
      </w:pPr>
      <w:r>
        <w:rPr>
          <w:rFonts w:ascii="Arial" w:hAnsi="Arial" w:cs="Arial"/>
          <w:sz w:val="26"/>
          <w:sz-cs w:val="26"/>
          <w:spacing w:val="0"/>
        </w:rPr>
        <w:t xml:space="preserve">Following decapitation, the brain was removed in chilled dissection medium containing an RNase inhibitor, the ventrocaudal telencephalon containing the POA was isolated (Fig. S2A,B), and the tissue was stored at −80°C (SI Appendix).</w:t>
      </w:r>
    </w:p>
    <w:p>
      <w:pPr>
        <w:spacing w:after="266"/>
      </w:pPr>
      <w:r>
        <w:rPr>
          <w:rFonts w:ascii="Arial" w:hAnsi="Arial" w:cs="Arial"/>
          <w:sz w:val="26"/>
          <w:sz-cs w:val="26"/>
          <w:b/>
          <w:spacing w:val="0"/>
        </w:rPr>
        <w:t xml:space="preserve">Single-Nucleus Multiome (snMultiome)</w:t>
      </w:r>
    </w:p>
    <w:p>
      <w:pPr>
        <w:spacing w:after="160"/>
      </w:pPr>
      <w:r>
        <w:rPr>
          <w:rFonts w:ascii="Arial" w:hAnsi="Arial" w:cs="Arial"/>
          <w:sz w:val="26"/>
          <w:sz-cs w:val="26"/>
          <w:spacing w:val="0"/>
        </w:rPr>
        <w:t xml:space="preserve">Nuclei were isolated from the dissected tissue using a protocol adapted from the 10x Genomics demonstrated protocol for isolation of nuclei for Single Cell Multiome ATAC + Gene Expression (SI Appendix). Droplet-based barcoding, library preparation, and sequencing were performed at the Georgia Institute of Technology Petit Institute Genome Analysis Core on the 10x Genomics platform, with sequencing on an Illumina NovaSeq 6000 S4 to approximately 110,000 reads per nucleus for each modality. Reads were aligned to the Amphiprion ocellaris RefSeq genome assembly (GCF_022539595.1) with Cell Ranger ARC. Nuclei were assigned to individual fish by genotype: genomic DNA from each fish was sequenced, and variants from genomic DNA and nuclear RNA were used with Demuxlet (58) and Souporcell (59). EmptyDropsMultiome (60) distinguished nuclei from empty droplets, ambient RNA, and multiplets, and ATAC peaks were called with MACS3 (SI Appendix).</w:t>
      </w:r>
    </w:p>
    <w:p>
      <w:pPr>
        <w:spacing w:after="160"/>
      </w:pPr>
      <w:r>
        <w:rPr>
          <w:rFonts w:ascii="Arial" w:hAnsi="Arial" w:cs="Arial"/>
          <w:sz w:val="26"/>
          <w:sz-cs w:val="26"/>
          <w:spacing w:val="0"/>
        </w:rPr>
        <w:t xml:space="preserve">Quality control was performed first per pool and then on the merged dataset using thresholds on RNA and ATAC counts and features, mitochondrial, protein-coding and ribosomal read fractions, TSS enrichment, and nucleosome signal (SI Appendix); 35,364 nuclei passed. Clustering followed a standard Seurat pipeline: RNA data were normalized, scaled, reduced by PCA and integrated across pools with Harmony (61); ATAC data were TF-IDF normalized, reduced by SVD and integrated across pools into a latent semantic indexing (LSI) space; and a weighted nearest-neighbor graph combining both modalities was used for UMAP and clustering, with an initial resolution chosen by the method of Bai and Chu (62). Clusters likely to result from dissection error were removed if they were present in fewer than 90% of individuals or if the coefficient of variation of their relative abundance across individuals exceeded 0.5. We then performed a parameter sweep (RNA principal components, ATAC LSI components, nearest neighbors, and clustering resolution; ranges in SI Appendix) and chose the combination with the highest mean pairwise Adjusted Rand Index: 40 RNA principal components, 45 ATAC LSI components, and a resolution of 0.8.</w:t>
      </w:r>
    </w:p>
    <w:p>
      <w:pPr>
        <w:spacing w:after="266"/>
      </w:pPr>
      <w:r>
        <w:rPr>
          <w:rFonts w:ascii="Arial" w:hAnsi="Arial" w:cs="Arial"/>
          <w:sz w:val="26"/>
          <w:sz-cs w:val="26"/>
          <w:b/>
          <w:spacing w:val="0"/>
        </w:rPr>
        <w:t xml:space="preserve">Spatial Transcriptomics</w:t>
      </w:r>
    </w:p>
    <w:p>
      <w:pPr>
        <w:spacing w:after="160"/>
      </w:pPr>
      <w:r>
        <w:rPr>
          <w:rFonts w:ascii="Arial" w:hAnsi="Arial" w:cs="Arial"/>
          <w:sz w:val="26"/>
          <w:sz-cs w:val="26"/>
          <w:spacing w:val="0"/>
        </w:rPr>
        <w:t xml:space="preserve">Brains from six Males and six Females (12 fish from six tanks; SI Appendix, Table S8) were embedded fresh-frozen in OCT (four brains per mold, two pairs per mold), sectioned at 10 μm, and placed on four Visium HD slides so that all 12 fish were represented (SI Appendix). Visium HD 3′ Spatial Gene Expression was performed on fresh-frozen sections according to the manufacturer’s workflows (CG000804 Rev B and CG000805 Rev B; 10x Genomics) with the CytAssist instrument; libraries were prepared at the University of Illinois Carver Biotechnology Center and sequenced on an Illumina NovaSeq X Plus (SI Appendix). Reads were aligned to the A. ocellaris assembly (GCF_022539595.1) with Space Ranger (v4.0.1), and segmented cells with brain-region annotations were exported from Loupe Browser. Cells with fewer than 25 UMIs or at least 50% mitochondrial reads were removed, leaving 433,999 cells and 22,363 genes. Because no anemonefish brain atlas exists, neuroanatomical regions were annotated using the Astatotilapia burtoni atlas (63) together with unbiased clustering and gene expression, with the species differences we noted described in the SI Appendix (Fig. S3).</w:t>
      </w:r>
    </w:p>
    <w:p>
      <w:pPr>
        <w:spacing w:after="160"/>
      </w:pPr>
      <w:r>
        <w:rPr>
          <w:rFonts w:ascii="Arial" w:hAnsi="Arial" w:cs="Arial"/>
          <w:sz w:val="26"/>
          <w:sz-cs w:val="26"/>
          <w:spacing w:val="0"/>
        </w:rPr>
        <w:t xml:space="preserve">To map snMultiome clusters onto the sections, we used Cell2location (19). A regression model trained on the snMultiome counts, with cluster as the cell-type label and pool as the batch, provided reference expression signatures. The spatial model was then fit to the Visium HD sketch assay, restricted to bins within the dissected region, and each bin was assigned the cluster with the highest 5th-percentile posterior abundance. These labels were projected to the full-resolution data with Seurat’s ProjectData (model settings in SI Appendix).</w:t>
      </w:r>
    </w:p>
    <w:p>
      <w:pPr>
        <w:spacing w:after="266"/>
      </w:pPr>
      <w:r>
        <w:rPr>
          <w:rFonts w:ascii="Arial" w:hAnsi="Arial" w:cs="Arial"/>
          <w:sz w:val="26"/>
          <w:sz-cs w:val="26"/>
          <w:b/>
          <w:spacing w:val="0"/>
        </w:rPr>
        <w:t xml:space="preserve">Cell Type Annotation</w:t>
      </w:r>
    </w:p>
    <w:p>
      <w:pPr>
        <w:spacing w:after="160"/>
      </w:pPr>
      <w:r>
        <w:rPr>
          <w:rFonts w:ascii="Arial" w:hAnsi="Arial" w:cs="Arial"/>
          <w:sz w:val="26"/>
          <w:sz-cs w:val="26"/>
          <w:spacing w:val="0"/>
        </w:rPr>
        <w:t xml:space="preserve">We annotated our snMultiome clusters using a combination of a priori marker genes (see Results) and spatial mapping from Cell2location. We annotated cell types first by cluster number, then by primary cell type, (e.g., 1_RGC = Radial Glial cell, 2_OL = Oligodendrocyte, GABA = GABAergic Neuron), then if we determined based on spatial mapping that a cell type was localized to a specific subdivision of the brain or neuroanatomical region, we added that to the cell type classification. Many neuronal types did not map to specific spatial regions, so we only annotated them by cluster number and neurotransmitter. A dotplot of the strongest marker genes found by Seurat’s “FindAllMarkers” function with only.pos = TRUE specified is shown in Figure 2B.</w:t>
      </w:r>
    </w:p>
    <w:p>
      <w:pPr>
        <w:spacing w:after="266"/>
      </w:pPr>
      <w:r>
        <w:rPr>
          <w:rFonts w:ascii="Arial" w:hAnsi="Arial" w:cs="Arial"/>
          <w:sz w:val="26"/>
          <w:sz-cs w:val="26"/>
          <w:b/>
          <w:spacing w:val="0"/>
        </w:rPr>
        <w:t xml:space="preserve">Cell Type Composition Analysis</w:t>
      </w:r>
    </w:p>
    <w:p>
      <w:pPr>
        <w:spacing w:after="160"/>
      </w:pPr>
      <w:r>
        <w:rPr>
          <w:rFonts w:ascii="Arial" w:hAnsi="Arial" w:cs="Arial"/>
          <w:sz w:val="26"/>
          <w:sz-cs w:val="26"/>
          <w:spacing w:val="0"/>
        </w:rPr>
        <w:t xml:space="preserve">We calculated differences in cell population for each cluster using a logistic regression fitting a matrix of successes (number of cells in a cluster) versus failures (number of cells not in that cluster) by phase.</w:t>
      </w:r>
    </w:p>
    <w:p>
      <w:pPr>
        <w:spacing w:after="266"/>
      </w:pPr>
      <w:r>
        <w:rPr>
          <w:rFonts w:ascii="Arial" w:hAnsi="Arial" w:cs="Arial"/>
          <w:sz w:val="26"/>
          <w:sz-cs w:val="26"/>
          <w:b/>
          <w:spacing w:val="0"/>
        </w:rPr>
        <w:t xml:space="preserve">Interpretation of Temporal Abundance, Expression, and Accessibility Patterns</w:t>
      </w:r>
    </w:p>
    <w:p>
      <w:pPr>
        <w:spacing w:after="160"/>
      </w:pPr>
      <w:r>
        <w:rPr>
          <w:rFonts w:ascii="Arial" w:hAnsi="Arial" w:cs="Arial"/>
          <w:sz w:val="26"/>
          <w:sz-cs w:val="26"/>
          <w:spacing w:val="0"/>
        </w:rPr>
        <w:t xml:space="preserve">Because sex change represents a temporal progression from Males through Intermediates to Females, cell-type abundance, DEGs and DARs were classified according to their pairwise differences among these three groups (SI Appendix, Table S9).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pPr>
        <w:spacing w:after="266"/>
      </w:pPr>
      <w:r>
        <w:rPr>
          <w:rFonts w:ascii="Arial" w:hAnsi="Arial" w:cs="Arial"/>
          <w:sz w:val="26"/>
          <w:sz-cs w:val="26"/>
          <w:b/>
          <w:spacing w:val="0"/>
        </w:rPr>
        <w:t xml:space="preserve">Differential Expression (DEG) Analysis</w:t>
      </w:r>
    </w:p>
    <w:p>
      <w:pPr>
        <w:spacing w:after="160"/>
      </w:pPr>
      <w:r>
        <w:rPr>
          <w:rFonts w:ascii="Arial" w:hAnsi="Arial" w:cs="Arial"/>
          <w:sz w:val="26"/>
          <w:sz-cs w:val="26"/>
          <w:spacing w:val="0"/>
        </w:rPr>
        <w:t xml:space="preserve">Following Parker et al. (5), Johnson et al. (64), and Connolly et al. (65), DEGs were identified within each cluster with a negative binomial mixed regression (glmer; (66)). The response was the raw count of the gene, the predictor was phase, and individual was a random effect; dispersions were estimated with a gamma-Poisson model, and the natural logarithm of library size per nucleus was included as an offset. For each gene, type-III tests were computed and the false discovery rate (q-value; (55)) for phase was calculated within each cluster. A gene was a DEG if q &lt; 0.05 and the model converged. For gnrh1 in 6_POA_Mixed the negative binomial model did not converge, so we fit the per-individual mean expression to phase with a linear model.</w:t>
      </w:r>
    </w:p>
    <w:p>
      <w:pPr>
        <w:spacing w:after="266"/>
      </w:pPr>
      <w:r>
        <w:rPr>
          <w:rFonts w:ascii="Arial" w:hAnsi="Arial" w:cs="Arial"/>
          <w:sz w:val="26"/>
          <w:sz-cs w:val="26"/>
          <w:b/>
          <w:spacing w:val="0"/>
        </w:rPr>
        <w:t xml:space="preserve">Differentially Accessible Region (DAR) Analysis</w:t>
      </w:r>
    </w:p>
    <w:p>
      <w:pPr>
        <w:spacing w:after="160"/>
      </w:pPr>
      <w:r>
        <w:rPr>
          <w:rFonts w:ascii="Arial" w:hAnsi="Arial" w:cs="Arial"/>
          <w:sz w:val="26"/>
          <w:sz-cs w:val="26"/>
          <w:spacing w:val="0"/>
        </w:rPr>
        <w:t xml:space="preserve">DARs were identified within each cluster by a pseudobulk approach in edgeR: ATAC fragments were summed per individual, peaks detected in fewer than 10 individuals or with fewer than 80 total counts were excluded, and counts were TMM-normalized and fit with quasi-likelihood generalized linear models. Pairwise contrasts (M vs. F, M vs. I, and F vs. I) were tested with quasi-likelihood F-tests, and peaks with FDR &lt; 0.20 in any comparison were called differentially accessible (details in SI Appendix).</w:t>
      </w:r>
    </w:p>
    <w:p>
      <w:pPr>
        <w:spacing w:after="266"/>
      </w:pPr>
      <w:r>
        <w:rPr>
          <w:rFonts w:ascii="Arial" w:hAnsi="Arial" w:cs="Arial"/>
          <w:sz w:val="26"/>
          <w:sz-cs w:val="26"/>
          <w:b/>
          <w:spacing w:val="0"/>
        </w:rPr>
        <w:t xml:space="preserve">Integration of Differential Expression and Chromatin Accessibility</w:t>
      </w:r>
    </w:p>
    <w:p>
      <w:pPr>
        <w:spacing w:after="160"/>
      </w:pPr>
      <w:r>
        <w:rPr>
          <w:rFonts w:ascii="Arial" w:hAnsi="Arial" w:cs="Arial"/>
          <w:sz w:val="26"/>
          <w:sz-cs w:val="26"/>
          <w:spacing w:val="0"/>
        </w:rPr>
        <w:t xml:space="preserve">We performed two pseudobulk correlation analyses. RNA and ATAC counts were summed per individual within each cluster (individuals with fewer than five nuclei excluded), normalized to log counts per million, and correlated (Pearson and Spearman) across individuals; analyses were valid only with at least 18 individuals with non-zero counts and non-zero variance. In the DEG-centered analysis, each DEG was paired with the ATAC peak in its gene body or proximal promoter (2 kb upstream to 500 bp downstream of the transcription start site) with the strongest absolute Pearson correlation. In the DAR-centered analysis, each DAR was correlated with its nearest annotated gene. Pearson P-values were corrected with the Benjamini–Hochberg procedure.</w:t>
      </w:r>
    </w:p>
    <w:p>
      <w:pPr>
        <w:spacing w:after="266"/>
      </w:pPr>
      <w:r>
        <w:rPr>
          <w:rFonts w:ascii="Arial" w:hAnsi="Arial" w:cs="Arial"/>
          <w:sz w:val="26"/>
          <w:sz-cs w:val="26"/>
          <w:b/>
          <w:spacing w:val="0"/>
        </w:rPr>
        <w:t xml:space="preserve">Machine Learning Analysis of the Temporal Course of Sex Change</w:t>
      </w:r>
    </w:p>
    <w:p>
      <w:pPr>
        <w:spacing w:after="160"/>
      </w:pPr>
      <w:r>
        <w:rPr>
          <w:rFonts w:ascii="Arial" w:hAnsi="Arial" w:cs="Arial"/>
          <w:sz w:val="26"/>
          <w:sz-cs w:val="26"/>
          <w:spacing w:val="0"/>
        </w:rPr>
        <w:t xml:space="preserve">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and differentially accessible regions (DARs) that significantly differed between Males and Females. Using the Python package scikit-learn (71),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pPr>
        <w:spacing w:after="160"/>
      </w:pPr>
      <w:r>
        <w:rPr>
          <w:rFonts w:ascii="Arial" w:hAnsi="Arial" w:cs="Arial"/>
          <w:sz w:val="26"/>
          <w:sz-cs w:val="26"/>
          <w:spacing w:val="0"/>
        </w:rPr>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w:t>
      </w:r>
    </w:p>
    <w:p>
      <w:pPr>
        <w:spacing w:after="266"/>
      </w:pPr>
      <w:r>
        <w:rPr>
          <w:rFonts w:ascii="Arial" w:hAnsi="Arial" w:cs="Arial"/>
          <w:sz w:val="26"/>
          <w:sz-cs w:val="26"/>
          <w:b/>
          <w:spacing w:val="0"/>
        </w:rPr>
        <w:t xml:space="preserve">Subclustering 1_RGC</w:t>
      </w:r>
    </w:p>
    <w:p>
      <w:pPr>
        <w:spacing w:after="160"/>
      </w:pPr>
      <w:r>
        <w:rPr>
          <w:rFonts w:ascii="Arial" w:hAnsi="Arial" w:cs="Arial"/>
          <w:sz w:val="26"/>
          <w:sz-cs w:val="26"/>
          <w:spacing w:val="0"/>
        </w:rPr>
        <w:t xml:space="preserve">We subclustered 1_RGC using Seurat’s FindSubCluster() function on the harmony weighted shared nearest neighbors graph with resolution 0.2 specified.</w:t>
      </w:r>
    </w:p>
    <w:p>
      <w:pPr>
        <w:spacing w:after="266"/>
      </w:pPr>
      <w:r>
        <w:rPr>
          <w:rFonts w:ascii="Arial" w:hAnsi="Arial" w:cs="Arial"/>
          <w:sz w:val="26"/>
          <w:sz-cs w:val="26"/>
          <w:b/>
          <w:spacing w:val="0"/>
        </w:rPr>
        <w:t xml:space="preserve">Cellular Maturity Inference</w:t>
      </w:r>
    </w:p>
    <w:p>
      <w:pPr>
        <w:spacing w:after="160"/>
      </w:pPr>
      <w:r>
        <w:rPr>
          <w:rFonts w:ascii="Arial" w:hAnsi="Arial" w:cs="Arial"/>
          <w:sz w:val="26"/>
          <w:sz-cs w:val="26"/>
          <w:spacing w:val="0"/>
        </w:rPr>
        <w:t xml:space="preserve">To infer relative cellular maturity, we used the R package CytoTRACE (67) to score each cell between 0 (most mature) and 1 (most immature) based on the diversity of its normalized RNA expression matrix. To assess differences in cellular maturity in Figure S7B, we calculated the mean CytoTRACE score for each individual within each subcluster and used a fixed-effects linear model to fit CytoTRACE score by subcluster. Similarly, for Figure 5B, we fit individual mean CytoTRACE scores with phase as a fixed effect.</w:t>
      </w:r>
    </w:p>
    <w:p>
      <w:pPr>
        <w:spacing w:after="160"/>
      </w:pPr>
      <w:r>
        <w:rPr>
          <w:rFonts w:ascii="Arial" w:hAnsi="Arial" w:cs="Arial"/>
          <w:sz w:val="26"/>
          <w:sz-cs w:val="26"/>
          <w:spacing w:val="0"/>
        </w:rPr>
        <w:t xml:space="preserve">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pPr>
        <w:spacing w:after="266"/>
      </w:pPr>
      <w:r>
        <w:rPr>
          <w:rFonts w:ascii="Arial" w:hAnsi="Arial" w:cs="Arial"/>
          <w:sz w:val="26"/>
          <w:sz-cs w:val="26"/>
          <w:b/>
          <w:spacing w:val="0"/>
        </w:rPr>
        <w:t xml:space="preserve">Gene Ontology Analysis and Modules</w:t>
      </w:r>
    </w:p>
    <w:p>
      <w:pPr>
        <w:spacing w:after="160"/>
      </w:pPr>
      <w:r>
        <w:rPr>
          <w:rFonts w:ascii="Arial" w:hAnsi="Arial" w:cs="Arial"/>
          <w:sz w:val="26"/>
          <w:sz-cs w:val="26"/>
          <w:spacing w:val="0"/>
        </w:rPr>
        <w:t xml:space="preserve">Gene ontology (GO) enrichment used the enricher() function of clusterProfiler (FDR adjustment; p and q cutoffs of 0.05). Because the A. ocellaris genome is poorly annotated, GO terms were taken from the human genome through Ensembl ortholog annotations (biomaRt), with manual correction of a small number of genes with known nomenclature discrepancies (SI Appendix). GO modules comprised all genes sharing a GO ID. Module scores were calculated per cell with AUCell (68) from rankings of normalized expression, and the mean score per individual was fit by phase in a linear model.</w:t>
      </w:r>
    </w:p>
    <w:p>
      <w:pPr>
        <w:spacing w:after="266"/>
      </w:pPr>
      <w:r>
        <w:rPr>
          <w:rFonts w:ascii="Arial" w:hAnsi="Arial" w:cs="Arial"/>
          <w:sz w:val="26"/>
          <w:sz-cs w:val="26"/>
          <w:b/>
          <w:spacing w:val="0"/>
        </w:rPr>
        <w:t xml:space="preserve">Candidate Transcription Factor Regulatory Networks</w:t>
      </w:r>
    </w:p>
    <w:p>
      <w:pPr>
        <w:spacing w:after="160"/>
      </w:pPr>
      <w:r>
        <w:rPr>
          <w:rFonts w:ascii="Arial" w:hAnsi="Arial" w:cs="Arial"/>
          <w:sz w:val="26"/>
          <w:sz-cs w:val="26"/>
          <w:spacing w:val="0"/>
        </w:rPr>
        <w:t xml:space="preserve">To identify candidate regulators in 1_RGC and 6_POA_Mixed, we integrated differential expression, chromatin accessibility, peak-to-gene correlations, and TF motifs. Accessibility-supported target genes were the union of (i) DEGs whose expression correlated with accessibility of at least one local ATAC peak across individuals and (ii) genes associated with DARs whose expression correlated with accessibility of the DAR (Pearson P ≤ 0.05). TF motifs were annotated in ATAC peaks with Signac (SI Appendix). Candidate TF–target relationships required a motif in a peak associated with the target, TF expression in at least 50% of individuals, and correlated TF and target expression across individuals (|r| ≥ 0.40, P ≤ 0.10; positive and negative correlations were candidate activating and repressive relationships); TFs were not required to be differentially expressed. For 1_RGC, networks were restricted to accessibility-supported targets, retained TF hubs with at least three such targets and TF-to-TF relationships, and included strong target–target correlations (|r| ≥ 0.60, P ≤ 0.05). For 6_POA_Mixed, where fewer accessibility-coupled relationships were found, we also evaluated DEGs not associated with local accessibility, requiring a motif-containing peak accessible in at least 50% of individuals; the final network focused on neuroendocrine genes implicated in reproductive-axis regulation (details in SI Appendix).</w:t>
      </w:r>
    </w:p>
    <w:p>
      <w:pPr>
        <w:spacing w:after="160"/>
      </w:pPr>
      <w:r>
        <w:rPr>
          <w:rFonts w:ascii="Arial" w:hAnsi="Arial" w:cs="Arial"/>
          <w:sz w:val="26"/>
          <w:sz-cs w:val="26"/>
          <w:i/>
          <w:spacing w:val="0"/>
          <w:color w:val="650001"/>
        </w:rPr>
        <w:t xml:space="preserve">Note: motif source/version is still 'xxKatie' (see SI text).</w:t>
      </w:r>
    </w:p>
    <w:p>
      <w:pPr>
        <w:spacing w:after="266"/>
      </w:pPr>
      <w:r>
        <w:rPr>
          <w:rFonts w:ascii="Arial" w:hAnsi="Arial" w:cs="Arial"/>
          <w:sz w:val="26"/>
          <w:sz-cs w:val="26"/>
          <w:b/>
          <w:spacing w:val="0"/>
        </w:rPr>
        <w:t xml:space="preserve">Steroid Receptor-Associated Gene Expression and Chromatin Accessibility in 6_POA_Mixed</w:t>
      </w:r>
    </w:p>
    <w:p>
      <w:pPr>
        <w:spacing w:after="160"/>
      </w:pPr>
      <w:r>
        <w:rPr>
          <w:rFonts w:ascii="Arial" w:hAnsi="Arial" w:cs="Arial"/>
          <w:sz w:val="26"/>
          <w:sz-cs w:val="26"/>
          <w:spacing w:val="0"/>
        </w:rPr>
        <w:t xml:space="preserve">To assess steroid receptor-associated transcription in 6_POA_Mixed, we identified genes with accessible promoter regions containing binding motifs for ESR2, AR, or PGR. Promoters were defined as 2 kb upstream and 500 bp downstream of the transcription start site. Motif-containing ATAC peaks were retained if accessible in ≥50% of individuals, and associated genes were required to have RNA expression ≥1 count per million (CPM) in ≥50% of individuals. Receptor-specific gene sets were defined by the presence of a motif for one receptor and the absence of motifs for the other two receptors within accessible promoter regions. Individuals with fewer than five nuclei in the cluster were excluded.</w:t>
      </w:r>
    </w:p>
    <w:p>
      <w:pPr>
        <w:spacing w:after="160"/>
      </w:pPr>
      <w:r>
        <w:rPr>
          <w:rFonts w:ascii="Arial" w:hAnsi="Arial" w:cs="Arial"/>
          <w:sz w:val="26"/>
          <w:sz-cs w:val="26"/>
          <w:spacing w:val="0"/>
        </w:rPr>
        <w:t xml:space="preserve">For each individual, RNA and ATAC counts were pseudobulked within 6_POA_Mixed and normalized to log2(CPM + 1). Expression of each target gene was standardized across individuals to a z-score, and the mean z-score across genes was calculated separately for each receptor-specific gene set. Chromatin accessibility was similarly standardized across individuals for each qualifying motif-containing promoter peak. When multiple peaks were associated with a gene, their z-scores were averaged before calculating the mean accessibility score across genes, ensuring equal weighting of target genes. Genes or peaks with no variation across individuals were excluded from the corresponding score. Late Intermediates and New Females were displayed descriptively but excluded from statistical comparisons.</w:t>
      </w:r>
    </w:p>
    <w:p>
      <w:pPr>
        <w:spacing w:after="160"/>
      </w:pPr>
      <w:r>
        <w:rPr>
          <w:rFonts w:ascii="Arial" w:hAnsi="Arial" w:cs="Arial"/>
          <w:sz w:val="26"/>
          <w:sz-cs w:val="26"/>
          <w:i/>
          <w:spacing w:val="0"/>
          <w:color w:val="650001"/>
        </w:rPr>
        <w:t xml:space="preserve">Note: the sentence on one-way ANOVA with Tukey post hoc tests was removed (the Statistics section describes the unadjusted emmeans pairwise tests). The Fig. 6 legend still says Tukey and should be changed to match.</w:t>
      </w:r>
    </w:p>
    <w:p>
      <w:pPr>
        <w:spacing w:after="266"/>
      </w:pPr>
      <w:r>
        <w:rPr>
          <w:rFonts w:ascii="Arial" w:hAnsi="Arial" w:cs="Arial"/>
          <w:sz w:val="26"/>
          <w:sz-cs w:val="26"/>
          <w:b/>
          <w:spacing w:val="0"/>
        </w:rPr>
        <w:t xml:space="preserve">Data Availability</w:t>
      </w:r>
    </w:p>
    <w:p>
      <w:pPr>
        <w:spacing w:after="160"/>
      </w:pPr>
      <w:r>
        <w:rPr>
          <w:rFonts w:ascii="Arial" w:hAnsi="Arial" w:cs="Arial"/>
          <w:sz w:val="26"/>
          <w:sz-cs w:val="26"/>
          <w:i/>
          <w:spacing w:val="0"/>
          <w:color w:val="650001"/>
        </w:rPr>
        <w:t xml:space="preserve">(placeholder) State where all data, documentation and code are deposited (e.g., GEO / Zenodo / GitHub); PNAS requires permanent public repositories. The source-data CSVs and the R scripts are in Manuscript/Supplementary Tables/Appendix S1 source data/ and the Manuscript folder.</w:t>
      </w:r>
    </w:p>
    <w:p>
      <w:pPr>
        <w:spacing w:after="265"/>
      </w:pPr>
      <w:r>
        <w:rPr>
          <w:rFonts w:ascii="Arial" w:hAnsi="Arial" w:cs="Arial"/>
          <w:sz w:val="32"/>
          <w:sz-cs w:val="32"/>
          <w:b/>
          <w:spacing w:val="0"/>
        </w:rPr>
        <w:t xml:space="preserve">Suggested replacement for the Results paragraphs on the Parker (2024) atlas</w:t>
      </w:r>
    </w:p>
    <w:p>
      <w:pPr>
        <w:spacing w:after="160"/>
      </w:pPr>
      <w:r>
        <w:rPr>
          <w:rFonts w:ascii="Arial" w:hAnsi="Arial" w:cs="Arial"/>
          <w:sz w:val="26"/>
          <w:sz-cs w:val="26"/>
          <w:i/>
          <w:spacing w:val="0"/>
          <w:color w:val="650001"/>
        </w:rPr>
        <w:t xml:space="preserve">Replaces the two paragraphs beginning 'Xxsupplementary results?We also used this opportunity…' and 'To further characterize our cell-types…'.</w:t>
      </w:r>
    </w:p>
    <w:p>
      <w:pPr>
        <w:spacing w:after="160"/>
      </w:pPr>
      <w:r>
        <w:rPr>
          <w:rFonts w:ascii="Arial" w:hAnsi="Arial" w:cs="Arial"/>
          <w:sz w:val="26"/>
          <w:sz-cs w:val="26"/>
          <w:spacing w:val="0"/>
        </w:rPr>
        <w:t xml:space="preserve">To place our clusters in the context of our previously published snRNA-seq atlas of the anemonefish telencephalon (5), we realigned those data to the A. ocellaris genome and both spatially mapped the earlier clusters and cross-projected cluster labels between the two datasets (SI Appendix, Methods). The earlier atlas mapped to the expected regions, including the ventral telencephalon (parent cluster 9), dorsal telencephalon (parent cluster 2), and POA (parent cluster 13) (SI Appendix, Fig. S4). Glial cell types and excitatory neurons showed strong correspondence between datasets, and 6_POA_Mixed was the mutual best match for the putative POA child cluster 13d (SI Appendix, Tables S3 and S4). Agreement was weaker in the subpallium, where parent clusters 9 and 13 that were separate in the earlier atlas cluster together here, likely because weighted nearest-neighbor clustering integrates ATAC and RNA and reflects their shared subpallial identity (Fig. S5A–C). These results support the reproducibility of the cell types identified here and in our previous study.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