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50"/>
      </w:pPr>
      <w:r>
        <w:rPr>
          <w:rFonts w:ascii="Arial" w:hAnsi="Arial" w:cs="Arial"/>
          <w:sz w:val="37"/>
          <w:sz-cs w:val="37"/>
          <w:b/>
          <w:spacing w:val="0"/>
        </w:rPr>
        <w:t xml:space="preserve">SI Appendix: Detailed Methods</w:t>
      </w:r>
    </w:p>
    <w:p>
      <w:pPr>
        <w:spacing w:after="160"/>
      </w:pPr>
      <w:r>
        <w:rPr>
          <w:rFonts w:ascii="Arial" w:hAnsi="Arial" w:cs="Arial"/>
          <w:sz w:val="26"/>
          <w:sz-cs w:val="26"/>
          <w:i/>
          <w:spacing w:val="0"/>
          <w:color w:val="650001"/>
        </w:rPr>
        <w:t xml:space="preserve">Text moved out of the main Materials and Methods, kept verbatim from Manuscript Draft v.2.5 (with the 'Phase' and 'Computation' definitions staying in the main text). References cited only here need their own SI reference list in PNAS format; main-text reference numbers must not be used in the SI. Red italic items are notes for the authors.</w:t>
      </w:r>
    </w:p>
    <w:p>
      <w:pPr>
        <w:spacing w:after="266"/>
      </w:pPr>
      <w:r>
        <w:rPr>
          <w:rFonts w:ascii="Arial" w:hAnsi="Arial" w:cs="Arial"/>
          <w:sz w:val="26"/>
          <w:sz-cs w:val="26"/>
          <w:b/>
          <w:spacing w:val="0"/>
        </w:rPr>
        <w:t xml:space="preserve">Animals and Husbandry</w:t>
      </w:r>
    </w:p>
    <w:p>
      <w:pPr>
        <w:spacing w:after="160"/>
      </w:pPr>
      <w:r>
        <w:rPr>
          <w:rFonts w:ascii="Arial" w:hAnsi="Arial" w:cs="Arial"/>
          <w:sz w:val="26"/>
          <w:sz-cs w:val="26"/>
          <w:spacing w:val="0"/>
        </w:rPr>
        <w:t xml:space="preserve">Anemonefish (Amphiprion ocellaris) used in this study were first- or second-generation descendants of fish obtained from Oceans, Reefs, and Aquariums (Fort Pierce, FL). Fish were housed in either 20-gallon tall (24 × 12 × 16 in.) or 25-gallon cube (18 × 18 × 18 in.) centrally filtered aquariums, each containing a 6-in. terra cotta pot that served as a nest site and spawning substrate. Salinity was maintained at a specific gravity of 1.026, temperature at 26–28°C, and pH between 8.0 and 8.4. Tanks were illuminated with fluorescent and LED lighting on a 12:12 h light cycle (lights on at 07:00 h and off at 19:00 h). Fish were fed twice daily with Reef Nutrition TDO Chroma Boost pellets (Reed Mariculture Inc., Campbell, CA).</w:t>
      </w:r>
    </w:p>
    <w:p>
      <w:pPr>
        <w:spacing w:after="266"/>
      </w:pPr>
      <w:r>
        <w:rPr>
          <w:rFonts w:ascii="Arial" w:hAnsi="Arial" w:cs="Arial"/>
          <w:sz w:val="26"/>
          <w:sz-cs w:val="26"/>
          <w:b/>
          <w:spacing w:val="0"/>
        </w:rPr>
        <w:t xml:space="preserve">Initiation of Sex Change (full text)</w:t>
      </w:r>
    </w:p>
    <w:p>
      <w:pPr>
        <w:spacing w:after="160"/>
      </w:pPr>
      <w:r>
        <w:rPr>
          <w:rFonts w:ascii="Arial" w:hAnsi="Arial" w:cs="Arial"/>
          <w:sz w:val="26"/>
          <w:sz-cs w:val="26"/>
          <w:spacing w:val="0"/>
        </w:rPr>
        <w:t xml:space="preserve">We induced sex change by creating 10 male–male pairs (n = 20). Eight pairs were formed by pairing two known males, with one male notably larger than the other. Two additional pairs were created by removing the dominant female from established social triads, leaving the β and γ males together. In each pair, the larger or socially dominant male (hereafter, “Intermediate”) was expected to undergo protandrous sex change and become female, whereas the subordinate male (hereafter, “Intermediate Partner”) was expected to remain male.</w:t>
      </w:r>
    </w:p>
    <w:p>
      <w:pPr>
        <w:spacing w:after="160"/>
      </w:pPr>
      <w:r>
        <w:rPr>
          <w:rFonts w:ascii="Arial" w:hAnsi="Arial" w:cs="Arial"/>
          <w:sz w:val="26"/>
          <w:sz-cs w:val="26"/>
          <w:spacing w:val="0"/>
        </w:rPr>
        <w:t xml:space="preserve">On the day of pairing or female removal, Intermediates and subordinates were weighed and measured. Pairs were then given six months to undergo sex change. We selected this time point because previous work from our lab showed that approximately 10% of Intermediates complete sex change within six months, as indicated by the presence of vitellogenic oocytes, while the remainder are distributed across various intermediate stages of sex change (7).</w:t>
      </w:r>
    </w:p>
    <w:p>
      <w:pPr>
        <w:spacing w:after="266"/>
      </w:pPr>
      <w:r>
        <w:rPr>
          <w:rFonts w:ascii="Arial" w:hAnsi="Arial" w:cs="Arial"/>
          <w:sz w:val="26"/>
          <w:sz-cs w:val="26"/>
          <w:b/>
          <w:spacing w:val="0"/>
        </w:rPr>
        <w:t xml:space="preserve">Serum Hormone Analysis</w:t>
      </w:r>
    </w:p>
    <w:p>
      <w:pPr>
        <w:spacing w:after="160"/>
      </w:pPr>
      <w:r>
        <w:rPr>
          <w:rFonts w:ascii="Arial" w:hAnsi="Arial" w:cs="Arial"/>
          <w:sz w:val="26"/>
          <w:sz-cs w:val="26"/>
          <w:spacing w:val="0"/>
        </w:rPr>
        <w:t xml:space="preserve">Following behavioral analysis, blood was drawn from individuals’ caudal veins using a 0.9% heparinized needle. Samples were stored on ice and then centrifuged at 1250 RCF at 4°C for 15 minutes. Plasma was stored at -80°C prior to analysis. We then assessed 11KT levels using a Cayman Chemical 11KT kit (Cayman Chemical, #582751). Plasma samples were diluted to 1:30 in assay buffer and analyzed following manufacturers guidelines using an Epoch Microplate Spectrophotometer (BioTek Instruments) at 412 nm. We analyzed all samples as duplicates.</w:t>
      </w:r>
    </w:p>
    <w:p>
      <w:pPr>
        <w:spacing w:after="160"/>
      </w:pPr>
      <w:r>
        <w:rPr>
          <w:rFonts w:ascii="Arial" w:hAnsi="Arial" w:cs="Arial"/>
          <w:sz w:val="26"/>
          <w:sz-cs w:val="26"/>
          <w:spacing w:val="0"/>
        </w:rPr>
        <w:t xml:space="preserve">We were unable to collect sufficient blood to measure the plasma 11KT from two individuals, one male and one female; thus these individuals were omitted from the 11KT analysis. Phase differences in 11KT levels were analyzed using a linear regression fitting log10 transformed 11KT values by phase (all phases were included).</w:t>
      </w:r>
    </w:p>
    <w:p>
      <w:pPr>
        <w:spacing w:after="266"/>
      </w:pPr>
      <w:r>
        <w:rPr>
          <w:rFonts w:ascii="Arial" w:hAnsi="Arial" w:cs="Arial"/>
          <w:sz w:val="26"/>
          <w:sz-cs w:val="26"/>
          <w:b/>
          <w:spacing w:val="0"/>
        </w:rPr>
        <w:t xml:space="preserve">Gonad Histology and Quantification</w:t>
      </w:r>
    </w:p>
    <w:p>
      <w:pPr>
        <w:spacing w:after="160"/>
      </w:pPr>
      <w:r>
        <w:rPr>
          <w:rFonts w:ascii="Arial" w:hAnsi="Arial" w:cs="Arial"/>
          <w:sz w:val="26"/>
          <w:sz-cs w:val="26"/>
          <w:spacing w:val="0"/>
        </w:rPr>
        <w:t xml:space="preserve">After collecting blood and weighing and measuring, the fish were euthanized via decapitation, and the body was stored in 4% paraformaldehyde (PFA) at 2°C for 48 hours. Following PFA fixation, bodies were cryoprotected in 30% sucrose for 48 hours at 2°C. Bodies were then mounted in OCT (Tissue-Tek, Sakura Finetek) and stored at -80 °C. Gonads were then cryosectioned in the sagittal plane at 40μm (Microm HM 550, Thermo Scientific), mounted on charged slides, and stained with hematoxylin and eosin using standard procedures.</w:t>
      </w:r>
    </w:p>
    <w:p>
      <w:pPr>
        <w:spacing w:after="160"/>
      </w:pPr>
      <w:r>
        <w:rPr>
          <w:rFonts w:ascii="Arial" w:hAnsi="Arial" w:cs="Arial"/>
          <w:sz w:val="26"/>
          <w:sz-cs w:val="26"/>
          <w:spacing w:val="0"/>
        </w:rPr>
        <w:t xml:space="preserve">To quantify gonadal composition, we examined the relative proportions of testicular and non-vitellogenic ovarian tissue in sex changing individuals. Females and the New Female were excluded because their gonads consisted entirely of ovarian tissue with large vitellogenic oocytes (7). For each individual, 20 randomly selected sections were imaged using a Zeiss Axioskop 40 (Carl Zeiss Microscopy LLC, White Plains, NY) at 10× magnification. Images were analyzed in Photoshop by identifying regions of testicular tissue, non-vitellogenic ovarian tissue, and connective tissue and recording the pixel area of each. The proportion of each tissue type was calculated by dividing its total area by the combined area of all three tissue types, excluding empty space. Differences in the proportions of testicular and ovarian tissue across phases were analyzed separately using linear regression.</w:t>
      </w:r>
    </w:p>
    <w:p>
      <w:pPr>
        <w:spacing w:after="160"/>
      </w:pPr>
      <w:r>
        <w:rPr>
          <w:rFonts w:ascii="Arial" w:hAnsi="Arial" w:cs="Arial"/>
          <w:sz w:val="26"/>
          <w:sz-cs w:val="26"/>
          <w:spacing w:val="0"/>
        </w:rPr>
        <w:t xml:space="preserve">To quantify gonadal volume, we also imaged a random 20 sections of gonad at 2.5x magnification using a Zeiss AxioScope A1 (Carl Zeiss Microscopy LLC, White Plains, NY) such that the entire gonad was within frame. If this was not the case, several images were taken. We then used Photoshop to measure the area of the gonad in each slide. From this sample, we were able to estimate the total volume of the entire gonad in pixels for each individual. Due to large differences between the phases, we log10 transformed this value in all analyses. Because, gonadal volume is correlated with body size, we analyzed gonadal volume with phase and body length as covariates. For the bottom panel in Figure 1B, we plot the residuals of a linear regression only including body length as a fixed effect such that the phases could be directly comparable.</w:t>
      </w:r>
    </w:p>
    <w:p>
      <w:pPr>
        <w:spacing w:after="266"/>
      </w:pPr>
      <w:r>
        <w:rPr>
          <w:rFonts w:ascii="Arial" w:hAnsi="Arial" w:cs="Arial"/>
          <w:sz w:val="26"/>
          <w:sz-cs w:val="26"/>
          <w:b/>
          <w:spacing w:val="0"/>
        </w:rPr>
        <w:t xml:space="preserve">POA Dissection</w:t>
      </w:r>
    </w:p>
    <w:p>
      <w:pPr>
        <w:spacing w:after="160"/>
      </w:pPr>
      <w:r>
        <w:rPr>
          <w:rFonts w:ascii="Arial" w:hAnsi="Arial" w:cs="Arial"/>
          <w:sz w:val="26"/>
          <w:sz-cs w:val="26"/>
          <w:spacing w:val="0"/>
        </w:rPr>
        <w:t xml:space="preserve">Following decapitation, the brain was immediately treated with chilled dissection medium by pipetting a small volume over the dorsal surface. The dissection medium consisted of Hibernate AB Complete medium supplemented with 2% B27, 0.5 mM GlutaMAX (BrainBits, LLC, Springfield, IL), and 200 U/mL Protector RNase Inhibitor (Roche, Basel, Switzerland). The brain was then removed and transferred to a Petri dish containing chilled dissection medium. The ventrocaudal telencephalon was isolated (Fig. S2A,B), transferred to an RNase-free tube, and stored at −80°C.</w:t>
      </w:r>
    </w:p>
    <w:p>
      <w:pPr>
        <w:spacing w:after="265"/>
      </w:pPr>
      <w:r>
        <w:rPr>
          <w:rFonts w:ascii="Arial" w:hAnsi="Arial" w:cs="Arial"/>
          <w:sz w:val="32"/>
          <w:sz-cs w:val="32"/>
          <w:b/>
          <w:spacing w:val="0"/>
        </w:rPr>
        <w:t xml:space="preserve">snMultiome</w:t>
      </w:r>
    </w:p>
    <w:p>
      <w:pPr>
        <w:spacing w:after="266"/>
      </w:pPr>
      <w:r>
        <w:rPr>
          <w:rFonts w:ascii="Arial" w:hAnsi="Arial" w:cs="Arial"/>
          <w:sz w:val="26"/>
          <w:sz-cs w:val="26"/>
          <w:b/>
          <w:spacing w:val="0"/>
        </w:rPr>
        <w:t xml:space="preserve">Nuclei Isolation</w:t>
      </w:r>
    </w:p>
    <w:p>
      <w:pPr>
        <w:spacing w:after="160"/>
      </w:pPr>
      <w:r>
        <w:rPr>
          <w:rFonts w:ascii="Arial" w:hAnsi="Arial" w:cs="Arial"/>
          <w:sz w:val="26"/>
          <w:sz-cs w:val="26"/>
          <w:spacing w:val="0"/>
        </w:rPr>
        <w:t xml:space="preserve">Nuclei isolation was adapted from the 10x Genomics Isolation of Nuclei for Single Cell Multiome ATAC + Gene Expression Demonstrated Protocol. Frozen specimens were thawed in 500 μL of 0.1× Lysis Buffer, partially homogenized by pipetting, and incubated for 10 min on an orbital shaker at 4°C. Following incubation, 500 μL of wash buffer was added, and samples were aspirated using a fire-polished, silanized pipette and mixed until complete homogenization was achieved. Samples were passed through a 70 μm cell strainer and centrifuged at 500 × g for 8 min at 4°C. The supernatant was discarded, and the pellet was resuspended in 1 mL of wash buffer.</w:t>
      </w:r>
    </w:p>
    <w:p>
      <w:pPr>
        <w:spacing w:after="160"/>
      </w:pPr>
      <w:r>
        <w:rPr>
          <w:rFonts w:ascii="Arial" w:hAnsi="Arial" w:cs="Arial"/>
          <w:sz w:val="26"/>
          <w:sz-cs w:val="26"/>
          <w:spacing w:val="0"/>
        </w:rPr>
        <w:t xml:space="preserve">All subsequent steps were performed at 4°C. Samples were mixed, passed through a 30 μm cell strainer, rinsed with 200 μL of wash buffer, and centrifuged at 500 × g for 5 min. The supernatant was discarded, and the pellet was resuspended in 1 mL of wash buffer. This wash and centrifugation step was repeated twice. Samples were then passed through a chilled 20 μm cell strainer and centrifuged at 500 × g for 5 min. The supernatant was discarded, and the pellet was resuspended in 500 μL of final resuspension buffer. Samples were filtered once more through a 20 μm cell strainer and gently mixed by repeated aspiration and dispensing. Ten microliters of each final nuclei suspension was mixed with 10 μL of 0.4% Trypan Blue. Nuclei were visualized using a hemocytometer at 10×, 20×, and 40× magnification and assessed for blebbing and debris. Final nuclei concentrations ranged from 3,230 to 8,060 nuclei/μL.</w:t>
      </w:r>
    </w:p>
    <w:p>
      <w:pPr>
        <w:spacing w:after="266"/>
      </w:pPr>
      <w:r>
        <w:rPr>
          <w:rFonts w:ascii="Arial" w:hAnsi="Arial" w:cs="Arial"/>
          <w:sz w:val="26"/>
          <w:sz-cs w:val="26"/>
          <w:b/>
          <w:spacing w:val="0"/>
        </w:rPr>
        <w:t xml:space="preserve">Library Construction, Sequencing, and Demultiplexing</w:t>
      </w:r>
    </w:p>
    <w:p>
      <w:pPr>
        <w:spacing w:after="160"/>
      </w:pPr>
      <w:r>
        <w:rPr>
          <w:rFonts w:ascii="Arial" w:hAnsi="Arial" w:cs="Arial"/>
          <w:sz w:val="26"/>
          <w:sz-cs w:val="26"/>
          <w:spacing w:val="0"/>
        </w:rPr>
        <w:t xml:space="preserve">Droplet-based barcoding, library preparation, and sequencing were performed at the Georgia Institute of Technology Parker H. Petit Institute for Bioengineering and Bioscience Genome Analysis Core using the 10x Genomics platform. Samples were sequenced on an Illumina NovaSeq 6000 S4 (Illumina Inc., San Diego, CA) to a depth of approximately 110,000 reads per nucleus for the GEX and ATAC modalities. Reads were aligned to the Amphiprion ocellaris RefSeq genome assembly (GCF_022539595.1).</w:t>
      </w:r>
    </w:p>
    <w:p>
      <w:pPr>
        <w:spacing w:after="160"/>
      </w:pPr>
      <w:r>
        <w:rPr>
          <w:rFonts w:ascii="Arial" w:hAnsi="Arial" w:cs="Arial"/>
          <w:sz w:val="26"/>
          <w:sz-cs w:val="26"/>
          <w:spacing w:val="0"/>
        </w:rPr>
        <w:t xml:space="preserve">To enable assignment of nuclei to individual fish, we also sequenced genomic DNA from each individual. DNA was extracted from fin tissue using the DNeasy Blood &amp; Tissue Kit (Qiagen, catalog no. 69504; Qiagen, Valencia, CA) and sequenced at the University of Illinois Roy J. Carver Biotechnology Center using an Illumina NovaSeq X Plus (Illumina Inc., San Diego, CA) with a 10B flow cell. BAM files were generated from each individual’s genomic DNA sequence data, and variants identified from genomic DNA and nuclear RNA were used to assign nuclei to individuals using a combination of Demuxlet (58) and Souporcell(59).</w:t>
      </w:r>
    </w:p>
    <w:p>
      <w:pPr>
        <w:spacing w:after="160"/>
      </w:pPr>
      <w:r>
        <w:rPr>
          <w:rFonts w:ascii="Arial" w:hAnsi="Arial" w:cs="Arial"/>
          <w:sz w:val="26"/>
          <w:sz-cs w:val="26"/>
          <w:spacing w:val="0"/>
        </w:rPr>
        <w:t xml:space="preserve">Cell Ranger ARC was used to demultiplex sequencing BCL files and generate FASTQ files for GEX and ATAC reads, create the reference genome package, perform cell calling for both modalities, and align reads to the reference genome. EmptyDropsMultiome (60) was then used to distinguish nuclei-containing droplets from empty droplets and identify background, ambient RNA, and multiplets. Souporcell was additionally used to validate singlets and multiplets identified by EmptyDropsMultiome.</w:t>
      </w:r>
    </w:p>
    <w:p>
      <w:pPr>
        <w:spacing w:after="160"/>
      </w:pPr>
      <w:r>
        <w:rPr>
          <w:rFonts w:ascii="Arial" w:hAnsi="Arial" w:cs="Arial"/>
          <w:sz w:val="26"/>
          <w:sz-cs w:val="26"/>
          <w:spacing w:val="0"/>
        </w:rPr>
        <w:t xml:space="preserve">Finally, we used MACS3 for ATAC-seq peak calling in place of the default Cell Ranger ARC peak calls because Cell Ranger ARC can merge distinct peaks located in close genomic proximity. MACS3 was also used to generate a unified peak set across all pooled samples.</w:t>
      </w:r>
    </w:p>
    <w:p>
      <w:pPr>
        <w:spacing w:after="266"/>
      </w:pPr>
      <w:r>
        <w:rPr>
          <w:rFonts w:ascii="Arial" w:hAnsi="Arial" w:cs="Arial"/>
          <w:sz w:val="26"/>
          <w:sz-cs w:val="26"/>
          <w:b/>
          <w:spacing w:val="0"/>
        </w:rPr>
        <w:t xml:space="preserve">Quality Control</w:t>
      </w:r>
    </w:p>
    <w:p>
      <w:pPr>
        <w:spacing w:after="160"/>
      </w:pPr>
      <w:r>
        <w:rPr>
          <w:rFonts w:ascii="Arial" w:hAnsi="Arial" w:cs="Arial"/>
          <w:sz w:val="26"/>
          <w:sz-cs w:val="26"/>
          <w:spacing w:val="0"/>
        </w:rPr>
        <w:t xml:space="preserve">Quality control was initially performed separately for each pool to identify high-quality nuclei and remove low-quality barcodes. Variable feature analysis was used to identify nuclei with low gene expression variability. Only barcodes containing at least 55% of highly variable genes were retained. In addition, barcodes in which the top 50 or top 100 most highly expressed genes accounted for more than 50% or 60% of total gene expression, respectively, were removed.</w:t>
      </w:r>
    </w:p>
    <w:p>
      <w:pPr>
        <w:spacing w:after="160"/>
      </w:pPr>
      <w:r>
        <w:rPr>
          <w:rFonts w:ascii="Arial" w:hAnsi="Arial" w:cs="Arial"/>
          <w:sz w:val="26"/>
          <w:sz-cs w:val="26"/>
          <w:spacing w:val="0"/>
        </w:rPr>
        <w:t xml:space="preserve">Following pool-level quality control, samples were merged and additional filtering was performed on the combined dataset. Nuclei were retained if they met the following criteria: 200 &lt; nCount_RNA &lt; 25,000; 200 &lt; nFeature_RNA &lt; 9,000; nCount_ATAC &lt; 25,000; nFeature_ATAC &lt; 16,000; mitochondrial reads &lt; 12%; protein-coding reads &gt; 85%; ribosomal reads &lt; 3%; TSS enrichment &gt; 0.8; and nucleosome signal &lt; 2.</w:t>
      </w:r>
    </w:p>
    <w:p>
      <w:pPr>
        <w:spacing w:after="266"/>
      </w:pPr>
      <w:r>
        <w:rPr>
          <w:rFonts w:ascii="Arial" w:hAnsi="Arial" w:cs="Arial"/>
          <w:sz w:val="26"/>
          <w:sz-cs w:val="26"/>
          <w:b/>
          <w:spacing w:val="0"/>
        </w:rPr>
        <w:t xml:space="preserve">Normalization and Initial Clustering</w:t>
      </w:r>
    </w:p>
    <w:p>
      <w:pPr>
        <w:spacing w:after="160"/>
      </w:pPr>
      <w:r>
        <w:rPr>
          <w:rFonts w:ascii="Arial" w:hAnsi="Arial" w:cs="Arial"/>
          <w:sz w:val="26"/>
          <w:sz-cs w:val="26"/>
          <w:spacing w:val="0"/>
        </w:rPr>
        <w:t xml:space="preserve">Clustering was performed broadly following a standard Seurat pipeline. For the RNA modality, raw counts were normalized using LogNormalize() in Seurat. The top variable features were identified using FindVariableFeatures() (nfeatures = 4,000), and data were scaled using ScaleData() (scale.max = 50). Dimensionality reduction was then performed using RunPCA() (npcs = 50), followed by integration using IntegrateLayers() with HarmonyIntegration() (61).</w:t>
      </w:r>
    </w:p>
    <w:p>
      <w:pPr>
        <w:spacing w:after="160"/>
      </w:pPr>
      <w:r>
        <w:rPr>
          <w:rFonts w:ascii="Arial" w:hAnsi="Arial" w:cs="Arial"/>
          <w:sz w:val="26"/>
          <w:sz-cs w:val="26"/>
          <w:spacing w:val="0"/>
        </w:rPr>
        <w:t xml:space="preserve">For the ATAC modality, the top features within each sequencing pool were identified using FindTopFeatures() (min.cutoff = 10). Term frequency–inverse document frequency (TF-IDF) normalization was performed using RunTFIDF(), followed by singular value decomposition using RunSVD() (n = 50) with features identified by FindTopFeatures(). Pools were then merged, and the same processing steps were applied to the combined dataset. Integration anchors were identified using FindIntegrationAnchors() (anchor.features = VariableFeatures, dims = 2:30, n.trees = 100, l2.norm = FALSE, scale = FALSE, max.features = 500). IntegrateEmbeddings() was then used with these anchors to generate a unified latent semantic indexing (LSI) reduction.</w:t>
      </w:r>
    </w:p>
    <w:p>
      <w:pPr>
        <w:spacing w:after="160"/>
      </w:pPr>
      <w:r>
        <w:rPr>
          <w:rFonts w:ascii="Arial" w:hAnsi="Arial" w:cs="Arial"/>
          <w:sz w:val="26"/>
          <w:sz-cs w:val="26"/>
          <w:spacing w:val="0"/>
        </w:rPr>
        <w:t xml:space="preserve">A weighted nearest-neighbor graph integrating both modalities was constructed using FindMultiModalNeighbors() (RNA dimensions = 1:50; ATAC dimensions = 2:50; prune.SNN = 0), using the RNA Harmony and ATAC LSI reductions. A uniform manifold approximation and projection (UMAP) was generated using RunUMAP() (min.dist = 0.4, metric = "euclidean"), and clusters were identified using FindClusters() (algorithm = 3, resolution = 0.4). An initial clustering resolution of 0.4 was selected based on the method described by Bai and Chu (2024) (62).</w:t>
      </w:r>
    </w:p>
    <w:p>
      <w:pPr>
        <w:spacing w:after="266"/>
      </w:pPr>
      <w:r>
        <w:rPr>
          <w:rFonts w:ascii="Arial" w:hAnsi="Arial" w:cs="Arial"/>
          <w:sz w:val="26"/>
          <w:sz-cs w:val="26"/>
          <w:b/>
          <w:spacing w:val="0"/>
        </w:rPr>
        <w:t xml:space="preserve">Removal of Dissection Errors</w:t>
      </w:r>
    </w:p>
    <w:p>
      <w:pPr>
        <w:spacing w:after="160"/>
      </w:pPr>
      <w:r>
        <w:rPr>
          <w:rFonts w:ascii="Arial" w:hAnsi="Arial" w:cs="Arial"/>
          <w:sz w:val="26"/>
          <w:sz-cs w:val="26"/>
          <w:spacing w:val="0"/>
        </w:rPr>
        <w:t xml:space="preserve">To remove clusters likely the result of dissection errors, we first excluded any clusters that appeared in. &lt; 90% of individuals. Next, we calculated the coefficient of variation (CV) for each clusters relative abundance across all individuals and excluded any clusters with a CV higher than 0.5.</w:t>
      </w:r>
    </w:p>
    <w:p>
      <w:pPr>
        <w:spacing w:after="266"/>
      </w:pPr>
      <w:r>
        <w:rPr>
          <w:rFonts w:ascii="Arial" w:hAnsi="Arial" w:cs="Arial"/>
          <w:sz w:val="26"/>
          <w:sz-cs w:val="26"/>
          <w:b/>
          <w:spacing w:val="0"/>
        </w:rPr>
        <w:t xml:space="preserve">Final Clustering</w:t>
      </w:r>
    </w:p>
    <w:p>
      <w:pPr>
        <w:spacing w:after="160"/>
      </w:pPr>
      <w:r>
        <w:rPr>
          <w:rFonts w:ascii="Arial" w:hAnsi="Arial" w:cs="Arial"/>
          <w:sz w:val="26"/>
          <w:sz-cs w:val="26"/>
          <w:spacing w:val="0"/>
        </w:rPr>
        <w:t xml:space="preserve">In order to find the optimal set of parameters for WNN clustering, we next performed a parameter sweep across RNA principal components (30-50), ATAC LSI components (2-50), k-nearest neighbors (30, 40, 50), and Leiden clustering resolution (0.4-1.5). We then selected the combination with the highest mean pairwise Adjusted Rand Index, resulting in our final clustering resolution for downstream analysis being composed of 40 RNA principal components, 45 ATAC LSI components, and 0.8 clustering resolution.</w:t>
      </w:r>
    </w:p>
    <w:p>
      <w:pPr>
        <w:spacing w:after="265"/>
      </w:pPr>
      <w:r>
        <w:rPr>
          <w:rFonts w:ascii="Arial" w:hAnsi="Arial" w:cs="Arial"/>
          <w:sz w:val="32"/>
          <w:sz-cs w:val="32"/>
          <w:b/>
          <w:spacing w:val="0"/>
        </w:rPr>
        <w:t xml:space="preserve">Spatial Transcriptomics</w:t>
      </w:r>
    </w:p>
    <w:p>
      <w:pPr>
        <w:spacing w:after="266"/>
      </w:pPr>
      <w:r>
        <w:rPr>
          <w:rFonts w:ascii="Arial" w:hAnsi="Arial" w:cs="Arial"/>
          <w:sz w:val="26"/>
          <w:sz-cs w:val="26"/>
          <w:b/>
          <w:spacing w:val="0"/>
        </w:rPr>
        <w:t xml:space="preserve">Tissue Collection and Sectioning</w:t>
      </w:r>
    </w:p>
    <w:p>
      <w:pPr>
        <w:spacing w:after="160"/>
      </w:pPr>
      <w:r>
        <w:rPr>
          <w:rFonts w:ascii="Arial" w:hAnsi="Arial" w:cs="Arial"/>
          <w:sz w:val="26"/>
          <w:sz-cs w:val="26"/>
          <w:spacing w:val="0"/>
        </w:rPr>
        <w:t xml:space="preserve">Six Males and six Females from six tanks containing established male–female reproductive pairs were sampled (12 fish total; see SI Appendix, Table S8 for lengths and weights). Fish were decapitated, and brains were rapidly removed and placed in molds containing chilled OCT maintained at wet-ice temperature. Each mold contained four brains representing two reproductive pairs from two tanks (two Males and two Females). Brains were arranged with the anterior end facing down and the spinal cord facing up, with the two female brains positioned in the top row and the two male brains in the bottom row. This arrangement was designed to maximize the amount of brain tissue that could be accommodated within the capture area of each Visium HD slide.</w:t>
      </w:r>
    </w:p>
    <w:p>
      <w:pPr>
        <w:spacing w:after="160"/>
      </w:pPr>
      <w:r>
        <w:rPr>
          <w:rFonts w:ascii="Arial" w:hAnsi="Arial" w:cs="Arial"/>
          <w:sz w:val="26"/>
          <w:sz-cs w:val="26"/>
          <w:spacing w:val="0"/>
        </w:rPr>
        <w:t xml:space="preserve">Following embedding, molds were frozen at −80°C and transferred directly to a cryostat for fresh-frozen sectioning. Brains were sectioned at 10 μm, and sections were selected for Visium HD based on tissue quality and anatomical coverage, with the goal of maximizing the brain area represented and sampling across the rostrocaudal extent of the dissected regions. Four sections were placed on each Visium HD slide, with each section containing tissue from four fish representing two tanks. Four Visium HD slides were prepared. Two slides contained sections from the same four fish (two reproductive pairs), whereas the remaining two slides contained sections from the other eight fish (four reproductive pairs). Thus, all 12 fish were represented across the four slides, with four fish represented on two slides.</w:t>
      </w:r>
    </w:p>
    <w:p>
      <w:pPr>
        <w:spacing w:after="160"/>
      </w:pPr>
      <w:r>
        <w:rPr>
          <w:rFonts w:ascii="Arial" w:hAnsi="Arial" w:cs="Arial"/>
          <w:sz w:val="26"/>
          <w:sz-cs w:val="26"/>
          <w:spacing w:val="0"/>
        </w:rPr>
        <w:t xml:space="preserve">Sections were briefly thawed to promote adherence to the slide and then immediately returned to frozen conditions on dry ice or at −80°C until Visium HD processing. Although every effort was made to maintain a consistent plane of section, some brains were sectioned at slightly oblique angles.</w:t>
      </w:r>
    </w:p>
    <w:p>
      <w:pPr>
        <w:spacing w:after="266"/>
      </w:pPr>
      <w:r>
        <w:rPr>
          <w:rFonts w:ascii="Arial" w:hAnsi="Arial" w:cs="Arial"/>
          <w:sz w:val="26"/>
          <w:sz-cs w:val="26"/>
          <w:b/>
          <w:spacing w:val="0"/>
        </w:rPr>
        <w:t xml:space="preserve">Visium HD 3′ Spatial Transcriptomics</w:t>
      </w:r>
    </w:p>
    <w:p>
      <w:pPr>
        <w:spacing w:after="160"/>
      </w:pPr>
      <w:r>
        <w:rPr>
          <w:rFonts w:ascii="Arial" w:hAnsi="Arial" w:cs="Arial"/>
          <w:sz w:val="26"/>
          <w:sz-cs w:val="26"/>
          <w:spacing w:val="0"/>
        </w:rPr>
        <w:t xml:space="preserve">For Visium HD 3′ Spatial Gene Expression analysis, fresh frozen tissue sections were prepared according to the manufacturer's recommended tissue preparation workflow (CG000804, Rev B, 10x Genomics, USA). The workflow includes tissue sectioning, fixation, hematoxylin and eosin (H&amp;E) staining, and high-resolution imaging using Zeiss Axiocam 712 color camera fitted with a Zeiss LSM 980 Axioobserver microscope system (Carl Zeiss, Germany). Visium HD 3′ is designed specifically for fresh frozen tissue and uses polyadenylated RNA for capturing the whole transcriptome. Quality control of both RIN (RNA integrity) and tissue morphology were evaluated in all blocks and only blocks with over RIN score of 7 with good morphology used for the assay. Following high-resolution imaging, sections were processed following the Gene Expression workflow from 10x Genomics (Pleasanton, CA-Visium HD 3' Spatial Gene Expression, CG000805, Rev B). Upon processing the sections further, the CytAssist (10x Genomics) system was used to transfer the RNA from tissue sections to a Visium HD3’ GE slides with oligonucleotides containing spatial barcodes (6.5x6.5 mm capture areas) for 30 min according to the manufacturer protocols. Polyadenylated tails of mRNA molecules released from the tissue were captured by unique molecular identifiers and hybridized to poly(dT) sequences. Captured RNA was subjected to reverse transcription to generate spatially barcoded cDNA that were delivered to DNA services for library construction and sequencing. The high-resolution images from the microscope as well as CytAssist images were uploaded for alignment of sections from the two systems to overlay the sequenced data by HPCBio services.</w:t>
      </w:r>
    </w:p>
    <w:p>
      <w:pPr>
        <w:spacing w:after="266"/>
      </w:pPr>
      <w:r>
        <w:rPr>
          <w:rFonts w:ascii="Arial" w:hAnsi="Arial" w:cs="Arial"/>
          <w:sz w:val="26"/>
          <w:sz-cs w:val="26"/>
          <w:b/>
          <w:spacing w:val="0"/>
        </w:rPr>
        <w:t xml:space="preserve">Final Construction and Sequencing of Visium Libraries</w:t>
      </w:r>
    </w:p>
    <w:p>
      <w:pPr>
        <w:spacing w:after="160"/>
      </w:pPr>
      <w:r>
        <w:rPr>
          <w:rFonts w:ascii="Arial" w:hAnsi="Arial" w:cs="Arial"/>
          <w:sz w:val="26"/>
          <w:sz-cs w:val="26"/>
          <w:spacing w:val="0"/>
        </w:rPr>
        <w:t xml:space="preserve">Spatially barcoded cDNAs were immediately brought to the UIUC Carver Biotech DNA Service</w:t>
      </w:r>
    </w:p>
    <w:p>
      <w:pPr>
        <w:spacing w:after="160"/>
      </w:pPr>
      <w:r>
        <w:rPr>
          <w:rFonts w:ascii="Arial" w:hAnsi="Arial" w:cs="Arial"/>
          <w:sz w:val="26"/>
          <w:sz-cs w:val="26"/>
          <w:spacing w:val="0"/>
        </w:rPr>
        <w:t xml:space="preserve">s Core for amplification, strictly following the 10x Genomics Visium HD 3’ Fresh Frozen protocol. The amplified cDNAs were enzymatically fragmented and converted into sequencing-ready, dual-indexed libraries through standard end-repair, A-tailing, adaptor ligation, and PCR. The final libraries were quantitated on Qubit (Life Technologies, Grand Island, NY) and the average size determined on the Fragment Analyzer (Agilent Technologies, Santa Clara, CA). The libraries were pooled by calculated capture spot coverage via Loupe Browser and the pool diluted to 5nM concentration, then further quantitated by qPCR on a Bio-Rad CFX Connect Real-Time System (Bio-Rad Laboratories, Inc. CA). The final pool was sequenced on one lane of 25B flowcell on an Illumina NovaSeq X Plus (Illumina, San Diego, CA) to a length of 43nt (read 1, contains the spot barcode and unique molecular identifier used for removing PCR duplicates), 10nt for each index (libraries contain unique dual indexes to prevent index switching) and 75nt for read 2 (the cDNA read). Fastq.gz files were generated and demultiplexed with bcl-convert v4.3.6 Conversion Software (Illumina).</w:t>
      </w:r>
    </w:p>
    <w:p>
      <w:pPr>
        <w:spacing w:after="266"/>
      </w:pPr>
      <w:r>
        <w:rPr>
          <w:rFonts w:ascii="Arial" w:hAnsi="Arial" w:cs="Arial"/>
          <w:sz w:val="26"/>
          <w:sz-cs w:val="26"/>
          <w:b/>
          <w:spacing w:val="0"/>
        </w:rPr>
        <w:t xml:space="preserve">Read Alignment</w:t>
      </w:r>
    </w:p>
    <w:p>
      <w:pPr>
        <w:spacing w:after="160"/>
      </w:pPr>
      <w:r>
        <w:rPr>
          <w:rFonts w:ascii="Arial" w:hAnsi="Arial" w:cs="Arial"/>
          <w:sz w:val="26"/>
          <w:sz-cs w:val="26"/>
          <w:spacing w:val="0"/>
        </w:rPr>
        <w:t xml:space="preserve">Reads were aligned to Genome assembly ASM2253959v1 (NCBI Annotation GCF_022539595.1-RS_2023_03) using Space Ranger (v4.0.1; 10x Genomics) using default parameters. Loupe Browser (v9.1.0; 10x Genomics) was used to output the segmented cell IDs per animal with brain region annotations.</w:t>
      </w:r>
    </w:p>
    <w:p>
      <w:pPr>
        <w:spacing w:after="266"/>
      </w:pPr>
      <w:r>
        <w:rPr>
          <w:rFonts w:ascii="Arial" w:hAnsi="Arial" w:cs="Arial"/>
          <w:sz w:val="26"/>
          <w:sz-cs w:val="26"/>
          <w:b/>
          <w:spacing w:val="0"/>
        </w:rPr>
        <w:t xml:space="preserve">Quality Control</w:t>
      </w:r>
    </w:p>
    <w:p>
      <w:pPr>
        <w:spacing w:after="160"/>
      </w:pPr>
      <w:r>
        <w:rPr>
          <w:rFonts w:ascii="Arial" w:hAnsi="Arial" w:cs="Arial"/>
          <w:sz w:val="26"/>
          <w:sz-cs w:val="26"/>
          <w:spacing w:val="0"/>
        </w:rPr>
        <w:t xml:space="preserve">Each slide’s data was read into R (v4.5.0 using Seurat (v5.3.1) and separated by sample using the cell IDs, then all 12 samples merged into one Seurat object without layers, resulting in 463,466 total cells. Cells with &lt;25 UMIs or ≥50% mitochondrial reads were discarded, resulting in 433,999 cells for downstream analysis. 5,641 genes were also removed because they were not detected in at least 10 cells, leaving 22,363 genes for further analysis.</w:t>
      </w:r>
    </w:p>
    <w:p>
      <w:pPr>
        <w:spacing w:after="266"/>
      </w:pPr>
      <w:r>
        <w:rPr>
          <w:rFonts w:ascii="Arial" w:hAnsi="Arial" w:cs="Arial"/>
          <w:sz w:val="26"/>
          <w:sz-cs w:val="26"/>
          <w:b/>
          <w:spacing w:val="0"/>
        </w:rPr>
        <w:t xml:space="preserve">Neuroanatomical Annotation</w:t>
      </w:r>
    </w:p>
    <w:p>
      <w:pPr>
        <w:spacing w:after="160"/>
      </w:pPr>
      <w:r>
        <w:rPr>
          <w:rFonts w:ascii="Arial" w:hAnsi="Arial" w:cs="Arial"/>
          <w:sz w:val="26"/>
          <w:sz-cs w:val="26"/>
          <w:spacing w:val="0"/>
        </w:rPr>
        <w:t xml:space="preserve">Because there is no published atlas for any anemonefish brain, we relied on a published atlas from Astatotilapia burtoni (63) in combination with unbiased clustering and gene expression (see “Spatial Transcriptomics”) for our annotations. Interestingly, we noted a few differences between the A. ocellaris and A. burtoni brains. Transcriptomically, Dl-v2 (ventral part of the lateral zone of the dorsal telencephalon, subdivision 2) and Dl-g (granular zone of lateral zone of the dorsal telencephalon), were distinct in their transcriptomes depending on rostral versus caudal position or dorsal versus ventral position. Thus, we reannotated them as Dl-v2d and Dl-gd (dorsal part). We also noted a neuronal cluster of high cell density in the dorsolateral pallium near Dl-g that appeared to have no equivalent in A. burtoni and had unique rostral and caudal transcriptomes. Thus, we labeled this dorsolateral nucleus rostral and caudal parts (Dln-r and Dln-c) (Figure S3). Because this cell type was largely dissected out in our dataset, we did not examine it further.</w:t>
      </w:r>
    </w:p>
    <w:p>
      <w:pPr>
        <w:spacing w:after="266"/>
      </w:pPr>
      <w:r>
        <w:rPr>
          <w:rFonts w:ascii="Arial" w:hAnsi="Arial" w:cs="Arial"/>
          <w:sz w:val="26"/>
          <w:sz-cs w:val="26"/>
          <w:b/>
          <w:spacing w:val="0"/>
        </w:rPr>
        <w:t xml:space="preserve">Projection of snMultiome Data onto Visium HD Data (Cell2location)</w:t>
      </w:r>
    </w:p>
    <w:p>
      <w:pPr>
        <w:spacing w:after="160"/>
      </w:pPr>
      <w:r>
        <w:rPr>
          <w:rFonts w:ascii="Arial" w:hAnsi="Arial" w:cs="Arial"/>
          <w:sz w:val="26"/>
          <w:sz-cs w:val="26"/>
          <w:spacing w:val="0"/>
        </w:rPr>
        <w:t xml:space="preserve">To map our snMultiome clusters onto the VisiumHD sections, we used Cell2location (19). To do this, we first trained regression models (RegressionModel) on raw RNA counts excluding genes that were present in fewer than 10 cells. The model was conditioned on sample/pool identity as a batch covariate and on cluster identity as the cell type label. The model was trained for 250 epochs with batch size set to 4096 and posterior distributions were exported using 1000 posterior samples. Mean expression per cell cluster was extracted from the posterior (means_per_cluster_mu_fg) to construct the reference signature matrix for downstream mapping. Next, we fit the model to the VisiumHD sketch assay (bin level) only including bins that would have been included in our dissection of the ventrocaudal telencephalon during snMultiome sequencing. Genes were intersected between the spatial sketch dataset and the reference signature matrix to restrict analysis to a shared gene set. The cell2location spatial mapping model (Cell2location) was then fit to the sketch data, using slice identity as a batch covariate, an expected cell abundance per spot prior of N_cells_per_location = 3, and a detection_alpha of 200 to account for technical variation in detection sensitivity across slices. The model was trained for up to 1,000 epochs (batch size 2048, full training set, no held-out validation split). Posterior cell type abundances were exported using 100 posterior samples, yielding per-spot mean, 5th percentile (q05), and 95th percentile (q95) estimates of absolute cell type abundance for each reference-derived cell type. For each sketch spot, the cell type with the highest 5th-percentile (q05) posterior abundance estimate was assigned as the spot's dominant cell type. These categorical dominant-cell-type labels were then projected from the sketch assay to the full-resolution Visium HD dataset using Seurat's ProjectData function, which maps sketch-level metadata onto the full dataset via a shared PCA embedding (15 dimensions). This yielded a full-resolution spatial map of predicted dominant cell type identity across all tissue bins.</w:t>
      </w:r>
    </w:p>
    <w:p>
      <w:pPr>
        <w:spacing w:after="265"/>
      </w:pPr>
      <w:r>
        <w:rPr>
          <w:rFonts w:ascii="Arial" w:hAnsi="Arial" w:cs="Arial"/>
          <w:sz w:val="32"/>
          <w:sz-cs w:val="32"/>
          <w:b/>
          <w:spacing w:val="0"/>
        </w:rPr>
        <w:t xml:space="preserve">Integration with the Anemonefish Telencephalon snRNA-seq Atlas (Parker 2024)</w:t>
      </w:r>
    </w:p>
    <w:p>
      <w:pPr>
        <w:spacing w:after="266"/>
      </w:pPr>
      <w:r>
        <w:rPr>
          <w:rFonts w:ascii="Arial" w:hAnsi="Arial" w:cs="Arial"/>
          <w:sz w:val="26"/>
          <w:sz-cs w:val="26"/>
          <w:b/>
          <w:spacing w:val="0"/>
        </w:rPr>
        <w:t xml:space="preserve">Realignment of Parker 2024 to the A. ocellaris Genome</w:t>
      </w:r>
    </w:p>
    <w:p>
      <w:pPr>
        <w:spacing w:after="160"/>
      </w:pPr>
      <w:r>
        <w:rPr>
          <w:rFonts w:ascii="Arial" w:hAnsi="Arial" w:cs="Arial"/>
          <w:sz w:val="26"/>
          <w:sz-cs w:val="26"/>
          <w:spacing w:val="0"/>
        </w:rPr>
        <w:t xml:space="preserve">Because the data published in Parker (2024)(5) were generated before an Amphiprion ocellaris genome assembly was available, reads in that study were originally aligned to an Amphiprion percula genome, whereas reads in the present study were aligned to the A. ocellaris genome. To enable direct comparison between datasets, raw reads from Parker (2024) were realigned to the A. ocellaris RefSeq genome assembly (GCF_022539595.1). The previously established cluster identities and annotations from Parker (2024) were retained, allowing the original atlas structure to be preserved while placing both datasets within the same genomic reference framework. xxJenny: Please verify this description and add any necessary details regarding how the Parker 2024 data were realigned and processed after realignment.</w:t>
      </w:r>
    </w:p>
    <w:p>
      <w:pPr>
        <w:spacing w:after="266"/>
      </w:pPr>
      <w:r>
        <w:rPr>
          <w:rFonts w:ascii="Arial" w:hAnsi="Arial" w:cs="Arial"/>
          <w:sz w:val="26"/>
          <w:sz-cs w:val="26"/>
          <w:b/>
          <w:spacing w:val="0"/>
        </w:rPr>
        <w:t xml:space="preserve">Visium HD</w:t>
      </w:r>
    </w:p>
    <w:p>
      <w:pPr>
        <w:spacing w:after="160"/>
      </w:pPr>
      <w:r>
        <w:rPr>
          <w:rFonts w:ascii="Arial" w:hAnsi="Arial" w:cs="Arial"/>
          <w:sz w:val="26"/>
          <w:sz-cs w:val="26"/>
          <w:spacing w:val="0"/>
        </w:rPr>
        <w:t xml:space="preserve">Visium HD mapping was performed as described in “Projection of snMultiome Data Onto Visium HD Data,” using the parent clusters from Parker (2024). The only difference was dissected regions were not removed from the Visium HD dataset because Parker (2024) provided an atlas of the entire telencephalon.</w:t>
      </w:r>
    </w:p>
    <w:p>
      <w:pPr>
        <w:spacing w:after="266"/>
      </w:pPr>
      <w:r>
        <w:rPr>
          <w:rFonts w:ascii="Arial" w:hAnsi="Arial" w:cs="Arial"/>
          <w:sz w:val="26"/>
          <w:sz-cs w:val="26"/>
          <w:b/>
          <w:spacing w:val="0"/>
        </w:rPr>
        <w:t xml:space="preserve">Label Transfer with the Multiome Object</w:t>
      </w:r>
    </w:p>
    <w:p>
      <w:pPr>
        <w:spacing w:after="160"/>
      </w:pPr>
      <w:r>
        <w:rPr>
          <w:rFonts w:ascii="Arial" w:hAnsi="Arial" w:cs="Arial"/>
          <w:sz w:val="26"/>
          <w:sz-cs w:val="26"/>
          <w:spacing w:val="0"/>
        </w:rPr>
        <w:t xml:space="preserve">To map cell types between datasets, cluster labels were transferred using Seurat’s label transfer functionality. Transfer anchors were first identified using FindTransferAnchors() (dims = 1:30, reference.reduction = "pca", features = rownames(reference object)). Labels were then transferred using TransferData() (dims = 1:30), and predicted cluster identities were assigned based on the predicted.id output. Label transfer was performed in both directions: from the multiome dataset to Parker (2024) and from both the parent and child clusters of Parker (2024) to the multiome dataset.</w:t>
      </w:r>
    </w:p>
    <w:p>
      <w:pPr>
        <w:spacing w:after="266"/>
      </w:pPr>
      <w:r>
        <w:rPr>
          <w:rFonts w:ascii="Arial" w:hAnsi="Arial" w:cs="Arial"/>
          <w:sz w:val="26"/>
          <w:sz-cs w:val="26"/>
          <w:b/>
          <w:spacing w:val="0"/>
        </w:rPr>
        <w:t xml:space="preserve">Mutual Best Hits</w:t>
      </w:r>
    </w:p>
    <w:p>
      <w:pPr>
        <w:spacing w:after="160"/>
      </w:pPr>
      <w:r>
        <w:rPr>
          <w:rFonts w:ascii="Arial" w:hAnsi="Arial" w:cs="Arial"/>
          <w:sz w:val="26"/>
          <w:sz-cs w:val="26"/>
          <w:spacing w:val="0"/>
        </w:rPr>
        <w:t xml:space="preserve">To identify clusters with strong correspondence between Parker (2024) and the multiome dataset, we constructed contingency tables cross-tabulating the native cluster assignments in each dataset with the corresponding cluster labels predicted from the other dataset. For each cluster, the best hit was defined as the predicted cluster containing the highest proportion of its cells. Two clusters were considered mutual best hits when each was independently identified as the other’s best match. This analysis was performed at both the parent and child cluster levels.</w:t>
      </w:r>
    </w:p>
    <w:p>
      <w:pPr>
        <w:spacing w:after="265"/>
      </w:pPr>
      <w:r>
        <w:rPr>
          <w:rFonts w:ascii="Arial" w:hAnsi="Arial" w:cs="Arial"/>
          <w:sz w:val="32"/>
          <w:sz-cs w:val="32"/>
          <w:b/>
          <w:spacing w:val="0"/>
        </w:rPr>
        <w:t xml:space="preserve">Differential Expression, Accessibility and Their Integration (full text)</w:t>
      </w:r>
    </w:p>
    <w:p>
      <w:pPr>
        <w:spacing w:after="266"/>
      </w:pPr>
      <w:r>
        <w:rPr>
          <w:rFonts w:ascii="Arial" w:hAnsi="Arial" w:cs="Arial"/>
          <w:sz w:val="26"/>
          <w:sz-cs w:val="26"/>
          <w:b/>
          <w:spacing w:val="0"/>
        </w:rPr>
        <w:t xml:space="preserve">DEG Analysis</w:t>
      </w:r>
    </w:p>
    <w:p>
      <w:pPr>
        <w:spacing w:after="160"/>
      </w:pPr>
      <w:r>
        <w:rPr>
          <w:rFonts w:ascii="Arial" w:hAnsi="Arial" w:cs="Arial"/>
          <w:sz w:val="26"/>
          <w:sz-cs w:val="26"/>
          <w:spacing w:val="0"/>
        </w:rPr>
        <w:t xml:space="preserve">To calculate differentially expressed genes (DEGs), we used a similar approach to Parker et al.(5), Johnson et al. (64), and Connolly et al. (65). For each cluster, we used a negative binomial mixed regression using the “glmer” package (66). The response variable was the raw counts of the gene, the predictor variable was phase, and a random effect of individual ID was included. Dispersions were estimated using a gamma-Poisson model. We also included an offset term of the natural logarithm of the library sizes per nucleus to normalize variation in sequencing depth across the nuclei. For each gene, once the model was fit, type-III tests were computed and the false discovery rate (q-value) (55) for the “Phase” term was calculated within each cluster. A gene was considered a DEG if the q-value of type-III tests was &lt; 0.05 and the model successfully converged. For gnrh1 in 6_POA_Mixed, the negative binomial model failed to converge, so we reverted to a pseudobulked analysis where the mean expression for each individual was fit against phase lm(mean_gnrh1_expression ~phase).</w:t>
      </w:r>
    </w:p>
    <w:p>
      <w:pPr>
        <w:spacing w:after="266"/>
      </w:pPr>
      <w:r>
        <w:rPr>
          <w:rFonts w:ascii="Arial" w:hAnsi="Arial" w:cs="Arial"/>
          <w:sz w:val="26"/>
          <w:sz-cs w:val="26"/>
          <w:b/>
          <w:spacing w:val="0"/>
        </w:rPr>
        <w:t xml:space="preserve">Differentially Accessible Region (DAR) Analysis</w:t>
      </w:r>
    </w:p>
    <w:p>
      <w:pPr>
        <w:spacing w:after="160"/>
      </w:pPr>
      <w:r>
        <w:rPr>
          <w:rFonts w:ascii="Arial" w:hAnsi="Arial" w:cs="Arial"/>
          <w:sz w:val="26"/>
          <w:sz-cs w:val="26"/>
          <w:spacing w:val="0"/>
        </w:rPr>
        <w:t xml:space="preserve">Differentially accessible regions (DARs) were identified independently within each cluster using a pseudobulk approach implemented in edgeR. ATAC fragment counts were summed across nuclei from each individual to generate one pseudobulk accessibility profile per individual. Peaks detected in fewer than 10 individuals or with fewer than 80 total counts were excluded from analysis. Library sizes were normalized using the trimmed mean of M-values (TMM) method, dispersions were estimated with estimateDisp(), and quasi-likelihood generalized linear models were fit using glmQLFit(). Pairwise contrasts (M vs. F, M vs. I, and F vs. I) were tested using quasi-likelihood F-tests (glmQLFTest()), and peaks with a false discovery rate (FDR) &lt; 0.20 in any comparison were considered differentially accessible.</w:t>
      </w:r>
    </w:p>
    <w:p>
      <w:pPr>
        <w:spacing w:after="266"/>
      </w:pPr>
      <w:r>
        <w:rPr>
          <w:rFonts w:ascii="Arial" w:hAnsi="Arial" w:cs="Arial"/>
          <w:sz w:val="26"/>
          <w:sz-cs w:val="26"/>
          <w:b/>
          <w:spacing w:val="0"/>
        </w:rPr>
        <w:t xml:space="preserve">Integration of Differential Gene Expression and Chromatin Accessibility</w:t>
      </w:r>
    </w:p>
    <w:p>
      <w:pPr>
        <w:spacing w:after="160"/>
      </w:pPr>
      <w:r>
        <w:rPr>
          <w:rFonts w:ascii="Arial" w:hAnsi="Arial" w:cs="Arial"/>
          <w:sz w:val="26"/>
          <w:sz-cs w:val="26"/>
          <w:spacing w:val="0"/>
        </w:rPr>
        <w:t xml:space="preserve">To evaluate the relationship between differential gene expression and chromatin accessibility, we performed two complementary pseudobulk correlation analyses. In both analyses, RNA and ATAC counts were summed across nuclei from each individual within each cluster to generate pseudobulk profiles. Individuals represented by fewer than five nuclei within a cluster were excluded. RNA and ATAC libraries were normalized independently to log counts-per-million (logCPM), and Pearson and Spearman correlations were calculated across individuals. Correlation analyses were considered valid only when at least 18 individuals were available, RNA and ATAC counts were nonzero in at least 18 individuals, and both datasets exhibited non-zero variance.</w:t>
      </w:r>
    </w:p>
    <w:p>
      <w:pPr>
        <w:spacing w:after="160"/>
      </w:pPr>
      <w:r>
        <w:rPr>
          <w:rFonts w:ascii="Arial" w:hAnsi="Arial" w:cs="Arial"/>
          <w:sz w:val="26"/>
          <w:sz-cs w:val="26"/>
          <w:spacing w:val="0"/>
        </w:rPr>
        <w:t xml:space="preserve">For the DEG-centered analysis, each DEG was paired with all ATAC peaks overlapping the annotated gene body or a proximal promoter region (2 kb upstream and 500 bp downstream of the transcription start site). The peak exhibiting the strongest absolute Pearson correlation with gene expression was retained for each DEG. For the complementary DAR-centered analysis, each DAR was paired with its nearest annotated gene, and chromatin accessibility was correlated with expression of that gene across individuals. Pearson P-values from both analyses were corrected for multiple testing using the Benjamini-Hochberg false discovery rate procedure.</w:t>
      </w:r>
    </w:p>
    <w:p>
      <w:pPr>
        <w:spacing w:after="265"/>
      </w:pPr>
      <w:r>
        <w:rPr>
          <w:rFonts w:ascii="Arial" w:hAnsi="Arial" w:cs="Arial"/>
          <w:sz w:val="32"/>
          <w:sz-cs w:val="32"/>
          <w:b/>
          <w:spacing w:val="0"/>
        </w:rPr>
        <w:t xml:space="preserve">Gene Ontology and Regulatory Network Methods (full text)</w:t>
      </w:r>
    </w:p>
    <w:p>
      <w:pPr>
        <w:spacing w:after="266"/>
      </w:pPr>
      <w:r>
        <w:rPr>
          <w:rFonts w:ascii="Arial" w:hAnsi="Arial" w:cs="Arial"/>
          <w:sz w:val="26"/>
          <w:sz-cs w:val="26"/>
          <w:b/>
          <w:spacing w:val="0"/>
        </w:rPr>
        <w:t xml:space="preserve">GO Analysis</w:t>
      </w:r>
    </w:p>
    <w:p>
      <w:pPr>
        <w:spacing w:after="160"/>
      </w:pPr>
      <w:r>
        <w:rPr>
          <w:rFonts w:ascii="Arial" w:hAnsi="Arial" w:cs="Arial"/>
          <w:sz w:val="26"/>
          <w:sz-cs w:val="26"/>
          <w:spacing w:val="0"/>
        </w:rPr>
        <w:t xml:space="preserve">Gene ontology (GO) analysis was performed using the enricher() function from the R package clusterProfiler, with pAdjustMethod = "fdr" and p- and q-value cutoffs of 0.05. Because the A. ocellaris genome is poorly annotated, we used GO IDs and GO terms from the Homo sapiens genome. To do this, we first mapped human orthologs using Ensembl's precomputed homology annotations, retrieved via the R package biomaRt (aocellaris_gene_ensembl dataset). Because gene symbols and Ensembl homology calls are stored under separate BioMart attribute pages, we joined these using shared Ensembl transcript IDs. For a small number of genes with well-established nomenclature discrepancies between A. ocellaris and human annotations (e.g., kisspeptin, oxytocin/vasopressin, and their associated receptors), we manually corrected the assigned human ortholog based on gene identity rather than Ensembl's automated name matching.</w:t>
      </w:r>
    </w:p>
    <w:p>
      <w:pPr>
        <w:spacing w:after="266"/>
      </w:pPr>
      <w:r>
        <w:rPr>
          <w:rFonts w:ascii="Arial" w:hAnsi="Arial" w:cs="Arial"/>
          <w:sz w:val="26"/>
          <w:sz-cs w:val="26"/>
          <w:b/>
          <w:spacing w:val="0"/>
        </w:rPr>
        <w:t xml:space="preserve">Candidate Transcription Factor Regulatory Network Analysis</w:t>
      </w:r>
    </w:p>
    <w:p>
      <w:pPr>
        <w:spacing w:after="160"/>
      </w:pPr>
      <w:r>
        <w:rPr>
          <w:rFonts w:ascii="Arial" w:hAnsi="Arial" w:cs="Arial"/>
          <w:sz w:val="26"/>
          <w:sz-cs w:val="26"/>
          <w:spacing w:val="0"/>
        </w:rPr>
        <w:t xml:space="preserve">To identify candidate transcriptional regulators of gene-expression changes in clusters 1_RGC and 6_POA_Mixed during sex change, we integrated differential gene expression, chromatin accessibility, peak-to-gene correlations, and transcription factor (TF) motif information within each cell cluster. We first identified a restricted set of target genes for which gene expression was associated with local chromatin accessibility and either expression or accessibility differed across sex-change groups. Thus, target genes were identified through two complementary routes. First, DEGs were retained when expression of the gene was significantly correlated with accessibility of at least one locally associated ATAC peak across individuals (Pearson’s correlation, P ≤ 0.05). Second, genes associated with DARs were retained when their expression was significantly correlated with accessibility of the associated DAR (Pearson’s correlation, P ≤ 0.05). The union of genes identified through these two approaches was defined as the set of accessibility-supported target genes for subsequent regulatory analysis.</w:t>
      </w:r>
    </w:p>
    <w:p>
      <w:pPr>
        <w:spacing w:after="266"/>
      </w:pPr>
      <w:r>
        <w:rPr>
          <w:rFonts w:ascii="Arial" w:hAnsi="Arial" w:cs="Arial"/>
          <w:sz w:val="26"/>
          <w:sz-cs w:val="26"/>
          <w:b/>
          <w:spacing w:val="0"/>
        </w:rPr>
        <w:t xml:space="preserve">Transcription Factor Motif Annotation</w:t>
      </w:r>
    </w:p>
    <w:p>
      <w:pPr>
        <w:spacing w:after="160"/>
      </w:pPr>
      <w:r>
        <w:rPr>
          <w:rFonts w:ascii="Arial" w:hAnsi="Arial" w:cs="Arial"/>
          <w:sz w:val="26"/>
          <w:sz-cs w:val="26"/>
          <w:spacing w:val="0"/>
        </w:rPr>
        <w:t xml:space="preserve">TF-binding motifs were annotated within the ATAC-seq dataset using Signac. ATAC peak sequences were referenced to the Amphiprion ocellaris reference genome FASTA used for alignment (STAR_Ref_Genome_ocellaris/fasta/genome.fa). A collection of TF position frequency matrices (PFMs) in JASPAR matrix format (motifs.pfm) was imported using TFBSTools::readJASPARMatrix. The source and version of the motif collection were xxKatie. Motif occurrences within ATAC peaks were identified using Signac::AddMotifs, with motif matching performed using motifmatchr, and the resulting peak-by-motif annotations were stored in the Motif object associated with the ATAC assay. xxKatie: please confirm source/version and composition of motifs.pfm.</w:t>
      </w:r>
    </w:p>
    <w:p>
      <w:pPr>
        <w:spacing w:after="266"/>
      </w:pPr>
      <w:r>
        <w:rPr>
          <w:rFonts w:ascii="Arial" w:hAnsi="Arial" w:cs="Arial"/>
          <w:sz w:val="26"/>
          <w:sz-cs w:val="26"/>
          <w:b/>
          <w:spacing w:val="0"/>
        </w:rPr>
        <w:t xml:space="preserve">Regulatory Network Construction</w:t>
      </w:r>
    </w:p>
    <w:p>
      <w:pPr>
        <w:spacing w:after="160"/>
      </w:pPr>
      <w:r>
        <w:rPr>
          <w:rFonts w:ascii="Arial" w:hAnsi="Arial" w:cs="Arial"/>
          <w:sz w:val="26"/>
          <w:sz-cs w:val="26"/>
          <w:spacing w:val="0"/>
        </w:rPr>
        <w:t xml:space="preserve">Candidate transcription factor (TF)–target relationships were identified from TF motifs within ATAC peaks associated with target genes. Motifs were mapped to TFs represented in the RNA dataset, and TF expression was pseudobulked by individual within each cell cluster and normalized to log2 counts per million (logCPM). TFs were required to be expressed in ≥50% of individuals. Candidate TF–target relationships were retained when TF and target expression were correlated across individuals (|Pearson’s r| ≥ 0.40, P ≤ 0.10), with positive and negative correlations considered candidate activating and repressive relationships, respectively. TFs were not required to themselves be differentially expressed.</w:t>
      </w:r>
    </w:p>
    <w:p>
      <w:pPr>
        <w:spacing w:after="160"/>
      </w:pPr>
      <w:r>
        <w:rPr>
          <w:rFonts w:ascii="Arial" w:hAnsi="Arial" w:cs="Arial"/>
          <w:sz w:val="26"/>
          <w:sz-cs w:val="26"/>
          <w:spacing w:val="0"/>
        </w:rPr>
        <w:t xml:space="preserve">For 1_RGC, network construction was restricted to target genes whose expression was significantly associated with local chromatin accessibility. TF hubs were retained when associated with at least three accessibility-supported target genes, and TF-to-TF relationships were retained. Strong correlations among target genes already represented in the network (|r| ≥ 0.60, P ≤ 0.05) were also included.</w:t>
      </w:r>
    </w:p>
    <w:p>
      <w:pPr>
        <w:spacing w:after="160"/>
      </w:pPr>
      <w:r>
        <w:rPr>
          <w:rFonts w:ascii="Arial" w:hAnsi="Arial" w:cs="Arial"/>
          <w:sz w:val="26"/>
          <w:sz-cs w:val="26"/>
          <w:spacing w:val="0"/>
        </w:rPr>
        <w:t xml:space="preserve">Because fewer accessibility-coupled relationships were observed in 6_POA_Mixed, we additionally evaluated DEGs whose expression was not significantly associated with local chromatin accessibility. For these genes, candidate TF–target relationships were retained when at least one motif-containing peak was accessible in ≥50% of individuals and TF and target expression met the correlation criteria above. The final 6_POA_Mixed network integrated these relationships with the accessibility-coupled relationships and was focused on neuroendocrine genes implicated in regulation of the reproductive axis and their associated regulators and connected targets.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CocoaOOXMLWriter/2575.5</generator>
</meta>
</file>