
<file path=[Content_Types].xml><?xml version="1.0" encoding="utf-8"?>
<Types xmlns="http://schemas.openxmlformats.org/package/2006/content-types">
  <Default Extension="jp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BC1E4" w14:textId="6DE22C67" w:rsidR="002613B6" w:rsidRDefault="005E7EF1">
      <w:r>
        <w:rPr>
          <w:b/>
          <w:bCs/>
          <w:u w:val="single"/>
        </w:rPr>
        <w:t>Results</w:t>
      </w:r>
    </w:p>
    <w:p w14:paraId="58BC5537" w14:textId="71778596" w:rsidR="005E7EF1" w:rsidRPr="00420EDC" w:rsidRDefault="005E7EF1" w:rsidP="00420EDC">
      <w:pPr>
        <w:pStyle w:val="Heading1"/>
      </w:pPr>
      <w:r w:rsidRPr="00420EDC">
        <w:t>Male, Intermediate and Female Anemonefish Display Distinct Physiology and Behavior</w:t>
      </w:r>
    </w:p>
    <w:p w14:paraId="62FB4A45" w14:textId="4D667BE2" w:rsidR="005E7EF1" w:rsidRDefault="005E7EF1" w:rsidP="00074E31">
      <w:pPr>
        <w:ind w:firstLine="720"/>
      </w:pPr>
      <w:r>
        <w:t>To understand the process of protandrous sex change, we compared 6 reproductively active anemonefish pairs (n = 6 males and 6 females) to 10 pairs (n</w:t>
      </w:r>
      <w:r w:rsidR="006B016D">
        <w:t xml:space="preserve"> </w:t>
      </w:r>
      <w:r>
        <w:t>=</w:t>
      </w:r>
      <w:r w:rsidR="006B016D">
        <w:t xml:space="preserve"> </w:t>
      </w:r>
      <w:r>
        <w:t>20) of male anemonefish housed together for 6 months (</w:t>
      </w:r>
      <w:r w:rsidRPr="009725E3">
        <w:rPr>
          <w:highlight w:val="yellow"/>
        </w:rPr>
        <w:t>Fig</w:t>
      </w:r>
      <w:r w:rsidR="00640BF9" w:rsidRPr="009725E3">
        <w:rPr>
          <w:highlight w:val="yellow"/>
        </w:rPr>
        <w:t>. 1a</w:t>
      </w:r>
      <w:r>
        <w:t>) (</w:t>
      </w:r>
      <w:r w:rsidR="00640BF9" w:rsidRPr="00FD039F">
        <w:rPr>
          <w:highlight w:val="yellow"/>
        </w:rPr>
        <w:t>s</w:t>
      </w:r>
      <w:r w:rsidRPr="00FD039F">
        <w:rPr>
          <w:highlight w:val="yellow"/>
        </w:rPr>
        <w:t>ee methods</w:t>
      </w:r>
      <w:r>
        <w:t>).</w:t>
      </w:r>
      <w:r w:rsidRPr="005E7EF1">
        <w:t xml:space="preserve"> We paired males such that one male was notably larger than the other and was expected to occupy the α position in the social dominance hierarchy. These males (hereafter referred to as “intermediates”) are destined to undergo protandrous sex change, and given enough time, will become reproductively active female</w:t>
      </w:r>
      <w:r w:rsidR="006B016D">
        <w:t>s</w:t>
      </w:r>
      <w:r w:rsidRPr="005E7EF1">
        <w:t>. The</w:t>
      </w:r>
      <w:r>
        <w:t xml:space="preserve"> </w:t>
      </w:r>
      <w:r w:rsidRPr="005E7EF1">
        <w:t xml:space="preserve">partners of </w:t>
      </w:r>
      <w:r w:rsidR="006B016D">
        <w:t>intermediates,</w:t>
      </w:r>
      <w:r w:rsidRPr="005E7EF1">
        <w:t xml:space="preserve"> males expected to remain males, are hereafter referred to as “intermediate partners”. We chose the 6-month timepoint as previous work in our lab has shown that at 6 months, </w:t>
      </w:r>
      <w:r w:rsidRPr="0044306A">
        <w:t>approximately 10%</w:t>
      </w:r>
      <w:r w:rsidRPr="005E7EF1">
        <w:t xml:space="preserve"> of fish will have completed sex change, while the remaining fish will be in various intermediate stages determined by individual variation</w:t>
      </w:r>
      <w:r>
        <w:fldChar w:fldCharType="begin"/>
      </w:r>
      <w:r w:rsidR="00AE547C">
        <w:instrText xml:space="preserve"> ADDIN ZOTERO_ITEM CSL_CITATION {"citationID":"rUsOMn9I","properties":{"formattedCitation":"\\super 1\\nosupersub{}","plainCitation":"1","noteIndex":0},"citationItems":[{"id":29,"uris":["http://zotero.org/users/11313215/items/TBICN8KA"],"itemData":{"id":29,"type":"article-journal","abstract":"Many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fldChar w:fldCharType="separate"/>
      </w:r>
      <w:r w:rsidRPr="005E7EF1">
        <w:rPr>
          <w:rFonts w:cs="Times New Roman"/>
          <w:color w:val="000000"/>
          <w:kern w:val="0"/>
          <w:szCs w:val="24"/>
          <w:vertAlign w:val="superscript"/>
        </w:rPr>
        <w:t>1</w:t>
      </w:r>
      <w:r>
        <w:fldChar w:fldCharType="end"/>
      </w:r>
      <w:r w:rsidRPr="005E7EF1">
        <w:t>.</w:t>
      </w:r>
      <w:r w:rsidR="0047503F">
        <w:t xml:space="preserve"> Indeed, at this timepoint we found that one individual had completed sex change as indicated by the presence of vitellogenic oocytes (thus this individual was classified as a “New Female” and its partner</w:t>
      </w:r>
      <w:r w:rsidR="00074E31">
        <w:t xml:space="preserve"> as</w:t>
      </w:r>
      <w:r w:rsidR="0047503F">
        <w:t xml:space="preserve"> “New Male”) and two other individuals had a distinct gonadal phenotype </w:t>
      </w:r>
      <w:r w:rsidR="00074E31">
        <w:t>defined by a large volume of empty space and non-vitellogenic oocyte</w:t>
      </w:r>
      <w:r w:rsidR="00241968">
        <w:t>s</w:t>
      </w:r>
      <w:r w:rsidR="00265565">
        <w:t>. T</w:t>
      </w:r>
      <w:r w:rsidR="00074E31">
        <w:t>hese individuals were classified as “Late Intermediates” and their partners as “Late Intermediate Partners”.</w:t>
      </w:r>
      <w:r w:rsidR="006B016D">
        <w:t xml:space="preserve"> Throughout this manuscript, we refer to these various classifications of sex state as “phases”.</w:t>
      </w:r>
    </w:p>
    <w:p w14:paraId="110A8798" w14:textId="49BBA63D" w:rsidR="0047503F" w:rsidRDefault="0047503F" w:rsidP="00074E31">
      <w:pPr>
        <w:ind w:firstLine="720"/>
      </w:pPr>
      <w:r>
        <w:t xml:space="preserve">To assess male-like behaviors, we used a parental-care assay which has been shown to </w:t>
      </w:r>
      <w:r w:rsidR="00321519">
        <w:t xml:space="preserve">produce </w:t>
      </w:r>
      <w:r>
        <w:t xml:space="preserve">robust differences between males and females </w:t>
      </w:r>
      <w:r>
        <w:fldChar w:fldCharType="begin"/>
      </w:r>
      <w:r w:rsidR="00380D28">
        <w:instrText xml:space="preserve"> ADDIN ZOTERO_ITEM CSL_CITATION {"citationID":"RIxgXoHZ","properties":{"formattedCitation":"\\super 1\\uc0\\u8211{}6\\nosupersub{}","plainCitation":"1–6","noteIndex":0},"citationItems":[{"id":29,"uris":["http://zotero.org/users/11313215/items/TBICN8KA"],"itemData":{"id":29,"type":"article-journal","abstract":"Many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S."}],"issued":{"date-parts":[["2022",9]]}}},{"id":38,"uris":["http://zotero.org/users/11313215/items/ISXWL2QW"],"itemData":{"id":38,"type":"article-journal","abstract":"Abstract\n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S."}],"issued":{"date-parts":[["2020",3,12]]}}},{"id":33,"uris":["http://zotero.org/users/11313215/items/KYBLED4Z"],"itemData":{"id":33,"type":"article-journal","container-title":"Copeia","DOI":"10.1643/CI-15-305","ISSN":"0045-8511,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S."}],"issued":{"date-parts":[["2016",7]]}}},{"id":35,"uris":["http://zotero.org/users/11313215/items/HCQ99MMR"],"itemData":{"id":35,"type":"article-journal","abstract":"Fathering behavior is critical for oﬀspring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eﬀort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eﬀort.","container-title":"Hormones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S."}],"issued":{"date-parts":[["2018",7]]}}},{"id":30,"uris":["http://zotero.org/users/11313215/items/FDL58D2Z"],"itemData":{"id":30,"type":"article-journal","abstract":"Parental care represents a suite of distinct behaviors performed by parents to maximize ﬁtness. Dynamic shifts in parental care behaviors, such as between nest defense and direct provisioning of the oﬀspring,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id":5847,"uris":["http://zotero.org/users/11313215/items/5853CUE6"],"itemData":{"id":5847,"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fldChar w:fldCharType="separate"/>
      </w:r>
      <w:r w:rsidR="00380D28" w:rsidRPr="00380D28">
        <w:rPr>
          <w:rFonts w:cs="Times New Roman"/>
          <w:kern w:val="0"/>
          <w:vertAlign w:val="superscript"/>
        </w:rPr>
        <w:t>1–6</w:t>
      </w:r>
      <w:r>
        <w:fldChar w:fldCharType="end"/>
      </w:r>
      <w:r>
        <w:t xml:space="preserve"> (</w:t>
      </w:r>
      <w:r w:rsidRPr="00FD039F">
        <w:rPr>
          <w:highlight w:val="yellow"/>
        </w:rPr>
        <w:t>see methods</w:t>
      </w:r>
      <w:r>
        <w:t xml:space="preserve">). As expected, males performed significantly more parental care behaviors and spent significantly more time in the nest than their female partners </w:t>
      </w:r>
      <w:r w:rsidRPr="009725E3">
        <w:rPr>
          <w:highlight w:val="yellow"/>
        </w:rPr>
        <w:t>(Fig</w:t>
      </w:r>
      <w:r w:rsidR="00640BF9" w:rsidRPr="009725E3">
        <w:rPr>
          <w:highlight w:val="yellow"/>
        </w:rPr>
        <w:t>.1</w:t>
      </w:r>
      <w:r w:rsidR="00610C97" w:rsidRPr="009725E3">
        <w:rPr>
          <w:highlight w:val="yellow"/>
        </w:rPr>
        <w:t>c</w:t>
      </w:r>
      <w:r w:rsidRPr="00640BF9">
        <w:t xml:space="preserve"> </w:t>
      </w:r>
      <w:r w:rsidRPr="00357D87">
        <w:rPr>
          <w:highlight w:val="yellow"/>
        </w:rPr>
        <w:t>top and middle panel</w:t>
      </w:r>
      <w:r w:rsidRPr="00640BF9">
        <w:t>).</w:t>
      </w:r>
      <w:r>
        <w:t xml:space="preserve"> In agreement with previous results</w:t>
      </w:r>
      <w:r w:rsidR="00321519">
        <w:fldChar w:fldCharType="begin"/>
      </w:r>
      <w:r w:rsidR="00AE547C">
        <w:instrText xml:space="preserve"> ADDIN ZOTERO_ITEM CSL_CITATION {"citationID":"zLifntjj","properties":{"formattedCitation":"\\super 1\\nosupersub{}","plainCitation":"1","noteIndex":0},"citationItems":[{"id":29,"uris":["http://zotero.org/users/11313215/items/TBICN8KA"],"itemData":{"id":29,"type":"article-journal","abstract":"Many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00321519">
        <w:fldChar w:fldCharType="separate"/>
      </w:r>
      <w:r w:rsidR="00321519" w:rsidRPr="00321519">
        <w:rPr>
          <w:rFonts w:cs="Times New Roman"/>
          <w:color w:val="000000"/>
          <w:kern w:val="0"/>
          <w:szCs w:val="24"/>
          <w:vertAlign w:val="superscript"/>
        </w:rPr>
        <w:t>1</w:t>
      </w:r>
      <w:r w:rsidR="00321519">
        <w:fldChar w:fldCharType="end"/>
      </w:r>
      <w:r>
        <w:t xml:space="preserve">, intermediates retained male levels of parental care </w:t>
      </w:r>
      <w:r w:rsidR="00074E31">
        <w:t xml:space="preserve">and </w:t>
      </w:r>
      <w:r w:rsidR="006B016D">
        <w:t xml:space="preserve">prevented </w:t>
      </w:r>
      <w:r w:rsidR="00074E31">
        <w:t xml:space="preserve">their partners from performing parental care. Late intermediates and their partners’ behavior aligned with female and male patterns of behavior respectively as did the new female and new male. </w:t>
      </w:r>
    </w:p>
    <w:p w14:paraId="2BC382F7" w14:textId="2210A6E4" w:rsidR="00F8421E" w:rsidRDefault="00582279" w:rsidP="00074E31">
      <w:pPr>
        <w:ind w:firstLine="720"/>
      </w:pPr>
      <w:r>
        <w:t xml:space="preserve">We next collected blood to assess circulating </w:t>
      </w:r>
      <w:r w:rsidR="00904709">
        <w:t>11-ketotestosterone (11KT) levels</w:t>
      </w:r>
      <w:r>
        <w:t>. Similar to behavioral aspects, intermediates retained male-like levels</w:t>
      </w:r>
      <w:r w:rsidR="00904709">
        <w:t>,</w:t>
      </w:r>
      <w:r>
        <w:t xml:space="preserve"> while late intermediates and new females aligned with female levels</w:t>
      </w:r>
      <w:r w:rsidR="006B016D">
        <w:t>. L</w:t>
      </w:r>
      <w:r>
        <w:t xml:space="preserve">ate intermediate partners </w:t>
      </w:r>
      <w:r w:rsidR="006B016D">
        <w:t>and</w:t>
      </w:r>
      <w:r>
        <w:t xml:space="preserve"> with new males aligned male levels </w:t>
      </w:r>
      <w:r w:rsidRPr="009725E3">
        <w:rPr>
          <w:highlight w:val="yellow"/>
        </w:rPr>
        <w:t>(Fig</w:t>
      </w:r>
      <w:r w:rsidR="00640BF9" w:rsidRPr="009725E3">
        <w:rPr>
          <w:highlight w:val="yellow"/>
        </w:rPr>
        <w:t>.1</w:t>
      </w:r>
      <w:r w:rsidR="0000304B" w:rsidRPr="009725E3">
        <w:rPr>
          <w:highlight w:val="yellow"/>
        </w:rPr>
        <w:t>c</w:t>
      </w:r>
      <w:r w:rsidRPr="00357D87">
        <w:rPr>
          <w:highlight w:val="yellow"/>
        </w:rPr>
        <w:t xml:space="preserve"> bottom panel</w:t>
      </w:r>
      <w:r>
        <w:t>).</w:t>
      </w:r>
    </w:p>
    <w:p w14:paraId="340DA3B0" w14:textId="4C09DD16" w:rsidR="00074E31" w:rsidRDefault="00582279" w:rsidP="00582279">
      <w:pPr>
        <w:ind w:firstLine="720"/>
      </w:pPr>
      <w:r>
        <w:t>We next euthanized fish and collected gonads for composition analysis. Unlike behavioral and hormonal aspects, intermediates significantly differed from males. Intermediate</w:t>
      </w:r>
      <w:r w:rsidR="006B016D">
        <w:t xml:space="preserve"> </w:t>
      </w:r>
      <w:r>
        <w:t xml:space="preserve">gonads </w:t>
      </w:r>
      <w:r w:rsidR="006B016D">
        <w:t>had</w:t>
      </w:r>
      <w:r>
        <w:t xml:space="preserve"> significantly </w:t>
      </w:r>
      <w:r w:rsidR="006B016D">
        <w:t xml:space="preserve">reduced </w:t>
      </w:r>
      <w:r>
        <w:t>testicular tissue, significantly more ovarian tissue, and significantly smaller volume than males (</w:t>
      </w:r>
      <w:r w:rsidRPr="009725E3">
        <w:rPr>
          <w:highlight w:val="yellow"/>
        </w:rPr>
        <w:t>Fig</w:t>
      </w:r>
      <w:r w:rsidR="00640BF9" w:rsidRPr="009725E3">
        <w:rPr>
          <w:highlight w:val="yellow"/>
        </w:rPr>
        <w:t>.1c</w:t>
      </w:r>
      <w:r>
        <w:t>).</w:t>
      </w:r>
      <w:r w:rsidR="0085629C">
        <w:t xml:space="preserve"> It should be noted here that this degradation in gonadal tissue is likely not yet due to gonadal sex change owing to the similarities between intermediates and their partners. Instead, this is likely the result of gonadal degradation due to </w:t>
      </w:r>
      <w:r w:rsidR="00A41720">
        <w:t xml:space="preserve">the </w:t>
      </w:r>
      <w:r w:rsidR="0085629C">
        <w:t xml:space="preserve">reproductive stasis </w:t>
      </w:r>
      <w:r w:rsidR="00A41720">
        <w:t xml:space="preserve">that occurs </w:t>
      </w:r>
      <w:r w:rsidR="0085629C">
        <w:t>during sex change.</w:t>
      </w:r>
      <w:r>
        <w:t xml:space="preserve"> Late intermediates had no measurable testicular tissue with the gonad only being composed of ovarian tissue</w:t>
      </w:r>
      <w:r w:rsidR="00321519">
        <w:t xml:space="preserve">, connective tissue, and </w:t>
      </w:r>
      <w:r>
        <w:t>empty space (</w:t>
      </w:r>
      <w:r w:rsidRPr="009725E3">
        <w:rPr>
          <w:highlight w:val="yellow"/>
        </w:rPr>
        <w:t>Fig</w:t>
      </w:r>
      <w:r w:rsidR="00241968">
        <w:rPr>
          <w:highlight w:val="yellow"/>
        </w:rPr>
        <w:t xml:space="preserve">. </w:t>
      </w:r>
      <w:r w:rsidR="00A41720" w:rsidRPr="00241968">
        <w:rPr>
          <w:highlight w:val="yellow"/>
        </w:rPr>
        <w:t>1</w:t>
      </w:r>
      <w:r w:rsidR="00241968" w:rsidRPr="00241968">
        <w:rPr>
          <w:highlight w:val="yellow"/>
        </w:rPr>
        <w:t>d</w:t>
      </w:r>
      <w:r>
        <w:t>).</w:t>
      </w:r>
    </w:p>
    <w:p w14:paraId="0084214A" w14:textId="69C3ED4F" w:rsidR="00906BC6" w:rsidRDefault="00E8105E" w:rsidP="00906BC6">
      <w:pPr>
        <w:keepNext/>
      </w:pPr>
      <w:r>
        <w:rPr>
          <w:noProof/>
        </w:rPr>
        <w:lastRenderedPageBreak/>
        <w:drawing>
          <wp:inline distT="0" distB="0" distL="0" distR="0" wp14:anchorId="1C73CC63" wp14:editId="62CE4C30">
            <wp:extent cx="5791200" cy="6915767"/>
            <wp:effectExtent l="0" t="0" r="0" b="6350"/>
            <wp:docPr id="1589915929" name="Picture 1" descr="A diagram of a person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15929" name="Picture 1" descr="A diagram of a person with different colored circles&#10;&#10;AI-generated content may be incorrect."/>
                    <pic:cNvPicPr/>
                  </pic:nvPicPr>
                  <pic:blipFill rotWithShape="1">
                    <a:blip r:embed="rId8">
                      <a:extLst>
                        <a:ext uri="{28A0092B-C50C-407E-A947-70E740481C1C}">
                          <a14:useLocalDpi xmlns:a14="http://schemas.microsoft.com/office/drawing/2010/main" val="0"/>
                        </a:ext>
                      </a:extLst>
                    </a:blip>
                    <a:srcRect r="2553" b="10108"/>
                    <a:stretch>
                      <a:fillRect/>
                    </a:stretch>
                  </pic:blipFill>
                  <pic:spPr bwMode="auto">
                    <a:xfrm>
                      <a:off x="0" y="0"/>
                      <a:ext cx="5791910" cy="6916615"/>
                    </a:xfrm>
                    <a:prstGeom prst="rect">
                      <a:avLst/>
                    </a:prstGeom>
                    <a:ln>
                      <a:noFill/>
                    </a:ln>
                    <a:extLst>
                      <a:ext uri="{53640926-AAD7-44D8-BBD7-CCE9431645EC}">
                        <a14:shadowObscured xmlns:a14="http://schemas.microsoft.com/office/drawing/2010/main"/>
                      </a:ext>
                    </a:extLst>
                  </pic:spPr>
                </pic:pic>
              </a:graphicData>
            </a:graphic>
          </wp:inline>
        </w:drawing>
      </w:r>
    </w:p>
    <w:p w14:paraId="75F9DA6C" w14:textId="0DDFE85A" w:rsidR="00906BC6" w:rsidRDefault="00906BC6" w:rsidP="00906BC6">
      <w:pPr>
        <w:pStyle w:val="Caption"/>
      </w:pPr>
      <w:r w:rsidRPr="00241968">
        <w:rPr>
          <w:b/>
          <w:i w:val="0"/>
          <w:sz w:val="24"/>
          <w:szCs w:val="24"/>
        </w:rPr>
        <w:t xml:space="preserve">Figure </w:t>
      </w:r>
      <w:r w:rsidRPr="00241968">
        <w:rPr>
          <w:b/>
          <w:i w:val="0"/>
          <w:sz w:val="24"/>
          <w:szCs w:val="24"/>
        </w:rPr>
        <w:fldChar w:fldCharType="begin"/>
      </w:r>
      <w:r w:rsidRPr="00241968">
        <w:rPr>
          <w:b/>
          <w:i w:val="0"/>
          <w:sz w:val="24"/>
          <w:szCs w:val="24"/>
        </w:rPr>
        <w:instrText xml:space="preserve"> SEQ Figure \* ARABIC </w:instrText>
      </w:r>
      <w:r w:rsidRPr="00241968">
        <w:rPr>
          <w:b/>
          <w:i w:val="0"/>
          <w:sz w:val="24"/>
          <w:szCs w:val="24"/>
        </w:rPr>
        <w:fldChar w:fldCharType="separate"/>
      </w:r>
      <w:r w:rsidR="006B4F5D" w:rsidRPr="00241968">
        <w:rPr>
          <w:b/>
          <w:i w:val="0"/>
          <w:sz w:val="24"/>
          <w:szCs w:val="24"/>
        </w:rPr>
        <w:t>1</w:t>
      </w:r>
      <w:r w:rsidRPr="00241968">
        <w:rPr>
          <w:b/>
          <w:i w:val="0"/>
          <w:sz w:val="24"/>
          <w:szCs w:val="24"/>
        </w:rPr>
        <w:fldChar w:fldCharType="end"/>
      </w:r>
      <w:r w:rsidRPr="00241968">
        <w:rPr>
          <w:b/>
          <w:i w:val="0"/>
          <w:sz w:val="24"/>
          <w:szCs w:val="24"/>
        </w:rPr>
        <w:t xml:space="preserve">. a) </w:t>
      </w:r>
      <w:r w:rsidRPr="00241968">
        <w:rPr>
          <w:i w:val="0"/>
          <w:sz w:val="24"/>
          <w:szCs w:val="24"/>
        </w:rPr>
        <w:t xml:space="preserve">Schematic representation of the time course of physiological and behavioral changes that occur across sex change.  </w:t>
      </w:r>
      <w:r w:rsidRPr="00241968">
        <w:rPr>
          <w:b/>
          <w:i w:val="0"/>
          <w:sz w:val="24"/>
          <w:szCs w:val="24"/>
        </w:rPr>
        <w:t>b)</w:t>
      </w:r>
      <w:r w:rsidRPr="00241968">
        <w:rPr>
          <w:i w:val="0"/>
          <w:sz w:val="24"/>
          <w:szCs w:val="24"/>
        </w:rPr>
        <w:t xml:space="preserve"> Top panel: Sum of parental care behaviors measured during the parental care assay by phase. Middle panel: Time spent (s) in the nest during the parental care assay by phase. Bottom panel: Plasma log10 11 KT (pg/ml) by phase. All panels are grouped by tank pairings, where the dominant individual of the pair is labeled as a red circle, and the subordinate individual is labeled as a blue triangle. Arrows indicate fold difference between the mean measurement of the two phases. </w:t>
      </w:r>
      <w:r w:rsidRPr="00241968">
        <w:rPr>
          <w:b/>
          <w:i w:val="0"/>
          <w:sz w:val="24"/>
          <w:szCs w:val="24"/>
        </w:rPr>
        <w:t xml:space="preserve">c) </w:t>
      </w:r>
      <w:r w:rsidRPr="00241968">
        <w:rPr>
          <w:i w:val="0"/>
          <w:sz w:val="24"/>
          <w:szCs w:val="24"/>
        </w:rPr>
        <w:t xml:space="preserve">Top panel: Proportion of testicular tissue by phase. </w:t>
      </w:r>
      <w:r w:rsidRPr="00241968">
        <w:rPr>
          <w:i w:val="0"/>
          <w:sz w:val="24"/>
          <w:szCs w:val="24"/>
        </w:rPr>
        <w:lastRenderedPageBreak/>
        <w:t xml:space="preserve">Middle panel: Proportion of ovarian tissue by phase. Bottom panel: Residuals of a linear regression fitting gonadal volume (px) by body mass (g), reported as the corrected gonadal volume. </w:t>
      </w:r>
      <w:r w:rsidRPr="00241968">
        <w:rPr>
          <w:b/>
          <w:i w:val="0"/>
          <w:sz w:val="24"/>
          <w:szCs w:val="24"/>
        </w:rPr>
        <w:t xml:space="preserve">d) </w:t>
      </w:r>
      <w:r w:rsidRPr="00241968">
        <w:rPr>
          <w:i w:val="0"/>
          <w:sz w:val="24"/>
          <w:szCs w:val="24"/>
        </w:rPr>
        <w:t xml:space="preserve">Example images of gonadal phenotype from each phase of sex change. In </w:t>
      </w:r>
      <w:r w:rsidRPr="00241968">
        <w:rPr>
          <w:b/>
          <w:i w:val="0"/>
          <w:sz w:val="24"/>
          <w:szCs w:val="24"/>
        </w:rPr>
        <w:t>b</w:t>
      </w:r>
      <w:r w:rsidRPr="00241968">
        <w:rPr>
          <w:i w:val="0"/>
          <w:sz w:val="24"/>
          <w:szCs w:val="24"/>
        </w:rPr>
        <w:t xml:space="preserve"> and </w:t>
      </w:r>
      <w:r w:rsidRPr="00241968">
        <w:rPr>
          <w:b/>
          <w:i w:val="0"/>
          <w:sz w:val="24"/>
          <w:szCs w:val="24"/>
        </w:rPr>
        <w:t>c</w:t>
      </w:r>
      <w:r w:rsidRPr="00241968">
        <w:rPr>
          <w:i w:val="0"/>
          <w:sz w:val="24"/>
          <w:szCs w:val="24"/>
        </w:rPr>
        <w:t>, crossbars indicate mean of the phase and letters indicate which pairwise comparisons were significantly different, error bars indicate standard error of the measurement. F/</w:t>
      </w:r>
      <w:r w:rsidRPr="00241968">
        <w:rPr>
          <w:i w:val="0"/>
          <w:color w:val="000000" w:themeColor="text1"/>
          <w:sz w:val="24"/>
          <w:szCs w:val="30"/>
        </w:rPr>
        <w:t xml:space="preserve"> </w:t>
      </w:r>
      <w:r w:rsidRPr="00241968">
        <w:rPr>
          <w:i w:val="0"/>
          <w:sz w:val="24"/>
          <w:szCs w:val="24"/>
        </w:rPr>
        <w:t>♀ = female, M/</w:t>
      </w:r>
      <w:r w:rsidRPr="00241968">
        <w:rPr>
          <w:i w:val="0"/>
          <w:color w:val="000000" w:themeColor="text1"/>
          <w:sz w:val="24"/>
          <w:szCs w:val="30"/>
        </w:rPr>
        <w:t xml:space="preserve"> </w:t>
      </w:r>
      <w:r w:rsidRPr="00241968">
        <w:rPr>
          <w:i w:val="0"/>
          <w:sz w:val="24"/>
          <w:szCs w:val="24"/>
        </w:rPr>
        <w:t>♂ = male, I = intermediate, IP = intermediate partner, LI = late intermediate, LIP = late intermediate partner, NF = new female, NM = new male.</w:t>
      </w:r>
      <w:r>
        <w:rPr>
          <w:i w:val="0"/>
          <w:iCs w:val="0"/>
          <w:sz w:val="24"/>
          <w:szCs w:val="24"/>
        </w:rPr>
        <w:t xml:space="preserve"> </w:t>
      </w:r>
    </w:p>
    <w:p w14:paraId="08DAE191" w14:textId="76EA5A7E" w:rsidR="00582279" w:rsidRDefault="00582279" w:rsidP="00420EDC">
      <w:pPr>
        <w:pStyle w:val="Heading1"/>
      </w:pPr>
      <w:r w:rsidRPr="00FD039F">
        <w:t>snMultiom</w:t>
      </w:r>
      <w:r w:rsidR="008C7A2D" w:rsidRPr="00FD039F">
        <w:t xml:space="preserve">e Captures </w:t>
      </w:r>
      <w:r w:rsidR="00665FFC" w:rsidRPr="00FD039F">
        <w:t xml:space="preserve">High Quality </w:t>
      </w:r>
      <w:r w:rsidR="00FD039F" w:rsidRPr="00FD039F">
        <w:t>Transcriptomes</w:t>
      </w:r>
      <w:r w:rsidR="00665FFC" w:rsidRPr="00FD039F">
        <w:t xml:space="preserve"> and Epigenomes </w:t>
      </w:r>
    </w:p>
    <w:p w14:paraId="08A53C5E" w14:textId="0E03651E" w:rsidR="00582279" w:rsidRDefault="00582279" w:rsidP="00582279">
      <w:r>
        <w:tab/>
      </w:r>
      <w:r w:rsidRPr="00FD039F">
        <w:t>Following euthanasia, we dissected out the preoptic areas (POAs) from males</w:t>
      </w:r>
      <w:r w:rsidR="00C41CDF" w:rsidRPr="00FD039F">
        <w:t xml:space="preserve"> (n = 6)</w:t>
      </w:r>
      <w:r w:rsidRPr="00FD039F">
        <w:t>, intermediates</w:t>
      </w:r>
      <w:r w:rsidR="00C41CDF" w:rsidRPr="00FD039F">
        <w:t xml:space="preserve"> (n = 7)</w:t>
      </w:r>
      <w:r w:rsidRPr="00FD039F">
        <w:t>, late intermediates</w:t>
      </w:r>
      <w:r w:rsidR="00C41CDF" w:rsidRPr="00FD039F">
        <w:t xml:space="preserve"> (n = 2)</w:t>
      </w:r>
      <w:r w:rsidRPr="00FD039F">
        <w:t>,</w:t>
      </w:r>
      <w:r w:rsidR="00C41CDF" w:rsidRPr="00FD039F">
        <w:t xml:space="preserve"> the new female (n =1),</w:t>
      </w:r>
      <w:r w:rsidRPr="00FD039F">
        <w:t xml:space="preserve"> and females</w:t>
      </w:r>
      <w:r w:rsidR="00C41CDF" w:rsidRPr="00FD039F">
        <w:t xml:space="preserve"> (n = 6)</w:t>
      </w:r>
      <w:r w:rsidRPr="00FD039F">
        <w:t xml:space="preserve"> and </w:t>
      </w:r>
      <w:r w:rsidR="00797820" w:rsidRPr="00FD039F">
        <w:t>used single-nucleus multiom</w:t>
      </w:r>
      <w:r w:rsidR="006B016D" w:rsidRPr="00FD039F">
        <w:t>ics</w:t>
      </w:r>
      <w:r w:rsidR="00797820" w:rsidRPr="00FD039F">
        <w:t xml:space="preserve"> (snMultiome; RNA + ATAC modalities) to profile gene expression and chromatin accessibility changes during sex change</w:t>
      </w:r>
      <w:r w:rsidR="00321519" w:rsidRPr="00FD039F">
        <w:t>. In total, 35,364</w:t>
      </w:r>
      <w:r w:rsidR="00797820" w:rsidRPr="00FD039F">
        <w:t xml:space="preserve"> nuclei passed quality control and were clustered using weighted shared nearest </w:t>
      </w:r>
      <w:r w:rsidR="00640BF9" w:rsidRPr="00FD039F">
        <w:t>neighbors analysis</w:t>
      </w:r>
      <w:r w:rsidR="00797820" w:rsidRPr="00FD039F">
        <w:t>.</w:t>
      </w:r>
      <w:r w:rsidR="00640BF9" w:rsidRPr="00FD039F">
        <w:t xml:space="preserve"> After hierarchical clustering,</w:t>
      </w:r>
      <w:r w:rsidR="00797820" w:rsidRPr="00FD039F">
        <w:t xml:space="preserve"> </w:t>
      </w:r>
      <w:r w:rsidR="00640BF9" w:rsidRPr="00FD039F">
        <w:t>w</w:t>
      </w:r>
      <w:r w:rsidR="00321519" w:rsidRPr="00FD039F">
        <w:t xml:space="preserve">e </w:t>
      </w:r>
      <w:r w:rsidR="00797820" w:rsidRPr="00FD039F">
        <w:t xml:space="preserve">detected </w:t>
      </w:r>
      <w:r w:rsidR="00321519" w:rsidRPr="00FD039F">
        <w:t>27</w:t>
      </w:r>
      <w:r w:rsidR="00797820" w:rsidRPr="00FD039F">
        <w:t xml:space="preserve"> clusters, </w:t>
      </w:r>
      <w:r w:rsidR="00321519" w:rsidRPr="00FD039F">
        <w:t>20</w:t>
      </w:r>
      <w:r w:rsidR="00797820" w:rsidRPr="00FD039F">
        <w:t xml:space="preserve"> of which</w:t>
      </w:r>
      <w:r w:rsidR="006B016D" w:rsidRPr="00FD039F">
        <w:t xml:space="preserve"> </w:t>
      </w:r>
      <w:r w:rsidR="00321519" w:rsidRPr="00FD039F">
        <w:t>were</w:t>
      </w:r>
      <w:r w:rsidR="00797820" w:rsidRPr="00FD039F">
        <w:t xml:space="preserve"> neurons and </w:t>
      </w:r>
      <w:r w:rsidR="00321519" w:rsidRPr="00FD039F">
        <w:t>seven of which</w:t>
      </w:r>
      <w:r w:rsidR="00797820" w:rsidRPr="00FD039F">
        <w:t xml:space="preserve"> were glial. Broadly, we detected </w:t>
      </w:r>
      <w:r w:rsidR="00321519" w:rsidRPr="00FD039F">
        <w:t>10</w:t>
      </w:r>
      <w:r w:rsidR="00797820" w:rsidRPr="00FD039F">
        <w:t xml:space="preserve"> </w:t>
      </w:r>
      <w:r w:rsidR="00321519" w:rsidRPr="00FD039F">
        <w:t>g</w:t>
      </w:r>
      <w:r w:rsidR="00797820" w:rsidRPr="00FD039F">
        <w:t xml:space="preserve">lutamatergic, </w:t>
      </w:r>
      <w:r w:rsidR="00321519" w:rsidRPr="00FD039F">
        <w:t>six</w:t>
      </w:r>
      <w:r w:rsidR="00797820" w:rsidRPr="00FD039F">
        <w:t xml:space="preserve"> GABAergic, and </w:t>
      </w:r>
      <w:r w:rsidR="00321519" w:rsidRPr="00FD039F">
        <w:t>four</w:t>
      </w:r>
      <w:r w:rsidR="00797820" w:rsidRPr="00FD039F">
        <w:t xml:space="preserve"> mixed</w:t>
      </w:r>
      <w:r w:rsidR="00321519" w:rsidRPr="00FD039F">
        <w:t xml:space="preserve"> (expressing both glutamatergic and GABAergic markers) </w:t>
      </w:r>
      <w:r w:rsidR="00797820" w:rsidRPr="00FD039F">
        <w:t>neuronal clusters</w:t>
      </w:r>
      <w:r w:rsidR="00C41CDF" w:rsidRPr="00FD039F">
        <w:t xml:space="preserve"> (</w:t>
      </w:r>
      <w:r w:rsidR="00B117D1" w:rsidRPr="0068324B">
        <w:rPr>
          <w:highlight w:val="yellow"/>
        </w:rPr>
        <w:t xml:space="preserve">supplementary </w:t>
      </w:r>
      <w:r w:rsidR="0068324B" w:rsidRPr="0068324B">
        <w:rPr>
          <w:highlight w:val="yellow"/>
        </w:rPr>
        <w:t xml:space="preserve">Fig. </w:t>
      </w:r>
      <w:r w:rsidR="009E1BA9">
        <w:rPr>
          <w:highlight w:val="yellow"/>
        </w:rPr>
        <w:t>1a</w:t>
      </w:r>
      <w:r w:rsidR="00C41CDF" w:rsidRPr="00FD039F">
        <w:t>)</w:t>
      </w:r>
      <w:r w:rsidR="008F3973" w:rsidRPr="00FD039F">
        <w:t>.</w:t>
      </w:r>
    </w:p>
    <w:p w14:paraId="2C547D22" w14:textId="2ECF891A" w:rsidR="00321519" w:rsidRPr="00D85974" w:rsidRDefault="009E55AB" w:rsidP="00D85974">
      <w:pPr>
        <w:pStyle w:val="Heading1"/>
      </w:pPr>
      <w:r w:rsidRPr="00D85974">
        <w:t>Cell Type Annotation</w:t>
      </w:r>
    </w:p>
    <w:p w14:paraId="61DC8382" w14:textId="1EDDE644" w:rsidR="00813431" w:rsidRDefault="00736B6A" w:rsidP="00582279">
      <w:r w:rsidRPr="0068324B">
        <w:rPr>
          <w:highlight w:val="yellow"/>
        </w:rPr>
        <w:t>…</w:t>
      </w:r>
      <w:r w:rsidR="00646B40" w:rsidRPr="0068324B">
        <w:rPr>
          <w:highlight w:val="yellow"/>
        </w:rPr>
        <w:t xml:space="preserve"> Will write this las</w:t>
      </w:r>
      <w:r w:rsidR="0068324B" w:rsidRPr="0068324B">
        <w:rPr>
          <w:highlight w:val="yellow"/>
        </w:rPr>
        <w:t>t once we have visium data</w:t>
      </w:r>
    </w:p>
    <w:p w14:paraId="23DA65C7" w14:textId="0928C9BD" w:rsidR="00736B6A" w:rsidRPr="00D85974" w:rsidRDefault="00F74404" w:rsidP="00D85974">
      <w:pPr>
        <w:pStyle w:val="Heading1"/>
      </w:pPr>
      <w:r w:rsidRPr="00D85974">
        <w:t xml:space="preserve">Asynchronous </w:t>
      </w:r>
      <w:r w:rsidR="00736B6A" w:rsidRPr="00D85974">
        <w:t>Changes in Cell Type Composition During Sex Change</w:t>
      </w:r>
    </w:p>
    <w:p w14:paraId="5E2B1D43" w14:textId="27A085E8" w:rsidR="00736B6A" w:rsidRDefault="00736B6A" w:rsidP="00736B6A">
      <w:r>
        <w:rPr>
          <w:b/>
          <w:bCs/>
        </w:rPr>
        <w:tab/>
      </w:r>
      <w:r>
        <w:t xml:space="preserve">Because sex change is associated with </w:t>
      </w:r>
      <w:r w:rsidR="00C32222">
        <w:t>changes</w:t>
      </w:r>
      <w:r>
        <w:t xml:space="preserve"> in brain size and composition</w:t>
      </w:r>
      <w:r w:rsidR="00646B40">
        <w:fldChar w:fldCharType="begin"/>
      </w:r>
      <w:r w:rsidR="00AE547C">
        <w:instrText xml:space="preserve"> ADDIN ZOTERO_ITEM CSL_CITATION {"citationID":"nc2JQN6K","properties":{"formattedCitation":"\\super 7\\nosupersub{}","plainCitation":"7","noteIndex":0},"citationItems":[{"id":45,"uris":["http://zotero.org/users/11313215/items/VGA9PBJ3"],"itemData":{"id":45,"type":"article-journal","abstract":"Sex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646B40">
        <w:fldChar w:fldCharType="separate"/>
      </w:r>
      <w:r w:rsidR="00646B40" w:rsidRPr="00646B40">
        <w:rPr>
          <w:rFonts w:cs="Times New Roman"/>
          <w:color w:val="000000"/>
          <w:kern w:val="0"/>
          <w:szCs w:val="24"/>
          <w:vertAlign w:val="superscript"/>
        </w:rPr>
        <w:t>7</w:t>
      </w:r>
      <w:r w:rsidR="00646B40">
        <w:fldChar w:fldCharType="end"/>
      </w:r>
      <w:r>
        <w:t xml:space="preserve">, we next analyzed changes in cell </w:t>
      </w:r>
      <w:r w:rsidR="008072F2">
        <w:t>populations</w:t>
      </w:r>
      <w:r w:rsidR="0098657B">
        <w:t xml:space="preserve"> across sex change</w:t>
      </w:r>
      <w:r>
        <w:t>. We detected significant phase differences in the proportions of cells in 12 of the 27 (44.44%) clusters (</w:t>
      </w:r>
      <w:r w:rsidRPr="0092127B">
        <w:rPr>
          <w:highlight w:val="yellow"/>
        </w:rPr>
        <w:t>Fig 2b,</w:t>
      </w:r>
      <w:r>
        <w:t xml:space="preserve"> </w:t>
      </w:r>
      <w:r w:rsidRPr="00736B6A">
        <w:rPr>
          <w:highlight w:val="yellow"/>
        </w:rPr>
        <w:t xml:space="preserve">supplementary Fig </w:t>
      </w:r>
      <w:r w:rsidR="008072F2">
        <w:t>1.b</w:t>
      </w:r>
      <w:r>
        <w:t xml:space="preserve">). Of these, nine were decreases in cell population while only </w:t>
      </w:r>
      <w:r w:rsidR="00FC5A78">
        <w:t>three</w:t>
      </w:r>
      <w:r>
        <w:t xml:space="preserve"> were increases </w:t>
      </w:r>
      <w:r w:rsidRPr="00FE1DB0">
        <w:rPr>
          <w:highlight w:val="yellow"/>
        </w:rPr>
        <w:t xml:space="preserve">(see supplementary </w:t>
      </w:r>
      <w:r w:rsidR="00BC4B93">
        <w:rPr>
          <w:highlight w:val="yellow"/>
        </w:rPr>
        <w:t>table</w:t>
      </w:r>
      <w:r w:rsidR="000B7742">
        <w:rPr>
          <w:highlight w:val="yellow"/>
        </w:rPr>
        <w:t xml:space="preserve"> x</w:t>
      </w:r>
      <w:r w:rsidRPr="00FE1DB0">
        <w:rPr>
          <w:highlight w:val="yellow"/>
        </w:rPr>
        <w:t xml:space="preserve"> for full table)</w:t>
      </w:r>
      <w:r>
        <w:t>. Of note,</w:t>
      </w:r>
      <w:r w:rsidR="00A97966">
        <w:t xml:space="preserve"> all three increases occurred in glia.</w:t>
      </w:r>
      <w:r>
        <w:t xml:space="preserve"> </w:t>
      </w:r>
      <w:r w:rsidR="00A97966">
        <w:t>O</w:t>
      </w:r>
      <w:r>
        <w:t>ligodendrocytes</w:t>
      </w:r>
      <w:r w:rsidR="00646B40">
        <w:t xml:space="preserve"> (2_OL)</w:t>
      </w:r>
      <w:r>
        <w:t xml:space="preserve"> increased in population progressively with each phase of sex change</w:t>
      </w:r>
      <w:r w:rsidR="00646B40">
        <w:t xml:space="preserve"> </w:t>
      </w:r>
      <w:r w:rsidR="00646B40" w:rsidRPr="0092127B">
        <w:rPr>
          <w:highlight w:val="yellow"/>
        </w:rPr>
        <w:t>(Fig. 2b</w:t>
      </w:r>
      <w:r w:rsidR="00646B40">
        <w:t xml:space="preserve">, left panel), </w:t>
      </w:r>
      <w:r w:rsidR="00A97966">
        <w:t>and</w:t>
      </w:r>
      <w:r>
        <w:t xml:space="preserve"> microglia</w:t>
      </w:r>
      <w:r w:rsidR="00646B40">
        <w:t xml:space="preserve"> (11_MG)</w:t>
      </w:r>
      <w:r>
        <w:t xml:space="preserve"> increased in population early in sex change during the male-intermediate transition</w:t>
      </w:r>
      <w:r w:rsidR="00646B40">
        <w:t xml:space="preserve"> </w:t>
      </w:r>
      <w:r w:rsidR="00646B40" w:rsidRPr="0092127B">
        <w:rPr>
          <w:highlight w:val="yellow"/>
        </w:rPr>
        <w:t>(Fig. 2b</w:t>
      </w:r>
      <w:r w:rsidR="00646B40">
        <w:t>, middle panel)</w:t>
      </w:r>
      <w:r>
        <w:t>. Consistent with the idea that sex change is characterized by</w:t>
      </w:r>
      <w:r w:rsidR="00CA4872">
        <w:t xml:space="preserve"> transiently</w:t>
      </w:r>
      <w:r>
        <w:t xml:space="preserve"> increases in neuro</w:t>
      </w:r>
      <w:r w:rsidR="00646B40">
        <w:t>-</w:t>
      </w:r>
      <w:r>
        <w:t xml:space="preserve"> and gliogenesis</w:t>
      </w:r>
      <w:r w:rsidR="00646B40">
        <w:t xml:space="preserve"> </w:t>
      </w:r>
      <w:r w:rsidR="00646B40">
        <w:fldChar w:fldCharType="begin"/>
      </w:r>
      <w:r w:rsidR="00AE547C">
        <w:instrText xml:space="preserve"> ADDIN ZOTERO_ITEM CSL_CITATION {"citationID":"0xeA6Ki8","properties":{"unsorted":false,"formattedCitation":"\\super 7,8\\nosupersub{}","plainCitation":"7,8","noteIndex":0},"citationItems":[{"id":45,"uris":["http://zotero.org/users/11313215/items/VGA9PBJ3"],"itemData":{"id":45,"type":"article-journal","abstract":"Sex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S."}],"issued":{"date-parts":[["2023",3]]}}},{"id":3213,"uris":["http://zotero.org/users/11313215/items/RWMZ9QFA"],"itemData":{"id":3213,"type":"article-journal","abstract":"BACKGROUND: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646B40">
        <w:fldChar w:fldCharType="separate"/>
      </w:r>
      <w:r w:rsidR="00434F3C" w:rsidRPr="00434F3C">
        <w:rPr>
          <w:rFonts w:cs="Times New Roman"/>
          <w:color w:val="000000"/>
          <w:kern w:val="0"/>
          <w:szCs w:val="24"/>
          <w:vertAlign w:val="superscript"/>
        </w:rPr>
        <w:t>7,8</w:t>
      </w:r>
      <w:r w:rsidR="00646B40">
        <w:fldChar w:fldCharType="end"/>
      </w:r>
      <w:r>
        <w:t>, radial glia</w:t>
      </w:r>
      <w:r w:rsidR="00646B40">
        <w:t xml:space="preserve"> (1_RGC)</w:t>
      </w:r>
      <w:r>
        <w:t xml:space="preserve"> increased in population in intermediates before returning to male-like levels in females</w:t>
      </w:r>
      <w:r w:rsidR="00646B40">
        <w:t xml:space="preserve"> (</w:t>
      </w:r>
      <w:r w:rsidR="00646B40" w:rsidRPr="0092127B">
        <w:rPr>
          <w:highlight w:val="yellow"/>
        </w:rPr>
        <w:t>Fig 2b</w:t>
      </w:r>
      <w:r w:rsidR="00646B40">
        <w:t xml:space="preserve">, right panel). Taken together, these data support a model where neurogenesis (driven by </w:t>
      </w:r>
      <w:r w:rsidR="007967B9">
        <w:t xml:space="preserve">proliferation of </w:t>
      </w:r>
      <w:r w:rsidR="00646B40">
        <w:t xml:space="preserve">neurogenic radial glia) transiently increases during sex change, new neurons are then myelinated and maintained by an increased oligodendrocyte </w:t>
      </w:r>
      <w:r w:rsidR="007A1BD2">
        <w:t>population and</w:t>
      </w:r>
      <w:r w:rsidR="00646B40">
        <w:t xml:space="preserve"> supported by an increased microglia</w:t>
      </w:r>
      <w:r w:rsidR="007967B9">
        <w:t>l</w:t>
      </w:r>
      <w:r w:rsidR="00646B40">
        <w:t xml:space="preserve"> population.  </w:t>
      </w:r>
    </w:p>
    <w:p w14:paraId="0CD156C7" w14:textId="33CB6219" w:rsidR="00736B6A" w:rsidRPr="00646B40" w:rsidRDefault="00736B6A" w:rsidP="00736B6A">
      <w:pPr>
        <w:rPr>
          <w:highlight w:val="yellow"/>
        </w:rPr>
      </w:pPr>
      <w:r>
        <w:tab/>
        <w:t xml:space="preserve">Because </w:t>
      </w:r>
      <w:r w:rsidR="00646B40">
        <w:t>the large-scale</w:t>
      </w:r>
      <w:r>
        <w:t xml:space="preserve"> changes in glial populations </w:t>
      </w:r>
      <w:r w:rsidR="00646B40">
        <w:t xml:space="preserve">described above </w:t>
      </w:r>
      <w:r>
        <w:t>may obscure more subtle changes in neuronal population</w:t>
      </w:r>
      <w:r w:rsidR="00646B40">
        <w:t>s</w:t>
      </w:r>
      <w:r>
        <w:t>, we next analyzed changes in proportion only considering neuro</w:t>
      </w:r>
      <w:r w:rsidR="00646B40">
        <w:t>ns.</w:t>
      </w:r>
      <w:r>
        <w:t xml:space="preserve"> Of the 20 neuronal clusters we analyzed, 11 (55%) changed in population, with four decreasing and seven increasing in population</w:t>
      </w:r>
      <w:r w:rsidR="00646B40">
        <w:t xml:space="preserve"> over the course of sex change</w:t>
      </w:r>
      <w:r>
        <w:t xml:space="preserve"> (</w:t>
      </w:r>
      <w:r w:rsidRPr="0092127B">
        <w:rPr>
          <w:highlight w:val="yellow"/>
        </w:rPr>
        <w:t>Fig 2c,</w:t>
      </w:r>
      <w:r>
        <w:t xml:space="preserve"> </w:t>
      </w:r>
      <w:r w:rsidRPr="00736B6A">
        <w:rPr>
          <w:highlight w:val="yellow"/>
        </w:rPr>
        <w:t xml:space="preserve">supplementary Fig </w:t>
      </w:r>
      <w:r w:rsidR="00D22AC6">
        <w:t>1c</w:t>
      </w:r>
      <w:r>
        <w:t>)</w:t>
      </w:r>
      <w:r w:rsidR="009821D9">
        <w:t xml:space="preserve"> </w:t>
      </w:r>
      <w:r w:rsidR="009821D9" w:rsidRPr="00FE1DB0">
        <w:rPr>
          <w:highlight w:val="yellow"/>
        </w:rPr>
        <w:t xml:space="preserve">(see supplementary </w:t>
      </w:r>
      <w:r w:rsidR="009821D9">
        <w:rPr>
          <w:highlight w:val="yellow"/>
        </w:rPr>
        <w:t>table x</w:t>
      </w:r>
      <w:r w:rsidR="009821D9" w:rsidRPr="00FE1DB0">
        <w:rPr>
          <w:highlight w:val="yellow"/>
        </w:rPr>
        <w:t xml:space="preserve"> for full table)</w:t>
      </w:r>
      <w:r>
        <w:t xml:space="preserve">. Of these, several clusters mapping to the POA changed in population. </w:t>
      </w:r>
      <w:r w:rsidR="00646B40">
        <w:t>During</w:t>
      </w:r>
      <w:r>
        <w:t xml:space="preserve"> the male-intermediate transition, we found significant increases in clusters 14 (</w:t>
      </w:r>
      <w:r w:rsidR="00646B40">
        <w:t>14_</w:t>
      </w:r>
      <w:r>
        <w:t>G</w:t>
      </w:r>
      <w:r w:rsidR="00646B40">
        <w:t>ABA_2</w:t>
      </w:r>
      <w:r>
        <w:t>), 17 (</w:t>
      </w:r>
      <w:r w:rsidR="00646B40" w:rsidRPr="00646B40">
        <w:t>17_POA_4</w:t>
      </w:r>
      <w:r>
        <w:t>), and 18</w:t>
      </w:r>
      <w:r w:rsidR="00646B40">
        <w:t xml:space="preserve"> (</w:t>
      </w:r>
      <w:r w:rsidR="00646B40" w:rsidRPr="00646B40">
        <w:t>18_GLUT_6</w:t>
      </w:r>
      <w:r w:rsidR="00646B40">
        <w:t>)</w:t>
      </w:r>
      <w:r>
        <w:t>. In intermediates, we found a transient increase in cluster 0 (</w:t>
      </w:r>
      <w:r w:rsidR="00646B40">
        <w:t>0_POA_1</w:t>
      </w:r>
      <w:r>
        <w:t>), and a transient decrease in cluster 4 (</w:t>
      </w:r>
      <w:r w:rsidR="00646B40" w:rsidRPr="00646B40">
        <w:t>4_GLUT_1</w:t>
      </w:r>
      <w:r>
        <w:t xml:space="preserve">). Interestingly, we found a significant increase </w:t>
      </w:r>
      <w:r w:rsidR="008445CA">
        <w:t>during the</w:t>
      </w:r>
      <w:r>
        <w:t xml:space="preserve"> intermediate-female transition in clusters 6 (</w:t>
      </w:r>
      <w:r w:rsidR="00646B40">
        <w:t>6_POA_2</w:t>
      </w:r>
      <w:r>
        <w:t xml:space="preserve">) and 19 </w:t>
      </w:r>
      <w:r w:rsidRPr="00646B40">
        <w:t>(</w:t>
      </w:r>
      <w:r w:rsidR="00646B40" w:rsidRPr="00646B40">
        <w:t>19_POA_5</w:t>
      </w:r>
      <w:r w:rsidR="00416579" w:rsidRPr="00646B40">
        <w:t>) and</w:t>
      </w:r>
      <w:r>
        <w:t xml:space="preserve"> </w:t>
      </w:r>
      <w:r w:rsidRPr="00646B40">
        <w:t>decreases in 9 (</w:t>
      </w:r>
      <w:r w:rsidR="00646B40" w:rsidRPr="00646B40">
        <w:t>9_Mixed_1</w:t>
      </w:r>
      <w:r w:rsidRPr="00646B40">
        <w:t>), 22 (</w:t>
      </w:r>
      <w:r w:rsidR="00646B40" w:rsidRPr="00646B40">
        <w:t>22_GLUT_7</w:t>
      </w:r>
      <w:r w:rsidRPr="00646B40">
        <w:t>), and 24 (</w:t>
      </w:r>
      <w:r w:rsidR="00646B40" w:rsidRPr="00646B40">
        <w:t>24_Mixed_2</w:t>
      </w:r>
      <w:r w:rsidRPr="00646B40">
        <w:t>). Taken together, these data suggest that the neurogenesis</w:t>
      </w:r>
      <w:r>
        <w:t xml:space="preserve"> that occurs during sex change populates different neuronal populations at different </w:t>
      </w:r>
      <w:r w:rsidR="00646B40">
        <w:lastRenderedPageBreak/>
        <w:t>stages</w:t>
      </w:r>
      <w:r>
        <w:t xml:space="preserve"> </w:t>
      </w:r>
      <w:r w:rsidR="00646B40">
        <w:t>during</w:t>
      </w:r>
      <w:r>
        <w:t xml:space="preserve"> the transition</w:t>
      </w:r>
      <w:r w:rsidR="00646B40">
        <w:t xml:space="preserve"> in a neurotransmitter independent manner.</w:t>
      </w:r>
      <w:r w:rsidR="0076714C">
        <w:t xml:space="preserve"> </w:t>
      </w:r>
      <w:r w:rsidR="008B7EAC">
        <w:t>Further, t</w:t>
      </w:r>
      <w:r w:rsidR="0076714C">
        <w:t xml:space="preserve">hese data </w:t>
      </w:r>
      <w:r w:rsidR="00107EFC">
        <w:t>show</w:t>
      </w:r>
      <w:r w:rsidR="0076714C">
        <w:t xml:space="preserve"> that neural remodeling </w:t>
      </w:r>
      <w:r w:rsidR="00AE44C0">
        <w:t>begins</w:t>
      </w:r>
      <w:r w:rsidR="0076714C">
        <w:t xml:space="preserve"> prior to and independently </w:t>
      </w:r>
      <w:r w:rsidR="00692E0E">
        <w:t>to changes in physiology and behavior</w:t>
      </w:r>
      <w:r w:rsidR="008D3808">
        <w:t>.</w:t>
      </w:r>
    </w:p>
    <w:p w14:paraId="2990675F" w14:textId="77777777" w:rsidR="00736B6A" w:rsidRDefault="00736B6A" w:rsidP="00582279"/>
    <w:p w14:paraId="3A31BF5A" w14:textId="6FB388DB" w:rsidR="008F3973" w:rsidRDefault="00646B40" w:rsidP="00D85974">
      <w:pPr>
        <w:pStyle w:val="Heading1"/>
      </w:pPr>
      <w:r>
        <w:t>Cell Types Undergo</w:t>
      </w:r>
      <w:r w:rsidR="003D0B8C">
        <w:t xml:space="preserve"> Transcriptomic</w:t>
      </w:r>
      <w:r>
        <w:t xml:space="preserve"> Sex Change at Different Rates</w:t>
      </w:r>
      <w:r w:rsidR="00640BF9">
        <w:t xml:space="preserve"> </w:t>
      </w:r>
    </w:p>
    <w:p w14:paraId="1465029A" w14:textId="4E39C975" w:rsidR="00736B6A" w:rsidRDefault="008F3973" w:rsidP="00582279">
      <w:r>
        <w:rPr>
          <w:b/>
          <w:bCs/>
        </w:rPr>
        <w:tab/>
      </w:r>
      <w:r>
        <w:t>To characterize the transcriptomic changes associated with sex change, we next analyzed differentially expressed genes</w:t>
      </w:r>
      <w:r w:rsidR="00646B40">
        <w:t xml:space="preserve"> (DEGs)</w:t>
      </w:r>
      <w:r w:rsidR="007A30F0">
        <w:t xml:space="preserve"> by phase</w:t>
      </w:r>
      <w:r>
        <w:t xml:space="preserve">. Genes that significantly differed </w:t>
      </w:r>
      <w:r w:rsidR="007A30F0">
        <w:t xml:space="preserve">between phases </w:t>
      </w:r>
      <w:r>
        <w:t>were then classified by their pairwise pattern across the three major groups (</w:t>
      </w:r>
      <w:r w:rsidRPr="008F3973">
        <w:rPr>
          <w:highlight w:val="yellow"/>
        </w:rPr>
        <w:t>see methods</w:t>
      </w:r>
      <w:r>
        <w:t xml:space="preserve">). </w:t>
      </w:r>
      <w:r w:rsidR="00D87C79">
        <w:t>Of the 290 DEGs</w:t>
      </w:r>
      <w:r w:rsidR="00404EDC">
        <w:t xml:space="preserve"> we detected</w:t>
      </w:r>
      <w:r w:rsidR="00D87C79">
        <w:t>, 153 significantly differed between males and intermediates, 214 differed between females and intermediates, and 234 differed between females and males.</w:t>
      </w:r>
      <w:r w:rsidR="00BD5579">
        <w:t xml:space="preserve"> Perhaps unsurprisingly, this implies that</w:t>
      </w:r>
      <w:r w:rsidR="0015277A">
        <w:t xml:space="preserve"> the magnitude of transcriptomic sex change (i.e. the number of DEGs) is larger </w:t>
      </w:r>
      <w:r w:rsidR="003C7E90">
        <w:t>during the intermediate-female transition when gonadal sex change occurs, than during the male-intermediate transition</w:t>
      </w:r>
      <w:r w:rsidR="005400EA">
        <w:t xml:space="preserve"> where the groundwork for gonadal sex change is laid</w:t>
      </w:r>
      <w:r w:rsidR="003C7E90">
        <w:t xml:space="preserve">. </w:t>
      </w:r>
      <w:r w:rsidR="00646B40">
        <w:t xml:space="preserve">Of </w:t>
      </w:r>
      <w:r w:rsidR="003C7E90">
        <w:t>the 290 DEGs</w:t>
      </w:r>
      <w:r w:rsidR="00646B40">
        <w:t xml:space="preserve">, </w:t>
      </w:r>
      <w:r>
        <w:t xml:space="preserve">140 were </w:t>
      </w:r>
      <w:r w:rsidR="003B1DF0">
        <w:t>downregulated</w:t>
      </w:r>
      <w:r>
        <w:t xml:space="preserve"> and</w:t>
      </w:r>
      <w:r w:rsidR="003B1DF0">
        <w:t xml:space="preserve"> 150 were upregulated. We found DEGs were biased in clusters </w:t>
      </w:r>
      <w:r w:rsidR="00B55E95">
        <w:t>6_POA_2</w:t>
      </w:r>
      <w:r w:rsidR="003B1DF0">
        <w:t xml:space="preserve">, </w:t>
      </w:r>
      <w:r w:rsidR="00B55E95">
        <w:t>1_RGC</w:t>
      </w:r>
      <w:r w:rsidR="003B1DF0">
        <w:t xml:space="preserve">, </w:t>
      </w:r>
      <w:r w:rsidR="00B55E95">
        <w:t>0_POA_1</w:t>
      </w:r>
      <w:r w:rsidR="003B1DF0">
        <w:t xml:space="preserve">, and </w:t>
      </w:r>
      <w:r w:rsidR="00B55E95">
        <w:t>11_MG</w:t>
      </w:r>
      <w:r w:rsidR="003B1DF0">
        <w:t xml:space="preserve"> (</w:t>
      </w:r>
      <w:r w:rsidR="00646B40" w:rsidRPr="008D1089">
        <w:rPr>
          <w:highlight w:val="yellow"/>
        </w:rPr>
        <w:t>Fig.</w:t>
      </w:r>
      <w:r w:rsidR="00404EDC" w:rsidRPr="008D1089">
        <w:rPr>
          <w:highlight w:val="yellow"/>
        </w:rPr>
        <w:t xml:space="preserve"> </w:t>
      </w:r>
      <w:r w:rsidR="00646B40" w:rsidRPr="008D1089">
        <w:rPr>
          <w:highlight w:val="yellow"/>
        </w:rPr>
        <w:t>2</w:t>
      </w:r>
      <w:r w:rsidR="00404EDC" w:rsidRPr="008D1089">
        <w:rPr>
          <w:highlight w:val="yellow"/>
        </w:rPr>
        <w:t>d</w:t>
      </w:r>
      <w:r w:rsidR="003B1DF0">
        <w:t>)</w:t>
      </w:r>
      <w:r w:rsidR="002C3ECD">
        <w:t xml:space="preserve"> (</w:t>
      </w:r>
      <w:r w:rsidR="002C3ECD" w:rsidRPr="002C3ECD">
        <w:rPr>
          <w:highlight w:val="yellow"/>
        </w:rPr>
        <w:t>see supplementary table x for full data</w:t>
      </w:r>
      <w:r w:rsidR="002C3ECD">
        <w:t>)</w:t>
      </w:r>
      <w:r w:rsidR="00646B40">
        <w:t>.</w:t>
      </w:r>
    </w:p>
    <w:p w14:paraId="5314515D" w14:textId="19BFB4B1" w:rsidR="00646B40" w:rsidRDefault="00646B40" w:rsidP="00582279">
      <w:r>
        <w:tab/>
        <w:t xml:space="preserve">To </w:t>
      </w:r>
      <w:r w:rsidR="001F07C6">
        <w:t>determine a temporal</w:t>
      </w:r>
      <w:r>
        <w:t xml:space="preserve"> order </w:t>
      </w:r>
      <w:r w:rsidR="001F07C6">
        <w:t xml:space="preserve">for </w:t>
      </w:r>
      <w:r>
        <w:t>when sex change occurred in each cluster, we next trained</w:t>
      </w:r>
      <w:r w:rsidR="005E6DAC">
        <w:t xml:space="preserve"> logistic regression</w:t>
      </w:r>
      <w:r w:rsidR="00640BF9">
        <w:t xml:space="preserve"> </w:t>
      </w:r>
      <w:r>
        <w:t>classifier</w:t>
      </w:r>
      <w:r w:rsidR="00640BF9">
        <w:t>s</w:t>
      </w:r>
      <w:r>
        <w:t xml:space="preserve"> </w:t>
      </w:r>
      <w:r w:rsidR="005E6DAC">
        <w:t>(</w:t>
      </w:r>
      <w:r w:rsidR="005E6DAC" w:rsidRPr="005E6DAC">
        <w:rPr>
          <w:highlight w:val="yellow"/>
        </w:rPr>
        <w:t>methods</w:t>
      </w:r>
      <w:r w:rsidR="005E6DAC">
        <w:t xml:space="preserve">) </w:t>
      </w:r>
      <w:r>
        <w:t xml:space="preserve">on the </w:t>
      </w:r>
      <w:r w:rsidR="005E6DAC">
        <w:t>expression</w:t>
      </w:r>
      <w:r>
        <w:t xml:space="preserve"> of DEGs </w:t>
      </w:r>
      <w:r w:rsidR="005E6DAC">
        <w:t>that differed between</w:t>
      </w:r>
      <w:r>
        <w:t xml:space="preserve"> male</w:t>
      </w:r>
      <w:r w:rsidR="005E6DAC">
        <w:t>s</w:t>
      </w:r>
      <w:r>
        <w:t xml:space="preserve"> and </w:t>
      </w:r>
      <w:r w:rsidR="00640BF9">
        <w:t>female</w:t>
      </w:r>
      <w:r w:rsidR="005E6DAC">
        <w:t xml:space="preserve">s, </w:t>
      </w:r>
      <w:r w:rsidR="00640BF9">
        <w:t>and</w:t>
      </w:r>
      <w:r>
        <w:t xml:space="preserve"> predicted the sex of each intermediate for that cluster. Because intermediates were all sampled at the same time, the mean prediction of the intermediates’ sex in a given cluster reflects the temporal order of when the cluster changes sex. Here, a prediction of male</w:t>
      </w:r>
      <w:r w:rsidR="00990242">
        <w:t xml:space="preserve"> (closer to 0)</w:t>
      </w:r>
      <w:r>
        <w:t xml:space="preserve"> indicates the cluster has not changed sex by 6-months, while a prediction of female</w:t>
      </w:r>
      <w:r w:rsidR="00990242">
        <w:t xml:space="preserve"> (closer to 1)</w:t>
      </w:r>
      <w:r>
        <w:t xml:space="preserve"> indicates it has. </w:t>
      </w:r>
      <w:commentRangeStart w:id="0"/>
      <w:r w:rsidR="00640BF9">
        <w:t xml:space="preserve">Of the 27 clusters, </w:t>
      </w:r>
      <w:r w:rsidR="00640BF9" w:rsidRPr="00CE2302">
        <w:t>1</w:t>
      </w:r>
      <w:r w:rsidR="00CE2302" w:rsidRPr="00CE2302">
        <w:t>5</w:t>
      </w:r>
      <w:r w:rsidR="00640BF9">
        <w:t xml:space="preserve"> passed quality </w:t>
      </w:r>
      <w:r w:rsidR="00CE2302">
        <w:t>control and</w:t>
      </w:r>
      <w:r w:rsidR="00082CA9">
        <w:t xml:space="preserve"> were analyzed</w:t>
      </w:r>
      <w:r w:rsidR="00CE2302">
        <w:t xml:space="preserve"> </w:t>
      </w:r>
      <w:commentRangeEnd w:id="0"/>
      <w:r w:rsidR="004727CA">
        <w:rPr>
          <w:rStyle w:val="CommentReference"/>
          <w:sz w:val="24"/>
          <w:szCs w:val="30"/>
        </w:rPr>
        <w:commentReference w:id="0"/>
      </w:r>
      <w:r w:rsidR="00640BF9">
        <w:t>(</w:t>
      </w:r>
      <w:r w:rsidR="00640BF9" w:rsidRPr="00990242">
        <w:rPr>
          <w:highlight w:val="yellow"/>
        </w:rPr>
        <w:t>methods</w:t>
      </w:r>
      <w:r w:rsidR="00640BF9">
        <w:t>).</w:t>
      </w:r>
      <w:r w:rsidR="00082CA9">
        <w:t xml:space="preserve"> The mean score of analyzed clusters was </w:t>
      </w:r>
      <w:r w:rsidR="00AF7865" w:rsidRPr="00AF7865">
        <w:t>0.327</w:t>
      </w:r>
      <w:r w:rsidR="00697310">
        <w:t xml:space="preserve"> </w:t>
      </w:r>
      <w:r w:rsidR="00697310" w:rsidRPr="00697310">
        <w:t>±</w:t>
      </w:r>
      <w:r w:rsidR="00697310">
        <w:t xml:space="preserve"> </w:t>
      </w:r>
      <w:r w:rsidR="00E8409A" w:rsidRPr="00E8409A">
        <w:t>0.02</w:t>
      </w:r>
      <w:r w:rsidR="00E8409A">
        <w:t>3 SE</w:t>
      </w:r>
      <w:r w:rsidR="00AF7865">
        <w:t xml:space="preserve"> implying that in the POA</w:t>
      </w:r>
      <w:r w:rsidR="00CE2302">
        <w:t xml:space="preserve"> of intermediates</w:t>
      </w:r>
      <w:r w:rsidR="00AF7865">
        <w:t xml:space="preserve">, </w:t>
      </w:r>
      <w:r w:rsidR="00A03F84">
        <w:t>sex change is approximately 1/3 complete at 6-months.</w:t>
      </w:r>
      <w:r w:rsidR="00640BF9">
        <w:t xml:space="preserve"> </w:t>
      </w:r>
      <w:r w:rsidR="00A44DE3">
        <w:t>Broadly, glutamatergic neurons</w:t>
      </w:r>
      <w:r w:rsidR="0006768C">
        <w:t xml:space="preserve"> and glia</w:t>
      </w:r>
      <w:r w:rsidR="00A44DE3">
        <w:t xml:space="preserve"> tended to change sex before GABAergic and mixed neurons</w:t>
      </w:r>
      <w:r w:rsidR="00A03F84">
        <w:t xml:space="preserve"> (G</w:t>
      </w:r>
      <w:r w:rsidR="00226270">
        <w:t xml:space="preserve">lutamatergic: </w:t>
      </w:r>
      <w:r w:rsidR="00226270" w:rsidRPr="00226270">
        <w:t>0.430</w:t>
      </w:r>
      <w:r w:rsidR="00697310">
        <w:t xml:space="preserve"> </w:t>
      </w:r>
      <w:r w:rsidR="00697310" w:rsidRPr="00697310">
        <w:t>±</w:t>
      </w:r>
      <w:r w:rsidR="00697310">
        <w:t xml:space="preserve"> </w:t>
      </w:r>
      <w:r w:rsidR="00226270" w:rsidRPr="00226270">
        <w:t>0.03</w:t>
      </w:r>
      <w:r w:rsidR="0006768C">
        <w:t>4</w:t>
      </w:r>
      <w:r w:rsidR="00A03F84">
        <w:t xml:space="preserve"> </w:t>
      </w:r>
      <w:r w:rsidR="00226270">
        <w:t>SE,</w:t>
      </w:r>
      <w:r w:rsidR="0006768C">
        <w:t xml:space="preserve"> Glia: </w:t>
      </w:r>
      <w:r w:rsidR="005C4F3C" w:rsidRPr="005C4F3C">
        <w:t>0.454</w:t>
      </w:r>
      <w:r w:rsidR="00697310">
        <w:t xml:space="preserve"> </w:t>
      </w:r>
      <w:r w:rsidR="00697310" w:rsidRPr="00697310">
        <w:t>±</w:t>
      </w:r>
      <w:r w:rsidR="00697310">
        <w:t xml:space="preserve"> </w:t>
      </w:r>
      <w:r w:rsidR="005C4F3C" w:rsidRPr="005C4F3C">
        <w:t>0.04</w:t>
      </w:r>
      <w:r w:rsidR="005C4F3C">
        <w:t>9 SE,</w:t>
      </w:r>
      <w:r w:rsidR="00226270">
        <w:t xml:space="preserve"> GABAergic:</w:t>
      </w:r>
      <w:r w:rsidR="0006768C" w:rsidRPr="0006768C">
        <w:t xml:space="preserve"> 0.36</w:t>
      </w:r>
      <w:r w:rsidR="0006768C">
        <w:t xml:space="preserve">1 </w:t>
      </w:r>
      <w:r w:rsidR="00697310" w:rsidRPr="00697310">
        <w:t>±</w:t>
      </w:r>
      <w:r w:rsidR="00697310">
        <w:t xml:space="preserve"> 0.054</w:t>
      </w:r>
      <w:r w:rsidR="0006768C">
        <w:t xml:space="preserve"> SE</w:t>
      </w:r>
      <w:r w:rsidR="005C4F3C">
        <w:t xml:space="preserve">, </w:t>
      </w:r>
      <w:r w:rsidR="008A1FC0">
        <w:t>M</w:t>
      </w:r>
      <w:r w:rsidR="005C4F3C">
        <w:t xml:space="preserve">ixed: </w:t>
      </w:r>
      <w:r w:rsidR="00697310" w:rsidRPr="00697310">
        <w:t>0.247 ±</w:t>
      </w:r>
      <w:r w:rsidR="00697310">
        <w:t xml:space="preserve"> </w:t>
      </w:r>
      <w:r w:rsidR="00697310" w:rsidRPr="00697310">
        <w:t>0.051</w:t>
      </w:r>
      <w:r w:rsidR="00697310">
        <w:t xml:space="preserve"> SE)</w:t>
      </w:r>
      <w:r w:rsidR="00A44DE3">
        <w:t xml:space="preserve">. </w:t>
      </w:r>
      <w:r w:rsidR="00A02CE8">
        <w:t>The</w:t>
      </w:r>
      <w:r w:rsidR="003C0BC0">
        <w:t xml:space="preserve"> </w:t>
      </w:r>
      <w:r w:rsidR="00FE470B">
        <w:t>final</w:t>
      </w:r>
      <w:r w:rsidR="003C0BC0">
        <w:t xml:space="preserve"> cluster</w:t>
      </w:r>
      <w:r w:rsidR="008A1FC0">
        <w:t>s</w:t>
      </w:r>
      <w:r w:rsidR="003C0BC0">
        <w:t xml:space="preserve"> to change sex in our analysis (i.e. the most male-like in intermediates) </w:t>
      </w:r>
      <w:r w:rsidR="008A1FC0">
        <w:t>were 1_RGC, 3_GABA_1, and 6_POA_2</w:t>
      </w:r>
      <w:r w:rsidR="003C0BC0">
        <w:t xml:space="preserve"> </w:t>
      </w:r>
      <w:r w:rsidR="00640BF9">
        <w:t>(</w:t>
      </w:r>
      <w:r w:rsidR="00640BF9" w:rsidRPr="00A9740F">
        <w:rPr>
          <w:highlight w:val="yellow"/>
        </w:rPr>
        <w:t>Fig. 2e</w:t>
      </w:r>
      <w:r w:rsidR="00640BF9">
        <w:t>).</w:t>
      </w:r>
      <w:r w:rsidR="00164916">
        <w:t xml:space="preserve"> </w:t>
      </w:r>
      <w:commentRangeStart w:id="1"/>
      <w:r w:rsidR="00164916">
        <w:t xml:space="preserve">Taken together, these data </w:t>
      </w:r>
      <w:r w:rsidR="00A2422E">
        <w:t>support the idea that sex change occurs asynchronously across cell types</w:t>
      </w:r>
      <w:commentRangeEnd w:id="1"/>
      <w:r w:rsidR="00483FE0">
        <w:rPr>
          <w:rStyle w:val="CommentReference"/>
          <w:sz w:val="24"/>
          <w:szCs w:val="30"/>
        </w:rPr>
        <w:commentReference w:id="1"/>
      </w:r>
      <w:r w:rsidR="00AD6618">
        <w:t xml:space="preserve">. Further, they suggest that the clusters </w:t>
      </w:r>
      <w:r w:rsidR="00483FE0">
        <w:t>that undergo</w:t>
      </w:r>
      <w:r w:rsidR="00AD6618">
        <w:t xml:space="preserve"> the most change during sex change (1_RGC, 6_POA_2, 0_POA_1)</w:t>
      </w:r>
      <w:r w:rsidR="00164916">
        <w:t xml:space="preserve"> </w:t>
      </w:r>
      <w:r w:rsidR="00483FE0">
        <w:t xml:space="preserve">remain in a largely male-like state until after gonadal sex change occurs. </w:t>
      </w:r>
    </w:p>
    <w:p w14:paraId="0B502482" w14:textId="5955F0BB" w:rsidR="001B44F6" w:rsidRDefault="001B44F6" w:rsidP="00582279"/>
    <w:p w14:paraId="40631903" w14:textId="447FE8CB" w:rsidR="00A50E5F" w:rsidRDefault="00722050" w:rsidP="00A50E5F">
      <w:pPr>
        <w:keepNext/>
      </w:pPr>
      <w:r>
        <w:rPr>
          <w:noProof/>
        </w:rPr>
        <w:lastRenderedPageBreak/>
        <w:drawing>
          <wp:inline distT="0" distB="0" distL="0" distR="0" wp14:anchorId="7A127C0C" wp14:editId="07858A7F">
            <wp:extent cx="5943600" cy="6593305"/>
            <wp:effectExtent l="0" t="0" r="0" b="0"/>
            <wp:docPr id="1908743028" name="Picture 4"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43028" name="Picture 4" descr="A close-up of a graph&#10;&#10;AI-generated content may be incorrect."/>
                    <pic:cNvPicPr/>
                  </pic:nvPicPr>
                  <pic:blipFill rotWithShape="1">
                    <a:blip r:embed="rId13">
                      <a:extLst>
                        <a:ext uri="{28A0092B-C50C-407E-A947-70E740481C1C}">
                          <a14:useLocalDpi xmlns:a14="http://schemas.microsoft.com/office/drawing/2010/main" val="0"/>
                        </a:ext>
                      </a:extLst>
                    </a:blip>
                    <a:srcRect b="14309"/>
                    <a:stretch>
                      <a:fillRect/>
                    </a:stretch>
                  </pic:blipFill>
                  <pic:spPr bwMode="auto">
                    <a:xfrm>
                      <a:off x="0" y="0"/>
                      <a:ext cx="5943600" cy="6593305"/>
                    </a:xfrm>
                    <a:prstGeom prst="rect">
                      <a:avLst/>
                    </a:prstGeom>
                    <a:ln>
                      <a:noFill/>
                    </a:ln>
                    <a:extLst>
                      <a:ext uri="{53640926-AAD7-44D8-BBD7-CCE9431645EC}">
                        <a14:shadowObscured xmlns:a14="http://schemas.microsoft.com/office/drawing/2010/main"/>
                      </a:ext>
                    </a:extLst>
                  </pic:spPr>
                </pic:pic>
              </a:graphicData>
            </a:graphic>
          </wp:inline>
        </w:drawing>
      </w:r>
    </w:p>
    <w:p w14:paraId="7B4F327A" w14:textId="0F165269" w:rsidR="00A50E5F" w:rsidRDefault="00A50E5F" w:rsidP="00A50E5F">
      <w:pPr>
        <w:pStyle w:val="Caption"/>
        <w:rPr>
          <w:i w:val="0"/>
          <w:iCs w:val="0"/>
          <w:sz w:val="24"/>
          <w:szCs w:val="24"/>
        </w:rPr>
      </w:pPr>
      <w:r w:rsidRPr="009A4A0C">
        <w:rPr>
          <w:b/>
          <w:i w:val="0"/>
          <w:sz w:val="24"/>
          <w:szCs w:val="24"/>
        </w:rPr>
        <w:t xml:space="preserve">Figure </w:t>
      </w:r>
      <w:r w:rsidRPr="009A4A0C">
        <w:rPr>
          <w:b/>
          <w:i w:val="0"/>
          <w:sz w:val="24"/>
          <w:szCs w:val="24"/>
        </w:rPr>
        <w:fldChar w:fldCharType="begin"/>
      </w:r>
      <w:r w:rsidRPr="009A4A0C">
        <w:rPr>
          <w:b/>
          <w:i w:val="0"/>
          <w:sz w:val="24"/>
          <w:szCs w:val="24"/>
        </w:rPr>
        <w:instrText xml:space="preserve"> SEQ Figure \* ARABIC </w:instrText>
      </w:r>
      <w:r w:rsidRPr="009A4A0C">
        <w:rPr>
          <w:b/>
          <w:i w:val="0"/>
          <w:sz w:val="24"/>
          <w:szCs w:val="24"/>
        </w:rPr>
        <w:fldChar w:fldCharType="separate"/>
      </w:r>
      <w:r w:rsidR="006B4F5D" w:rsidRPr="009A4A0C">
        <w:rPr>
          <w:b/>
          <w:i w:val="0"/>
          <w:sz w:val="24"/>
          <w:szCs w:val="24"/>
        </w:rPr>
        <w:t>2</w:t>
      </w:r>
      <w:r w:rsidRPr="009A4A0C">
        <w:rPr>
          <w:b/>
          <w:i w:val="0"/>
          <w:sz w:val="24"/>
          <w:szCs w:val="24"/>
        </w:rPr>
        <w:fldChar w:fldCharType="end"/>
      </w:r>
      <w:r w:rsidRPr="009A4A0C">
        <w:rPr>
          <w:b/>
          <w:i w:val="0"/>
          <w:sz w:val="24"/>
          <w:szCs w:val="24"/>
        </w:rPr>
        <w:t>. a)</w:t>
      </w:r>
      <w:r w:rsidR="00985021" w:rsidRPr="009A4A0C">
        <w:rPr>
          <w:i w:val="0"/>
          <w:sz w:val="24"/>
          <w:szCs w:val="24"/>
        </w:rPr>
        <w:t xml:space="preserve"> A UMAP projection of our snMultiome data with clusters of interest labeled in the color of the cluster. </w:t>
      </w:r>
      <w:r w:rsidR="00985021" w:rsidRPr="009A4A0C">
        <w:rPr>
          <w:b/>
          <w:i w:val="0"/>
          <w:sz w:val="24"/>
          <w:szCs w:val="24"/>
        </w:rPr>
        <w:t>b)</w:t>
      </w:r>
      <w:r w:rsidR="00985021" w:rsidRPr="009A4A0C">
        <w:rPr>
          <w:i w:val="0"/>
          <w:sz w:val="24"/>
          <w:szCs w:val="24"/>
        </w:rPr>
        <w:t xml:space="preserve"> Proportion o</w:t>
      </w:r>
      <w:r w:rsidR="00575328" w:rsidRPr="009A4A0C">
        <w:rPr>
          <w:i w:val="0"/>
          <w:sz w:val="24"/>
          <w:szCs w:val="24"/>
        </w:rPr>
        <w:t xml:space="preserve">f cells that are 2_OL (left), 11_MG (middle), or 1_RGC (right) by phase. </w:t>
      </w:r>
      <w:r w:rsidR="00575328" w:rsidRPr="009A4A0C">
        <w:rPr>
          <w:b/>
          <w:i w:val="0"/>
          <w:sz w:val="24"/>
          <w:szCs w:val="24"/>
        </w:rPr>
        <w:t xml:space="preserve">c) </w:t>
      </w:r>
      <w:r w:rsidR="003B24FB" w:rsidRPr="009A4A0C">
        <w:rPr>
          <w:i w:val="0"/>
          <w:sz w:val="24"/>
          <w:szCs w:val="24"/>
        </w:rPr>
        <w:t xml:space="preserve">Proportion of neurons that are 0_POA_1 (left), 6_POA_2 (middle), or 24_Mixed_2 (right) by phase. </w:t>
      </w:r>
      <w:r w:rsidR="003B24FB" w:rsidRPr="009A4A0C">
        <w:rPr>
          <w:b/>
          <w:i w:val="0"/>
          <w:sz w:val="24"/>
          <w:szCs w:val="24"/>
        </w:rPr>
        <w:t>d)</w:t>
      </w:r>
      <w:r w:rsidR="003B24FB" w:rsidRPr="009A4A0C">
        <w:rPr>
          <w:i w:val="0"/>
          <w:sz w:val="24"/>
          <w:szCs w:val="24"/>
        </w:rPr>
        <w:t xml:space="preserve"> Number of DEGs by cluster, </w:t>
      </w:r>
      <w:r w:rsidR="0092043F" w:rsidRPr="009A4A0C">
        <w:rPr>
          <w:i w:val="0"/>
          <w:sz w:val="24"/>
          <w:szCs w:val="24"/>
        </w:rPr>
        <w:t>colored</w:t>
      </w:r>
      <w:r w:rsidR="003B24FB" w:rsidRPr="009A4A0C">
        <w:rPr>
          <w:i w:val="0"/>
          <w:sz w:val="24"/>
          <w:szCs w:val="24"/>
        </w:rPr>
        <w:t xml:space="preserve"> by pairwise pattern. </w:t>
      </w:r>
      <w:r w:rsidR="003B24FB" w:rsidRPr="009A4A0C">
        <w:rPr>
          <w:b/>
          <w:i w:val="0"/>
          <w:sz w:val="24"/>
          <w:szCs w:val="24"/>
        </w:rPr>
        <w:t xml:space="preserve">e) </w:t>
      </w:r>
      <w:r w:rsidR="003B24FB" w:rsidRPr="009A4A0C">
        <w:rPr>
          <w:i w:val="0"/>
          <w:sz w:val="24"/>
          <w:szCs w:val="24"/>
        </w:rPr>
        <w:t xml:space="preserve">Mean </w:t>
      </w:r>
      <w:r w:rsidR="000A2DE3" w:rsidRPr="009A4A0C">
        <w:rPr>
          <w:i w:val="0"/>
          <w:sz w:val="24"/>
          <w:szCs w:val="24"/>
        </w:rPr>
        <w:t>±</w:t>
      </w:r>
      <w:r w:rsidR="003B24FB" w:rsidRPr="009A4A0C">
        <w:rPr>
          <w:i w:val="0"/>
          <w:sz w:val="24"/>
          <w:szCs w:val="24"/>
        </w:rPr>
        <w:t xml:space="preserve"> SE prediction of the se</w:t>
      </w:r>
      <w:r w:rsidR="005A244B" w:rsidRPr="009A4A0C">
        <w:rPr>
          <w:i w:val="0"/>
          <w:sz w:val="24"/>
          <w:szCs w:val="24"/>
        </w:rPr>
        <w:t>x of intermediates in a cluster where 1 = Female and 0 = Male. A score closer to 1 means the cluster has changed sex</w:t>
      </w:r>
      <w:r w:rsidR="00574A2E" w:rsidRPr="009A4A0C">
        <w:rPr>
          <w:i w:val="0"/>
          <w:sz w:val="24"/>
          <w:szCs w:val="24"/>
        </w:rPr>
        <w:t xml:space="preserve"> in intermediates</w:t>
      </w:r>
      <w:r w:rsidR="005A244B" w:rsidRPr="009A4A0C">
        <w:rPr>
          <w:i w:val="0"/>
          <w:sz w:val="24"/>
          <w:szCs w:val="24"/>
        </w:rPr>
        <w:t xml:space="preserve"> </w:t>
      </w:r>
      <w:r w:rsidR="00574A2E" w:rsidRPr="009A4A0C">
        <w:rPr>
          <w:i w:val="0"/>
          <w:sz w:val="24"/>
          <w:szCs w:val="24"/>
        </w:rPr>
        <w:t xml:space="preserve">prior to sampling while a score closer to 0 indicates the cluster is yet to change sex in intermediates. </w:t>
      </w:r>
      <w:r w:rsidR="007650C4" w:rsidRPr="009A4A0C">
        <w:rPr>
          <w:i w:val="0"/>
          <w:sz w:val="24"/>
          <w:szCs w:val="24"/>
        </w:rPr>
        <w:t xml:space="preserve">In </w:t>
      </w:r>
      <w:r w:rsidR="007650C4" w:rsidRPr="009A4A0C">
        <w:rPr>
          <w:b/>
          <w:i w:val="0"/>
          <w:sz w:val="24"/>
          <w:szCs w:val="24"/>
        </w:rPr>
        <w:t>b, c,</w:t>
      </w:r>
      <w:r w:rsidR="007650C4" w:rsidRPr="009A4A0C">
        <w:rPr>
          <w:i w:val="0"/>
          <w:sz w:val="24"/>
          <w:szCs w:val="24"/>
        </w:rPr>
        <w:t xml:space="preserve"> “*” indicates </w:t>
      </w:r>
      <w:r w:rsidR="007650C4" w:rsidRPr="009A4A0C">
        <w:rPr>
          <w:sz w:val="24"/>
          <w:szCs w:val="24"/>
        </w:rPr>
        <w:t>p</w:t>
      </w:r>
      <w:r w:rsidR="007650C4" w:rsidRPr="009A4A0C">
        <w:rPr>
          <w:i w:val="0"/>
          <w:sz w:val="24"/>
          <w:szCs w:val="24"/>
        </w:rPr>
        <w:t xml:space="preserve"> &lt; 0.05, “**” indicates </w:t>
      </w:r>
      <w:r w:rsidR="007650C4" w:rsidRPr="009A4A0C">
        <w:rPr>
          <w:sz w:val="24"/>
          <w:szCs w:val="24"/>
        </w:rPr>
        <w:t xml:space="preserve">p &lt; </w:t>
      </w:r>
      <w:r w:rsidR="007650C4" w:rsidRPr="009A4A0C">
        <w:rPr>
          <w:i w:val="0"/>
          <w:sz w:val="24"/>
          <w:szCs w:val="24"/>
        </w:rPr>
        <w:t>0.01</w:t>
      </w:r>
      <w:r w:rsidR="007650C4" w:rsidRPr="009A4A0C">
        <w:rPr>
          <w:sz w:val="24"/>
          <w:szCs w:val="24"/>
        </w:rPr>
        <w:t xml:space="preserve">, </w:t>
      </w:r>
      <w:r w:rsidR="007650C4" w:rsidRPr="009A4A0C">
        <w:rPr>
          <w:i w:val="0"/>
          <w:sz w:val="24"/>
          <w:szCs w:val="24"/>
        </w:rPr>
        <w:t xml:space="preserve">and “***” indicates </w:t>
      </w:r>
      <w:r w:rsidR="007650C4" w:rsidRPr="009A4A0C">
        <w:rPr>
          <w:sz w:val="24"/>
          <w:szCs w:val="24"/>
        </w:rPr>
        <w:t>p &lt;</w:t>
      </w:r>
      <w:r w:rsidR="007650C4" w:rsidRPr="009A4A0C">
        <w:rPr>
          <w:i w:val="0"/>
          <w:sz w:val="24"/>
          <w:szCs w:val="24"/>
        </w:rPr>
        <w:t xml:space="preserve"> 0.001.</w:t>
      </w:r>
      <w:r w:rsidR="0011634F" w:rsidRPr="009A4A0C">
        <w:rPr>
          <w:i w:val="0"/>
          <w:sz w:val="24"/>
          <w:szCs w:val="24"/>
        </w:rPr>
        <w:t xml:space="preserve"> Pairwise comparisons are only </w:t>
      </w:r>
      <w:r w:rsidR="0011634F" w:rsidRPr="009A4A0C">
        <w:rPr>
          <w:i w:val="0"/>
          <w:sz w:val="24"/>
          <w:szCs w:val="24"/>
        </w:rPr>
        <w:lastRenderedPageBreak/>
        <w:t>shown for males, intermediates, and females.</w:t>
      </w:r>
      <w:r w:rsidR="007650C4" w:rsidRPr="009A4A0C">
        <w:rPr>
          <w:i w:val="0"/>
          <w:sz w:val="24"/>
          <w:szCs w:val="24"/>
        </w:rPr>
        <w:t xml:space="preserve"> </w:t>
      </w:r>
      <w:r w:rsidR="009A4A0C" w:rsidRPr="009A4A0C">
        <w:rPr>
          <w:i w:val="0"/>
          <w:iCs w:val="0"/>
          <w:sz w:val="24"/>
          <w:szCs w:val="24"/>
        </w:rPr>
        <w:t>Error bars show standard error of the mean</w:t>
      </w:r>
      <w:r w:rsidR="003E11C1" w:rsidRPr="009A4A0C">
        <w:rPr>
          <w:i w:val="0"/>
          <w:iCs w:val="0"/>
          <w:sz w:val="24"/>
          <w:szCs w:val="24"/>
        </w:rPr>
        <w:t>.</w:t>
      </w:r>
      <w:r w:rsidR="002F1053" w:rsidRPr="009A4A0C">
        <w:rPr>
          <w:i w:val="0"/>
          <w:sz w:val="24"/>
          <w:szCs w:val="24"/>
        </w:rPr>
        <w:t xml:space="preserve"> In </w:t>
      </w:r>
      <w:r w:rsidR="002F1053" w:rsidRPr="009A4A0C">
        <w:rPr>
          <w:b/>
          <w:i w:val="0"/>
          <w:sz w:val="24"/>
          <w:szCs w:val="24"/>
        </w:rPr>
        <w:t>e, f</w:t>
      </w:r>
      <w:r w:rsidR="002F1053" w:rsidRPr="009A4A0C">
        <w:rPr>
          <w:i w:val="0"/>
          <w:sz w:val="24"/>
          <w:szCs w:val="24"/>
        </w:rPr>
        <w:t>, color indicates</w:t>
      </w:r>
      <w:r w:rsidR="002F1053">
        <w:rPr>
          <w:i w:val="0"/>
          <w:iCs w:val="0"/>
          <w:sz w:val="24"/>
          <w:szCs w:val="24"/>
        </w:rPr>
        <w:t xml:space="preserve"> neurotransmitter type for neurons or glial cell types. </w:t>
      </w:r>
    </w:p>
    <w:p w14:paraId="6E07E7B3" w14:textId="47252E1B" w:rsidR="00A46BCF" w:rsidRPr="00D85974" w:rsidRDefault="00A46BCF" w:rsidP="00D85974">
      <w:pPr>
        <w:pStyle w:val="Heading1"/>
      </w:pPr>
      <w:commentRangeStart w:id="2"/>
      <w:r w:rsidRPr="00D85974">
        <w:t>The Intermediate State is Characterized by a Decrease in Estrogenic Signaling</w:t>
      </w:r>
      <w:r w:rsidR="00FA41FD" w:rsidRPr="00D85974">
        <w:t xml:space="preserve"> from Radial Glia</w:t>
      </w:r>
      <w:commentRangeEnd w:id="2"/>
      <w:r w:rsidR="008125C2" w:rsidRPr="00D85974">
        <w:rPr>
          <w:rStyle w:val="CommentReference"/>
          <w:sz w:val="24"/>
          <w:szCs w:val="30"/>
        </w:rPr>
        <w:commentReference w:id="2"/>
      </w:r>
    </w:p>
    <w:p w14:paraId="213A0C91" w14:textId="2D6475B7" w:rsidR="00FF0D3A" w:rsidRDefault="00406324" w:rsidP="00FF0D3A">
      <w:r>
        <w:rPr>
          <w:b/>
          <w:bCs/>
        </w:rPr>
        <w:tab/>
      </w:r>
      <w:r w:rsidR="00DE1E2C">
        <w:t>Sex change is associated with extensive changes in cell population and steroid hormone signaling in the brain</w:t>
      </w:r>
      <w:r w:rsidR="00F32BC7">
        <w:t xml:space="preserve"> </w:t>
      </w:r>
      <w:r w:rsidR="00F32BC7">
        <w:fldChar w:fldCharType="begin"/>
      </w:r>
      <w:r w:rsidR="00AE547C">
        <w:instrText xml:space="preserve"> ADDIN ZOTERO_ITEM CSL_CITATION {"citationID":"E8iErH0X","properties":{"unsorted":false,"formattedCitation":"\\super 8\\uc0\\u8211{}15\\nosupersub{}","plainCitation":"8–15","noteIndex":0},"citationItems":[{"id":520,"uris":["http://zotero.org/users/11313215/items/U7SJXVK7","http://zotero.org/users/11313215/items/BJWDPF4G"],"itemData":{"id":520,"type":"article-journal","abstract":"Sequential hermaphroditism is a unique reproductive strategy among teleosts that is displayed mainly in fish species living in the coral reef environment. The reproductive biology of hermaphrodites has long been intriguing; however, very little is known about the molecular pathways underlying their sex change. Here, we provide the first de novo transcriptome analyses of a hermaphrodite teleost´s undergoing sex change in its natural environment. Our study has examined relative gene expression across multiple groups—rather than just two contrasting conditions— and has allowed us to explore the differential expression patterns throughout the whole process. Our analysis has highlighted the rapid and complex genomic response of the brain associated with sex change, which is subsequently transmitted to the gonads, identifying a large number of candidate genes, some well-known and some novel, involved in the process. The present study provides strong evidence of the importance of the sex steroidogenic machinery during sex change in clownfish, with the aromatase gene playing a central role, both in the brain and the gonad. This work constitutes the first genome-wide study in a social sex-changing species and provides insights into the genetic mechanism governing social sex change and gonadal restructuring in protandrous hermaphrodites.","container-title":"Scientific Reports","DOI":"10.1038/srep35461","ISSN":"2045-2322","issue":"1","journalAbbreviation":"Sci Rep","language":"en","license":"2016 The Author(s)","page":"35461","publisher":"Nature Publishing Group","source":"www.nature.com","title":"Sex Change in Clownfish: Molecular Insights from Transcriptome Analysis","title-short":"Sex Change in Clownfish","volume":"6","author":[{"family":"Casas","given":"Laura"},{"family":"Saborido-Rey","given":"Fran"},{"family":"Ryu","given":"Taewoo"},{"family":"Michell","given":"Craig"},{"family":"Ravasi","given":"Timothy"},{"family":"Irigoien","given":"Xabier"}],"issued":{"date-parts":[["2016",10,17]]}}},{"id":2217,"uris":["http://zotero.org/users/11313215/items/WTRLAKYJ"],"itemData":{"id":2217,"type":"article-journal","abstract":"Estrogenic signaling is an important focus in studies of gonadal and brain sexual differentiation in fishes and vertebrates generally. This study examined variation in estrogenic signaling (1) across three sexual phenotypes (female, female-mimic initial phase [IP] male, and terminal phase [TP] male), (2) during socially-controlled female-to-male sex change, and (3) during tidally-driven spawning cycles in the protogynous bluehead wrasse (Thalassoma bifasciatum). We analyzed relative abundances of messenger RNAs (mRNAs) for the brain form of aromatase (cyp19a1b) and the three nuclear estrogen receptors (ER) (ERα, ERβa, and ERβb) by qPCR. Consistent with previous reports, forebrain/midbrain cyp19a1b was highest in females, significantly lower in TP males, and lowest in IP males. By contrast, ERα and ERβb mRNA abundances were highest in TP males and increased during sex change. ERβa mRNA did not vary significantly. Across the tidally-driven spawning cycle, cyp19a1b abundances were higher in females than TP males. Interestingly, cyp19a1b levels were higher in TP males close ( 1 h) to the daily spawning period when sexual and aggressive behaviors rise than males far from spawning ( 10–12 h). Together with earlier findings, our results suggest alterations in neural estrogen signaling are key regulators of socially-controlled sex change and sexual phenotype differences. Additionally, these patterns suggest TP male-typical sociosexual behaviors may depend on intermediate rather than low estrogenic signaling. We discuss these results and the possibility that an inverted-U shaped relationship between neural estrogen and male-typical behaviors is more common than presently appreciated.","container-title":"Journal of Experimental Zoology Part A: Ecological and Integrative Physiology","DOI":"10.1002/jez.2558","ISSN":"2471-5646","issue":"1","language":"en","note":"_eprint: https://onlinelibrary.wiley.com/doi/pdf/10.1002/jez.2558","page":"24-34","source":"Wiley Online Library","title":"Estrogenic signaling and sociosexual behavior in wild sex-changing bluehead wrasses, Thalassoma bifasciatum","volume":"337","author":[{"family":"Prim","given":"Julianna H."},{"family":"Phillips","given":"Marshall C."},{"family":"Lamm","given":"Melissa S."},{"family":"Brady","given":"Jeannie"},{"family":"Cabral","given":"Itze"},{"family":"Durden","given":"Shelby"},{"family":"Dustin","given":"Elizabeth"},{"family":"Hazellief","given":"Allison"},{"family":"Klapheke","given":"Brandon"},{"family":"Lamb","given":"April D."},{"family":"Lukowsky","given":"Alison"},{"family":"May","given":"Dianna"},{"family":"Sanchez","given":"Sidney G."},{"family":"Thompson","given":"Kelly C."},{"family":"Tyler","given":"William A."},{"family":"Godwin","given":"John"}],"issued":{"date-parts":[["2022"]]}}},{"id":2131,"uris":["http://zotero.org/users/11313215/items/IKVUZYVY"],"itemData":{"id":2131,"type":"article-journal","abstract":"Phenotypic plasticity represents an elegant adaptive response of individuals to a change in their environment. Bluehead wrasses (Thalassoma bifasciatum) exhibit astonishing sexual plasticity, including female-to-male sex change and discrete male morphs that differ strikingly in behavior, morphology, and gonadal investment. Using RNA-seq transcriptome profiling, we examined the genes and physiological pathways underlying flexible behavioral and gonadal differences among female, dominant (bourgeois) male, and female-mimic (sneaker) male blueheads. For the first time in any organism, we find that female mimicry by sneaker males has a transcriptional signature in both the brain and the gonad. Sneaker males shared striking similarity in neural gene expression with females, supporting the idea that males with alternative reproductive phenotypes have “female-like brains.” Sneaker males also overexpressed neuroplasticity genes, suggesting that their opportunistic reproductive strategy requires a heightened capacity for neuroplasticity. Bourgeois males overexpressed genes associated with socio-sexual behaviors (e.g., isotocin), but also neuroprotective genes and biomarkers of oxidative stress and aging, indicating a hitherto unexplored cost to these males of attaining the reproductively privileged position at the top of the social hierarchy. Our novel comparison of testicular transcriptomes in a fish with male sexual polymorphism associates greater gonadal investment by sneaker males with overexpression of genes involved in cell proliferation and sperm quality control. We propose that morphological female-mimicry by sneaker male teleosts entails pervasive downregulation of androgenesis genes, consistent with low androgen production in males lacking well-developed secondary sexual characters.","container-title":"Molecular Biology and Evolution","DOI":"10.1093/molbev/msx293","ISSN":"0737-4038","issue":"1","journalAbbreviation":"Molecular Biology and Evolution","page":"225-241","source":"Silverchair","title":"Female Mimicry by Sneaker Males Has a Transcriptomic Signature in Both the Brain and the Gonad in a Sex-Changing Fish","volume":"35","author":[{"family":"Todd","given":"Erica V"},{"family":"Liu","given":"Hui"},{"family":"Lamm","given":"Melissa S"},{"family":"Thomas","given":"Jodi T"},{"family":"Rutherford","given":"Kim"},{"family":"Thompson","given":"Kelly C"},{"family":"Godwin","given":"John R"},{"family":"Gemmell","given":"Neil J"}],"issued":{"date-parts":[["2018",1,1]]}}},{"id":2134,"uris":["http://zotero.org/users/11313215/items/P4TMRGZK"],"itemData":{"id":2134,"type":"article-journal","abstract":"Teleost fishes exhibit remarkably diverse and plastic sexual developmental patterns. One of the most astonishing is the rapid socially controlled female-to-male (protogynous) sex change observed in bluehead wrasses (Thalassoma bifasciatum). Such functional sex change is widespread in marine fishes, including species of commercial importance, yet its underlying molecular basis remains poorly explored.","container-title":"Biology of Sex Differences","DOI":"10.1186/s13293-015-0044-8","ISSN":"2042-6410","issue":"1","journalAbbreviation":"Biology of Sex Differences","page":"26","source":"BioMed Central","title":"Large-scale transcriptome sequencing reveals novel expression patterns for key sex-related genes in a sex-changing fish","volume":"6","author":[{"family":"Liu","given":"Hui"},{"family":"Lamm","given":"Melissa S."},{"family":"Rutherford","given":"Kim"},{"family":"Black","given":"Michael A."},{"family":"Godwin","given":"John R."},{"family":"Gemmell","given":"Neil J."}],"issued":{"date-parts":[["2015",11,25]]}}},{"id":4545,"uris":["http://zotero.org/users/11313215/items/8RMJ4EHJ"],"itemData":{"id":4545,"type":"article-journal","abstract":"Sex determination in coral reef fish is highly plastic, with many species displaying socially controlled sequential hermaphroditism. In these species, social hierarchy cues trigger sex change, initiating transformations in neuroanatomy, physiology, morphology, and behavior. The process begins in the brain, where shifts in dominance status alter cortisol release and neuromodulator signaling, including dopamine and arginine vasotocin. Radial glia detect these changes and modulate local estradiol synthesis via brain aromatase production that in turn influences neurogenesis and gene expression in multiple types of glia and neurons involved in pituitary-gonadotroph regulation. The altered gonadotroph control directs the gonadal transformation. Mechanistically, protogyny (female-to-male) typically occurs faster than protandry (male-to-female), with differences in the order of behavioral, gonadal, and morphological changes. Understanding these processes in sex-changing fish provides valuable insights into the neural and endocrine mechanisms underlying reproductive plasticity, with broader implications for neuroendocrinology and the evolution of sex differences in vertebrates.","container-title":"Current Opinion in Neurobiology","DOI":"10.1016/j.conb.2025.103094","ISSN":"0959-4388","journalAbbreviation":"Current Opinion in Neurobiology","license":"All rights reserved","page":"103094","source":"ScienceDirect","title":"Plasticity of brain sexual dimorphism as revealed by sex changing fish","volume":"94","author":[{"family":"Graham","given":"Gabriel J."},{"family":"Rhodes","given":"Justin S."}],"issued":{"date-parts":[["2025",10,1]]}}},{"id":3213,"uris":["http://zotero.org/users/11313215/items/RWMZ9QFA"],"itemData":{"id":3213,"type":"article-journal","abstract":"BACKGROUND: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V."}],"issued":{"date-parts":[["2024",7,23]]}}},{"id":2304,"uris":["http://zotero.org/users/11313215/items/33G33VBP"],"itemData":{"id":2304,"type":"article-journal","abstract":"Sex steroids can both modulate and be modulated by behavior, and their actions are mediated by complex interactions among multiple hormone sources and targets. While gonadal steroids delivered via circulation can affect behavior, changes in local brain steroid synthesis also can modulate behavior. The relative steroid load across different tissues and the association of these levels with rates of behavior have not been well studied. The bluebanded goby (Lythrypnus dalli) is a sex changing fish in which social status determines sexual phenotype. We examined changes in steroid levels in brain, gonad and body muscle at either 24 hours or 6 days after social induction of protogynous sex change, and from individuals in stable social groups not undergoing sex change. For each tissue, we measured levels of estradiol (E2), testosterone (T) and 11-ketotestosterone (KT). Females had more T than males in the gonads, and more E2 in all tissues but there was no sex difference in KT. For both sexes, E2 was higher in the gonad than in other tissues while androgens were higher in the brain. During sex change, brain T levels dropped while brain KT increased, and brain E2 levels did not change. We found a positive relationship between androgens and aggression in the most dominant females but only when the male was removed from the social group. The results demonstrate that steroid levels are responsive to changes in the social environment, and that their concentrations vary in different tissues. Also, we suggest that rapid changes in brain androgen levels might be important in inducing behavioral and/or morphological changes associated with protogynous sex change.","container-title":"PLOS ONE","DOI":"10.1371/journal.pone.0051158","ISSN":"1932-6203","issue":"12","journalAbbreviation":"PLOS ONE","language":"en","page":"e51158","publisher":"Public Library of Science","source":"PLoS Journals","title":"Differential Responses of Brain, Gonad and Muscle Steroid Levels to Changes in Social Status and Sex in a Sequential and Bidirectional Hermaphroditic Fish","volume":"7","author":[{"family":"Lorenzi","given":"Varenka"},{"family":"Earley","given":"Ryan L."},{"family":"Grober","given":"Matthew S."}],"issued":{"date-parts":[["2012",12,10]]}}},{"id":2115,"uris":["http://zotero.org/users/11313215/items/8XPZETYK"],"itemData":{"id":2115,"type":"article-journal","abstract":"For vertebrates living in social hierarchies, the neuroendocrine system regulates temporal aspects of aggressive interactions during status establishment. In teleost fishes, the sex steroids 17β-estradiol (E2) and 11-ketotestosterone (KT), and the glucocorticoid, cortisol (CORT) are associated with aggression in distinct phases of their life history. Bluebanded gobies, Lythrypnus dalli, exhibit bidirectional sexual plasticity by responding to changes in their social structure by escalating aggression associated with neural changes that precede gonadal reorganization to the opposite sex. Here, we used a novel experimental design to investigate systemic (waterborne) and neural steroids associated with the earliest behavioral changes associated with feminization and masculinization during protandrous and protogynous sex change respectively. In stable social groups of wild-caught L. dalli comprising of one male and two females, we disrupted hierarchy by adding or removing a male, providing a social context for intrasexual aggression. Within only 30 min, males exhibited high rates of physical aggression inside the nest to maintain their territory, while females exhibited high rates of chases outside the nest to reestablish social status. During this period of instability, while waterborne steroids were not affected, brain E2 was higher in all fish and CORT was lower in male brains. Brain KT was higher in males who emerged as dominant compared to dominant females. Overall, a combination of differences in brain E2, CORT, and KT were important in the regulation of hierarchy re-establishment and maintenance. Rapid responses during conspecific aggressive encounters are likely mediated by neural steroid synthesis that precede changes in systemic steroids.","container-title":"Hormones and Behavior","DOI":"10.1016/j.yhbeh.2023.105373","ISSN":"0018-506X","journalAbbreviation":"Hormones and Behavior","page":"105373","source":"ScienceDirect","title":"Sex differences in aggressive intensities and brain steroids during status resolution in a sex changing fish, &lt;i&gt;Lythrypnus dalli&lt;/i&gt;","volume":"153","author":[{"family":"White","given":"Katrina J."},{"family":"Rivas","given":"Melissa G."},{"family":"Pradhan","given":"Devaleena S."}],"issued":{"date-parts":[["2023",7,1]]}}}],"schema":"https://github.com/citation-style-language/schema/raw/master/csl-citation.json"} </w:instrText>
      </w:r>
      <w:r w:rsidR="00F32BC7">
        <w:fldChar w:fldCharType="separate"/>
      </w:r>
      <w:r w:rsidR="00434F3C" w:rsidRPr="00434F3C">
        <w:rPr>
          <w:rFonts w:cs="Times New Roman"/>
          <w:color w:val="000000"/>
          <w:kern w:val="0"/>
          <w:szCs w:val="24"/>
          <w:vertAlign w:val="superscript"/>
        </w:rPr>
        <w:t>8–15</w:t>
      </w:r>
      <w:r w:rsidR="00F32BC7">
        <w:fldChar w:fldCharType="end"/>
      </w:r>
      <w:r w:rsidR="00FF0D3A">
        <w:t xml:space="preserve">. Since radial glial cells (RGCs) are the neural progenitors </w:t>
      </w:r>
      <w:r w:rsidR="00026CD8">
        <w:t xml:space="preserve">responsible for neurogenesis, and because RGCs are the primary cell type responsible for </w:t>
      </w:r>
      <w:r w:rsidR="00514ECF">
        <w:t>local steroid hormone synthesis in the teleost brain</w:t>
      </w:r>
      <w:r w:rsidR="005876E2">
        <w:t xml:space="preserve"> </w:t>
      </w:r>
      <w:r w:rsidR="005876E2">
        <w:fldChar w:fldCharType="begin"/>
      </w:r>
      <w:r w:rsidR="00AE547C">
        <w:instrText xml:space="preserve"> ADDIN ZOTERO_ITEM CSL_CITATION {"citationID":"HiKP1KCv","properties":{"unsorted":false,"formattedCitation":"\\super 16\\nosupersub{}","plainCitation":"16","noteIndex":0},"citationItems":[{"id":4147,"uris":["http://zotero.org/users/11313215/items/XBVTYWAC"],"itemData":{"id":4147,"type":"article-journal","abstract":"Sex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005876E2">
        <w:fldChar w:fldCharType="separate"/>
      </w:r>
      <w:r w:rsidR="00434F3C" w:rsidRPr="00434F3C">
        <w:rPr>
          <w:rFonts w:cs="Times New Roman"/>
          <w:color w:val="000000"/>
          <w:kern w:val="0"/>
          <w:szCs w:val="24"/>
          <w:vertAlign w:val="superscript"/>
        </w:rPr>
        <w:t>16</w:t>
      </w:r>
      <w:r w:rsidR="005876E2">
        <w:fldChar w:fldCharType="end"/>
      </w:r>
      <w:r w:rsidR="00514ECF">
        <w:t xml:space="preserve">, we next focused our analysis on cluster 1_RGC. </w:t>
      </w:r>
    </w:p>
    <w:p w14:paraId="60AE4365" w14:textId="19CD8191" w:rsidR="00E2596D" w:rsidRDefault="0009551F" w:rsidP="0009551F">
      <w:r>
        <w:tab/>
        <w:t>Among the most surprising</w:t>
      </w:r>
      <w:r w:rsidR="00FA41FD">
        <w:t xml:space="preserve"> and robust</w:t>
      </w:r>
      <w:r>
        <w:t xml:space="preserve"> findings </w:t>
      </w:r>
      <w:r w:rsidR="00FA41FD">
        <w:t>from</w:t>
      </w:r>
      <w:r>
        <w:t xml:space="preserve"> our DEG analysis was that brain aromatase (</w:t>
      </w:r>
      <w:r w:rsidRPr="007E13CD">
        <w:rPr>
          <w:i/>
          <w:iCs/>
        </w:rPr>
        <w:t>LOC111577263</w:t>
      </w:r>
      <w:r>
        <w:t xml:space="preserve">, hereafter referred to as </w:t>
      </w:r>
      <w:r>
        <w:rPr>
          <w:i/>
          <w:iCs/>
        </w:rPr>
        <w:t>cyp19a1b</w:t>
      </w:r>
      <w:r w:rsidR="00612334">
        <w:rPr>
          <w:i/>
          <w:iCs/>
        </w:rPr>
        <w:t xml:space="preserve"> </w:t>
      </w:r>
      <w:r w:rsidR="00612334">
        <w:t>or brain aromatase</w:t>
      </w:r>
      <w:r>
        <w:t>), the primary enzyme responsible for converting androgens to estrogens in the teleost brain</w:t>
      </w:r>
      <w:r w:rsidR="00FE0307">
        <w:t xml:space="preserve"> </w:t>
      </w:r>
      <w:r w:rsidR="00FE0307">
        <w:fldChar w:fldCharType="begin"/>
      </w:r>
      <w:r w:rsidR="00AE547C">
        <w:instrText xml:space="preserve"> ADDIN ZOTERO_ITEM CSL_CITATION {"citationID":"dttOgGbo","properties":{"unsorted":false,"formattedCitation":"\\super 16\\nosupersub{}","plainCitation":"16","noteIndex":0},"citationItems":[{"id":4147,"uris":["http://zotero.org/users/11313215/items/XBVTYWAC"],"itemData":{"id":4147,"type":"article-journal","abstract":"Sex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00FE0307">
        <w:fldChar w:fldCharType="separate"/>
      </w:r>
      <w:r w:rsidR="00434F3C" w:rsidRPr="00434F3C">
        <w:rPr>
          <w:rFonts w:cs="Times New Roman"/>
          <w:color w:val="000000"/>
          <w:kern w:val="0"/>
          <w:szCs w:val="24"/>
          <w:vertAlign w:val="superscript"/>
        </w:rPr>
        <w:t>16</w:t>
      </w:r>
      <w:r w:rsidR="00FE0307">
        <w:fldChar w:fldCharType="end"/>
      </w:r>
      <w:r>
        <w:t>, was significantly reduced in intermediate</w:t>
      </w:r>
      <w:r w:rsidR="004F3AD3">
        <w:t xml:space="preserve"> RGCs</w:t>
      </w:r>
      <w:r w:rsidR="000824EE">
        <w:t xml:space="preserve"> </w:t>
      </w:r>
      <w:r>
        <w:t>(</w:t>
      </w:r>
      <w:r w:rsidR="004F3AD3">
        <w:rPr>
          <w:highlight w:val="yellow"/>
        </w:rPr>
        <w:t>F</w:t>
      </w:r>
      <w:r w:rsidR="004F3AD3" w:rsidRPr="004F3AD3">
        <w:rPr>
          <w:highlight w:val="yellow"/>
        </w:rPr>
        <w:t>ig 3a.</w:t>
      </w:r>
      <w:r>
        <w:t>).</w:t>
      </w:r>
      <w:r w:rsidR="000824EE">
        <w:t xml:space="preserve"> Further, there was no significant difference in </w:t>
      </w:r>
      <w:r w:rsidR="000824EE">
        <w:rPr>
          <w:i/>
          <w:iCs/>
        </w:rPr>
        <w:t>cyp19a1b</w:t>
      </w:r>
      <w:r w:rsidR="000824EE">
        <w:t xml:space="preserve"> expression between males and females.</w:t>
      </w:r>
      <w:r w:rsidR="0010740F">
        <w:t xml:space="preserve"> T</w:t>
      </w:r>
      <w:commentRangeStart w:id="3"/>
      <w:commentRangeStart w:id="4"/>
      <w:r w:rsidR="00D662F6">
        <w:t xml:space="preserve">his does not imply that there </w:t>
      </w:r>
      <w:r w:rsidR="00A15B97">
        <w:t>are similar levels of estrogens in males and females</w:t>
      </w:r>
      <w:r w:rsidR="004A684D">
        <w:t>. S</w:t>
      </w:r>
      <w:r w:rsidR="00A15B97">
        <w:t>ince females have higher circulating estradiol (E2) levels from gonadal aromatase (</w:t>
      </w:r>
      <w:r w:rsidR="00A15B97">
        <w:rPr>
          <w:i/>
          <w:iCs/>
        </w:rPr>
        <w:t>cyp19a1a</w:t>
      </w:r>
      <w:r w:rsidR="00A15B97">
        <w:t xml:space="preserve">), equal expression </w:t>
      </w:r>
      <w:r w:rsidR="0054221C">
        <w:t xml:space="preserve">of </w:t>
      </w:r>
      <w:r w:rsidR="0054221C">
        <w:rPr>
          <w:i/>
          <w:iCs/>
        </w:rPr>
        <w:t>cyp19a1b</w:t>
      </w:r>
      <w:r w:rsidR="0054221C">
        <w:t xml:space="preserve"> is consistent with females having higher </w:t>
      </w:r>
      <w:r w:rsidR="00301572">
        <w:t>estrogenic signaling in the brain compared to males</w:t>
      </w:r>
      <w:commentRangeEnd w:id="4"/>
      <w:r w:rsidR="00FE0307">
        <w:rPr>
          <w:rStyle w:val="CommentReference"/>
          <w:sz w:val="24"/>
          <w:szCs w:val="30"/>
        </w:rPr>
        <w:commentReference w:id="4"/>
      </w:r>
      <w:commentRangeStart w:id="5"/>
      <w:r w:rsidR="004A3CA8">
        <w:t>.</w:t>
      </w:r>
      <w:commentRangeEnd w:id="5"/>
      <w:r w:rsidR="00FF2987">
        <w:rPr>
          <w:rStyle w:val="CommentReference"/>
          <w:sz w:val="24"/>
          <w:szCs w:val="30"/>
        </w:rPr>
        <w:commentReference w:id="5"/>
      </w:r>
      <w:r w:rsidR="00780182">
        <w:t xml:space="preserve"> </w:t>
      </w:r>
      <w:r w:rsidR="005437AF">
        <w:t xml:space="preserve">The downregulation of </w:t>
      </w:r>
      <w:r w:rsidR="005437AF">
        <w:rPr>
          <w:i/>
          <w:iCs/>
        </w:rPr>
        <w:t xml:space="preserve">cyp19a1b </w:t>
      </w:r>
      <w:r w:rsidR="005437AF">
        <w:t>in intermediates</w:t>
      </w:r>
      <w:r>
        <w:t xml:space="preserve"> is in contrast to previous findings which have shown that across sex change, aromatase increases gradually </w:t>
      </w:r>
      <w:r w:rsidR="00C24A10">
        <w:t>along</w:t>
      </w:r>
      <w:r>
        <w:t xml:space="preserve"> the process </w:t>
      </w:r>
      <w:r>
        <w:fldChar w:fldCharType="begin"/>
      </w:r>
      <w:r w:rsidR="00AE547C">
        <w:instrText xml:space="preserve"> ADDIN ZOTERO_ITEM CSL_CITATION {"citationID":"mMzLR23e","properties":{"formattedCitation":"\\super 9\\nosupersub{}","plainCitation":"9","noteIndex":0},"citationItems":[{"id":520,"uris":["http://zotero.org/users/11313215/items/U7SJXVK7","http://zotero.org/users/11313215/items/BJWDPF4G"],"itemData":{"id":520,"type":"article-journal","abstract":"Sequential hermaphroditism is a unique reproductive strategy among teleosts that is displayed mainly in fish species living in the coral reef environment. The reproductive biology of hermaphrodites has long been intriguing; however, very little is known about the molecular pathways underlying their sex change. Here, we provide the first de novo transcriptome analyses of a hermaphrodite teleost´s undergoing sex change in its natural environment. Our study has examined relative gene expression across multiple groups—rather than just two contrasting conditions— and has allowed us to explore the differential expression patterns throughout the whole process. Our analysis has highlighted the rapid and complex genomic response of the brain associated with sex change, which is subsequently transmitted to the gonads, identifying a large number of candidate genes, some well-known and some novel, involved in the process. The present study provides strong evidence of the importance of the sex steroidogenic machinery during sex change in clownfish, with the aromatase gene playing a central role, both in the brain and the gonad. This work constitutes the first genome-wide study in a social sex-changing species and provides insights into the genetic mechanism governing social sex change and gonadal restructuring in protandrous hermaphrodites.","container-title":"Scientific Reports","DOI":"10.1038/srep35461","ISSN":"2045-2322","issue":"1","journalAbbreviation":"Sci Rep","language":"en","license":"2016 The Author(s)","page":"35461","publisher":"Nature Publishing Group","source":"www.nature.com","title":"Sex Change in Clownfish: Molecular Insights from Transcriptome Analysis","title-short":"Sex Change in Clownfish","volume":"6","author":[{"family":"Casas","given":"Laura"},{"family":"Saborido-Rey","given":"Fran"},{"family":"Ryu","given":"Taewoo"},{"family":"Michell","given":"Craig"},{"family":"Ravasi","given":"Timothy"},{"family":"Irigoien","given":"Xabier"}],"issued":{"date-parts":[["2016",10,17]]}}}],"schema":"https://github.com/citation-style-language/schema/raw/master/csl-citation.json"} </w:instrText>
      </w:r>
      <w:r>
        <w:fldChar w:fldCharType="separate"/>
      </w:r>
      <w:r w:rsidR="00C47074" w:rsidRPr="00C47074">
        <w:rPr>
          <w:rFonts w:cs="Times New Roman"/>
          <w:color w:val="000000"/>
          <w:kern w:val="0"/>
          <w:szCs w:val="24"/>
          <w:vertAlign w:val="superscript"/>
        </w:rPr>
        <w:t>9</w:t>
      </w:r>
      <w:r>
        <w:fldChar w:fldCharType="end"/>
      </w:r>
      <w:r w:rsidR="00780182">
        <w:t>,</w:t>
      </w:r>
      <w:r w:rsidR="00E10F95">
        <w:t xml:space="preserve"> </w:t>
      </w:r>
      <w:r w:rsidR="00780182">
        <w:t>suggesting</w:t>
      </w:r>
      <w:r w:rsidR="00E10F95">
        <w:t xml:space="preserve"> that a reduction in E2 production may be specific to the POA, </w:t>
      </w:r>
      <w:r w:rsidR="00E2596D">
        <w:t xml:space="preserve">while E2 production increases linearly when the whole brain is analyzed. </w:t>
      </w:r>
      <w:commentRangeEnd w:id="3"/>
      <w:r w:rsidR="006140B1">
        <w:rPr>
          <w:rStyle w:val="CommentReference"/>
          <w:sz w:val="24"/>
          <w:szCs w:val="30"/>
        </w:rPr>
        <w:commentReference w:id="3"/>
      </w:r>
    </w:p>
    <w:p w14:paraId="44DECE61" w14:textId="77777777" w:rsidR="00046637" w:rsidRDefault="00046637" w:rsidP="0009551F"/>
    <w:p w14:paraId="1D4A0642" w14:textId="118BBF2C" w:rsidR="00244BB9" w:rsidRPr="00244BB9" w:rsidRDefault="00244BB9" w:rsidP="00D85974">
      <w:pPr>
        <w:pStyle w:val="Heading1"/>
      </w:pPr>
      <w:r>
        <w:t xml:space="preserve">Neurogenesis </w:t>
      </w:r>
      <w:r w:rsidR="00D85974">
        <w:t>Preferentially Populates</w:t>
      </w:r>
      <w:r w:rsidR="00046637">
        <w:t xml:space="preserve"> </w:t>
      </w:r>
      <w:r w:rsidR="00D85974">
        <w:t>POA Clusters</w:t>
      </w:r>
    </w:p>
    <w:p w14:paraId="2A9812BB" w14:textId="3E8C5DCF" w:rsidR="00C54B0D" w:rsidRDefault="00767EED" w:rsidP="00637E6A">
      <w:r>
        <w:tab/>
        <w:t>E2 signaling is known to inhibit stem cell differentiation</w:t>
      </w:r>
      <w:r w:rsidR="00192F0A">
        <w:t xml:space="preserve"> and neurogenesis in zebrafish, </w:t>
      </w:r>
      <w:r w:rsidR="00192F0A">
        <w:fldChar w:fldCharType="begin"/>
      </w:r>
      <w:r w:rsidR="00AE547C">
        <w:instrText xml:space="preserve"> ADDIN ZOTERO_ITEM CSL_CITATION {"citationID":"TRCJ2GcC","properties":{"formattedCitation":"\\super 17,18\\nosupersub{}","plainCitation":"17,18","noteIndex":0},"citationItems":[{"id":5261,"uris":["http://zotero.org/users/11313215/items/FI8565AV"],"itemData":{"id":5261,"type":"article-journal","abstract":"This article is part of a Special Issue \"Hormones &amp; Neurotrauma\". The brain of the adult teleost fish exhibits intense neurogenic activity and an outstanding capability for brain repair. Remarkably, the brain estrogen-synthesizing enzyme, aromatase B, is strongly expressed, particularly in adult fishes, in radial glial cells, which act as progenitors. Using zebrafish, we tested the hypothesis that estrogens affect adult neurogenesis and brain regeneration by modulating the neurogenic activity of radial glial cells. To investigate this, the estrogenic environment was modified through inhibition of aromatase activity, blockade of nuclear estrogen receptors, or estrogenic treatments. Estrogens significantly decreased cell proliferation and migration at the olfactory bulbs/telencephalon junction and in the mediobasal hypothalamus. It also appears that cell survival is reduced at the olfactory bulbs/telencephalon junction. We also developed a model of telencephalic lesion to assess the role of aromatase and estrogens in brain repair. Proliferation increased rapidly immediately after the lesion in the parenchyma of the injured telencephalon, while proliferation at the ventricular surface appeared after 48h and peaked at 7days. At this time, most proliferative cells express Sox2, however, none of these Sox2 positive cells correspond to aromatase B-positive radial glial cells. Interestingly, aromatase B expression was significantly reduced 48h and 7days after the injury, but surprisingly, at 72h after lesion, aromatase B expression appeared de novo expressed in parenchyma cells, suggesting a role for this ectopic expression of aromatase in brain repair mechanisms. Altogether these data suggest that estrogens modulate adult, but not reparative neurogenesis, in zebrafish.","collection-title":"Hormones &amp; Neurotrauma: Protection, Degeneration and Plasticity","container-title":"Hormones and Behavior","DOI":"10.1016/j.yhbeh.2012.04.003","ISSN":"0018-506X","issue":"2","journalAbbreviation":"Hormones and Behavior","page":"193-207","source":"ScienceDirect","title":"Effects of estradiol in adult neurogenesis and brain repair in zebrafish","volume":"63","author":[{"family":"Diotel","given":"Nicolas"},{"family":"Vaillant","given":"Colette"},{"family":"Gabbero","given":"Cyril"},{"family":"Mironov","given":"Svetlana"},{"family":"Fostier","given":"Alexis"},{"family":"Gueguen","given":"Marie-Madeleine"},{"family":"Anglade","given":"Isabelle"},{"family":"Kah","given":"Olivier"},{"family":"Pellegrini","given":"Elisabeth"}],"issued":{"date-parts":[["2013",2,1]]}}},{"id":5264,"uris":["http://zotero.org/users/11313215/items/5QIXBX3Y"],"itemData":{"id":5264,"type":"article-journal","abstract":"Estrogens are known as steroid hormones affecting the brain in many different ways and a wealth of data now document effects on neurogenesis. Estrogens are provided by the periphery but can also be locally produced within the brain itself due to local aromatization of circulating androgens. Adult neurogenesis is described in all vertebrate species examined so far, but comparative investigations have brought to light differences between vertebrate groups. In teleost fishes, the neurogenic activity is spectacular and adult stem cells maintain their mitogenic activity in many proliferative areas within the brain. Fish are also quite unique because brain aromatase expression is limited to radial glia cells, the progenitor cells of adult fish brain. The zebrafish has emerged as an interesting vertebrate model to elucidate the cellular and molecular mechanisms of adult neurogenesis, and notably its modulation by steroids. The main objective of this review is to summarize data related to the functional link between estrogens production in the brain and neurogenesis in fish. First, we will demonstrate that the brain of zebrafish is an endogenous source of steroids and is directly targeted by local and/or peripheral steroids. Then, we will present data demonstrating the progenitor nature of radial glial cells in the brain of adult fish. Next, we will emphasize the role of estrogens in constitutive neurogenesis and its potential contribution to the regenerative neurogenesis. Finally, the negative impacts on neurogenesis of synthetic hormones used in contraceptive pills production and released in the aquatic environment will be discussed.","collection-title":"SI:Steroids &amp; Nervous System","container-title":"The Journal of Steroid Biochemistry and Molecular Biology","DOI":"10.1016/j.jsbmb.2015.06.011","ISSN":"0960-0760","journalAbbreviation":"The Journal of Steroid Biochemistry and Molecular Biology","page":"27-36","source":"ScienceDirect","title":"Steroid modulation of neurogenesis: Focus on radial glial cells in zebrafish","title-short":"Steroid modulation of neurogenesis","volume":"160","author":[{"family":"Pellegrini","given":"Elisabeth"},{"family":"Diotel","given":"Nicolas"},{"family":"Vaillant-Capitaine","given":"Colette"},{"family":"Pérez Maria","given":"Rita"},{"family":"Gueguen","given":"Marie-Madeleine"},{"family":"Nasri","given":"Ahmed"},{"family":"Cano Nicolau","given":"Joel"},{"family":"Kah","given":"Olivier"}],"issued":{"date-parts":[["2016",6,1]]}}}],"schema":"https://github.com/citation-style-language/schema/raw/master/csl-citation.json"} </w:instrText>
      </w:r>
      <w:r w:rsidR="00192F0A">
        <w:fldChar w:fldCharType="separate"/>
      </w:r>
      <w:r w:rsidR="00434F3C" w:rsidRPr="00434F3C">
        <w:rPr>
          <w:rFonts w:cs="Times New Roman"/>
          <w:color w:val="000000"/>
          <w:kern w:val="0"/>
          <w:szCs w:val="24"/>
          <w:vertAlign w:val="superscript"/>
        </w:rPr>
        <w:t>17,18</w:t>
      </w:r>
      <w:r w:rsidR="00192F0A">
        <w:fldChar w:fldCharType="end"/>
      </w:r>
      <w:r w:rsidR="00BC194A">
        <w:t xml:space="preserve"> and in mammals is known to </w:t>
      </w:r>
      <w:r w:rsidR="008C324F">
        <w:t>promote</w:t>
      </w:r>
      <w:r w:rsidR="00BC194A">
        <w:t xml:space="preserve"> </w:t>
      </w:r>
      <w:r w:rsidR="00664986">
        <w:t xml:space="preserve">brain </w:t>
      </w:r>
      <w:r w:rsidR="008C324F">
        <w:t>masculinization</w:t>
      </w:r>
      <w:r w:rsidR="00BC194A">
        <w:t xml:space="preserve"> </w:t>
      </w:r>
      <w:r w:rsidR="00302B26">
        <w:t>during development</w:t>
      </w:r>
      <w:r w:rsidR="00C9118B">
        <w:t xml:space="preserve"> </w:t>
      </w:r>
      <w:r w:rsidR="00C9118B">
        <w:fldChar w:fldCharType="begin"/>
      </w:r>
      <w:r w:rsidR="00AE547C">
        <w:instrText xml:space="preserve"> ADDIN ZOTERO_ITEM CSL_CITATION {"citationID":"ZfoWW8RG","properties":{"formattedCitation":"\\super 19,20\\nosupersub{}","plainCitation":"19,20","noteIndex":0},"citationItems":[{"id":4879,"uris":["http://zotero.org/users/11313215/items/4WYTLM78"],"itemData":{"id":4879,"type":"article-journal","abstract":"The brain synthesizes a variety of neurosteroids, including neuroestradiol. Inhibition of neuroestradiol synthesis results in alterations in basic neurodevelopmental processes, such as neurogenesis, neuroblast migration, neuritogenesis and synaptogenesis. Although the neurodevelopmental actions of neuroestradiol are exerted in both sexes, some of them are sex-specific, such as the well characterized effects of neuroestradiol derived from the metabolism of testicular testosterone during critical periods of male brain development. In addition, recent findings have shown sex-specific actions of neuroestradiol on neuroblast migration, neuritic growth and synaptogenesis in females. Among other factors, the epigenetic regulation exerted by X linked genes, such as Kdm6a/Utx, may determine sex-specific actions of neuroestradiol in the female brain. This review evidences the impact of neuroestradiol on brain formation in both sexes and highlights the interaction of neural steriodogenesis, hormones and sex chromosomes in sex-specific brain development.","container-title":"Frontiers in Neuroendocrinology","DOI":"10.1016/j.yfrne.2023.101102","ISSN":"0091-3022","journalAbbreviation":"Frontiers in Neuroendocrinology","page":"101102","source":"ScienceDirect","title":"Neuroestradiol and neuronal development: Not an exclusive male tale anymore","title-short":"Neuroestradiol and neuronal development","volume":"71","author":[{"family":"Garcia-Segura","given":"Luis M."},{"family":"Méndez","given":"Pablo"},{"family":"Arevalo","given":"M. Angeles"},{"family":"Azcoitia","given":"Iñigo"}],"issued":{"date-parts":[["2023",10,1]]}}},{"id":3791,"uris":["http://zotero.org/users/11313215/items/ASVUWB88"],"itemData":{"id":3791,"type":"article-journal","abstract":"Many sex differences in the rodent brain are established during a sensitive period in early life.Gonadal steroid hormones determine sex differences, but there is also a contribution of sex chromosome complement.Epigenetic modifications in key brain regions both establish and maintain sex differences.Neuroimmune and inflammatory signalling pathways are essential contributors to the masculinization of brain and behaviour.Higher male vulnerability to neurodevelopmental disorders may have its origins in naturally occurring higher levels of inflammatory signalling molecules early in life.","container-title":"Nature Reviews Neuroscience","DOI":"10.1038/nrn.2017.61","ISSN":"1471-0048","issue":"8","journalAbbreviation":"Nat Rev Neurosci","language":"en","license":"2017 Springer Nature Limited","page":"471-484","publisher":"Nature Publishing Group","source":"www.nature.com","title":"Neuroimmunology and neuroepigenetics in the establishment of sex differences in the brain","volume":"18","author":[{"family":"McCarthy","given":"Margaret M."},{"family":"Nugent","given":"Bridget M."},{"family":"Lenz","given":"Kathryn M."}],"issued":{"date-parts":[["2017",8]]}}}],"schema":"https://github.com/citation-style-language/schema/raw/master/csl-citation.json"} </w:instrText>
      </w:r>
      <w:r w:rsidR="00C9118B">
        <w:fldChar w:fldCharType="separate"/>
      </w:r>
      <w:r w:rsidR="00434F3C" w:rsidRPr="00434F3C">
        <w:rPr>
          <w:rFonts w:cs="Times New Roman"/>
          <w:color w:val="000000"/>
          <w:kern w:val="0"/>
          <w:szCs w:val="24"/>
          <w:vertAlign w:val="superscript"/>
        </w:rPr>
        <w:t>19,20</w:t>
      </w:r>
      <w:r w:rsidR="00C9118B">
        <w:fldChar w:fldCharType="end"/>
      </w:r>
      <w:r w:rsidR="4A040EF2">
        <w:t>.</w:t>
      </w:r>
      <w:r w:rsidR="00A80132">
        <w:t xml:space="preserve"> </w:t>
      </w:r>
      <w:r w:rsidR="001213B1">
        <w:t>In our DEG analysis</w:t>
      </w:r>
      <w:r w:rsidR="0047626D">
        <w:t>,</w:t>
      </w:r>
      <w:r w:rsidR="001213B1">
        <w:t xml:space="preserve"> the largest single group of DEGs</w:t>
      </w:r>
      <w:r w:rsidR="005E2BD1">
        <w:t xml:space="preserve"> in 1_RGC</w:t>
      </w:r>
      <w:r w:rsidR="001213B1">
        <w:t xml:space="preserve"> were transcription factors (TFs)</w:t>
      </w:r>
      <w:r w:rsidR="0047626D">
        <w:t xml:space="preserve"> known to play roles in neuro- and gliogenesis</w:t>
      </w:r>
      <w:r w:rsidR="00FD04AF" w:rsidRPr="60692AFF">
        <w:rPr>
          <w:i/>
          <w:iCs/>
        </w:rPr>
        <w:fldChar w:fldCharType="begin"/>
      </w:r>
      <w:r w:rsidR="00AE547C">
        <w:rPr>
          <w:i/>
          <w:iCs/>
        </w:rPr>
        <w:instrText xml:space="preserve"> ADDIN ZOTERO_ITEM CSL_CITATION {"citationID":"tvoAI9YG","properties":{"unsorted":false,"formattedCitation":"\\super 21\\uc0\\u8211{}31\\nosupersub{}","plainCitation":"21–31","noteIndex":0},"citationItems":[{"id":5357,"uris":["http://zotero.org/users/11313215/items/M97TK2BY"],"itemData":{"id":5357,"type":"article-journal","abstract":"During vertebrate development, the specification of distinct cell types is thought to be controlled by inductive signals acting at different concentration thresholds1. The degree of receptor activation in response to these signals is a known determinant of cell fate2, but the later steps at which graded signals are converted into all-or-none distinctions in cell identity remain poorly resolved. In the ventral neural tube, motor neuron and interneuron generation depends on the graded activity of the signalling protein Sonic hedgehog (Shh)3,4,5. These neuronal subtypes derive from distinct progenitor cell populations that express the homeodomain proteins Nkx2.2 or Pax6 in response to graded Shh signalling6,7. In mice lacking Pax6, progenitor cells generate neurons characteristic of exposure to greater Shh activity6,7. However, Nkx2.2 expression expands dosally in Pax6 mutants6, raising the possibility that Pax6 controls neuronal pattern indirectly. Here we provide evidence that Nkx2.2 has a primary role in ventral neuronal patterning. In Nkx2.2 mutants, Pax6 expression is unchanged but cells undergo a ventral-to-dorsal transformation in fate and generate motor neurons rather than interneurons. Thus, Nkx2.2 has an essential role in interpreting graded Shh signals and selecting neuronal identity.","container-title":"Nature","DOI":"10.1038/19315","ISSN":"1476-4687","issue":"6728","language":"en","license":"1999 Macmillan Magazines Ltd.","page":"622-627","publisher":"Nature Publishing Group","source":"www.nature.com","title":"Homeobox gene Nkx2.2 and specification of neuronal identity by graded Sonic hedgehog signalling","volume":"398","author":[{"family":"Briscoe","given":"J."},{"family":"Sussel","given":"L."},{"family":"Serup","given":"P."},{"family":"Hartigan-O'Connor","given":"D."},{"family":"Jessell","given":"T. M."},{"family":"Rubenstein","given":"J. L. R."},{"family":"Ericson","given":"J."}],"issued":{"date-parts":[["1999",4]]}}},{"id":4899,"uris":["http://zotero.org/users/11313215/items/K7XWW822"],"itemData":{"id":4899,"type":"article-journal","abstract":"Dbx homeodomain proteins are important for spinal cord dorsal/ventral patterning and the production of multiple spinal cord cell types. We have examined the regulation and function of Dbx genes in the zebrafish. We report that Hedgehog signaling is not required for the induction or maintenance of these genes; in the absence of Hedgehog signaling, dbx1a/1b/2 are expanded ventrally with concomitant increases in postmitotic neurons that differentiate from this domain. Also, we find that retinoic acid signaling is not required for the induction of Dbx expression. Furthermore, we are the first to report that knockdown of Dbx1 function causes a dorsal expansion of nkx6.2, which is thought to be the cross-repressive partner of Dbx1 in mouse. Our data confirm that the dbx1a/1b/2 domain in zebrafish spinal cord development behaves similarly to amniotes, while extending knowledge of Dbx1 function in spinal cord patterning. Developmental Dynamics 236:3472–3483, 2007. © 2007 Wiley-Liss, Inc.","container-title":"Developmental Dynamics","DOI":"10.1002/dvdy.21367","ISSN":"1097-0177","issue":"12","language":"en","license":"Copyright © 2007 Wiley-Liss, Inc.","note":"_eprint: https://anatomypubs.onlinelibrary.wiley.com/doi/pdf/10.1002/dvdy.21367","page":"3472-3483","source":"Wiley Online Library","title":"Regulation and function of Dbx genes in the zebrafish spinal cord","volume":"236","author":[{"family":"Gribble","given":"Suzanna L."},{"family":"Nikolaus","given":"O. Brant"},{"family":"Dorsky","given":"Richard I."}],"issued":{"date-parts":[["2007"]]}}},{"id":5451,"uris":["http://zotero.org/users/11313215/items/AH7JICHY"],"itemData":{"id":5451,"type":"article-journal","container-title":"Neuron","DOI":"10.1016/S0896-6273(01)00212-4","ISSN":"0896-6273","issue":"2","journalAbbreviation":"Neuron","language":"English","page":"367-384","PMID":"11239429","publisher":"Elsevier","source":"www.cell.com","title":"Control of Interneuron Fate in the Developing Spinal Cord by the Progenitor Homeodomain Protein Dbx1","volume":"29","author":[{"family":"Pierani","given":"A."},{"family":"Moran-Rivard","given":"L."},{"family":"Sunshine","given":"M. J."},{"family":"Littman","given":"D. R."},{"family":"Goulding","given":"M."},{"family":"Jessell","given":"T. M."}],"issued":{"date-parts":[["2001",2,1]]}}},{"id":5309,"uris":["http://zotero.org/users/11313215/items/ZZD8N5VK"],"itemData":{"id":5309,"type":"article-journal","abstract":"Background\nThe conserved habenular nuclei function as a relay system connecting the forebrain with the brain stem. They play crucial roles in various cognitive behaviors by modulating cholinergic, dopaminergic and serotonergic activities. Despite the renewed interest in this conserved forebrain region because of its importance in regulating aversion and reward behaviors, the formation of the habenular nuclei during embryogenesis is poorly understood due to their small size and deep location in the brain, as well as the lack of known markers for habenular progenitors. In zebrafish, the bilateral habenular nuclei are subdivided into dorsal and ventral compartments, are particularly large and found on the dorsal surface of the brain, which facilitates the study of their development.\n\nResults\nHere we examine the expression of a homeodomain transcription factor, dbx1b, and its potential to serve as an early molecular marker of dorsal habenular progenitors. Detailed spatiotemporal expression profiles demonstrate that the expression domain of dbx1b correlates with the presumptive habenular region, and dbx1b-expressing cells are proliferative along the ventricle. A lineage-tracing experiment using the Cre-lox system confirms that all or almost all dorsal habenular neurons are derived from dbx1b-expressing cells. In addition, mutant analysis and pharmacological treatments demonstrate that both initiation and maintenance of dbx1b expression requires precise regulation by fibroblast growth factor (FGF) signaling.\n\nConclusions\nWe provide clear evidence in support of dbx1b marking the progenitor populations that give rise to the dorsal habenulae. In addition, the expression of dbx1b in the dorsal diencephalon is tightly controlled by FGF signaling.","container-title":"Neural Development","DOI":"10.1186/1749-8104-9-20","ISSN":"1749-8104","journalAbbreviation":"Neural Dev","page":"20","PMID":"25212830","PMCID":"PMC4164515","source":"PubMed Central","title":"Dbx1b defines the dorsal habenular progenitor domain in the zebrafish epithalamus","volume":"9","author":[{"family":"Dean","given":"Benjamin J"},{"family":"Erdogan","given":"Begum"},{"family":"Gamse","given":"Joshua T"},{"family":"Wu","given":"Shu-Yu"}],"issued":{"date-parts":[["2014",9,12]]}}},{"id":5428,"uris":["http://zotero.org/users/11313215/items/3D6C9GTQ"],"itemData":{"id":5428,"type":"article-journal","abstract":"Gli zinc-finger proteins are transcription factors involved in the intracellular signal transduction controlled by the Hedgehog family of secreted molecules. They are frequently mutated in human congenital malformations, and their abnormal regulation leads to tumorigenesis. Genetic studies in several model systems indicate that their activity is tightly regulated by Hedgehog signaling through various posttranslational modifications, including phosphorylation, ubiquitin-mediated degradation, and proteolytic processing, as well as through nucleocytoplasmic shuttling. In vertebrate cells, primary cilia are required for the sensing of Hedgehog pathway activity and involved in the processing and activation of Gli proteins. Two evolutionarily conserved Hedgehog pathway components, Suppressor of fused and Kif7, are core intracellular regulators of mammalian Gli proteins. Recent studies revealed that Gli proteins are also regulated transcriptionally and posttranslationally through noncanonical mechanisms independent of Hedgehog signaling. In this review, we describe the regulation of Gli proteins during development and discuss possible mechanisms for their abnormal activation during tumorigenesis.","container-title":"Annual Review of Cell and Developmental Biology","DOI":"10.1146/annurev-cellbio-092910-154048","ISSN":"1081-0706, 1530-8995","issue":"Volume 27, 2011","language":"en","page":"513-537","publisher":"Annual Reviews","source":"www.annualreviews.org","title":"Gli Proteins in Development and Disease","volume":"27","author":[{"family":"Hui","given":"Chi-chung"},{"family":"Angers","given":"Stephane"}],"issued":{"date-parts":[["2011",11,10]]}}},{"id":5281,"uris":["http://zotero.org/users/11313215/items/8UHCEWPU"],"itemData":{"id":5281,"type":"article-journal","abstract":"Chicken ovalbumin upstream promoter transcription factors (COUP-TFs) are nuclear receptors belonging to the superfamily of the steroid/thyroid hormone receptors. Members of this family are internalized to the nucleus both in a ligand-dependent or -independent manner and act as strong transcriptional regulators by binding to the DNA of their target genes. COUP-TFs are defined as orphan receptors, since ligands regulating their activity have not so far been identified. From the very beginning of metazoan evolution, these molecules have been involved in various key events during embryonic development and organogenesis. In this review, we will mainly focus on their function during development and maturation of the central nervous system, which has been well characterized in various animal classes ranging from ctenophores to mammals. We will start by introducing the current knowledge on COUP-TF mechanisms of action and then focus our discussion on the crucial processes underlying forebrain ontogenesis, with special emphasis on mammalian development. Finally, the conserved roles of COUP-TFs along phylogenesis will be highlighted, and some hypotheses, worth exploring in future years to gain more insight into the mechanisms controlled by these factors, will be proposed.","container-title":"Cellular and Molecular Life Sciences: CMLS","DOI":"10.1007/s00018-013-1320-6","ISSN":"1420-682X","issue":"1","journalAbbreviation":"Cell Mol Life Sci","page":"43-62","PMID":"23525662","PMCID":"PMC11114017","source":"PubMed Central","title":"The nuclear receptors COUP-TF: a long-lasting experience in forebrain assembly","title-short":"The nuclear receptors COUP-TF","volume":"71","author":[{"family":"Alfano","given":"Christian"},{"family":"Magrinelli","given":"Elia"},{"family":"Harb","given":"Kawssar"},{"family":"Studer","given":"Michèle"}],"issued":{"date-parts":[["2013",3,23]]}}},{"id":4898,"uris":["http://zotero.org/users/11313215/items/632PT6KR"],"itemData":{"id":4898,"type":"article-journal","abstract":"In human telencephalon at 8–12 postconceptional weeks, ribonucleic acid quantitative sequencing and immunohistochemistry revealed cortical chicken ovalbumin upstream promotor-transcription factor 1 (COUP-TFI) expression in a high ventro-posterior to low anterior gradient except for raised immunoreactivity in the anterior ventral pallium. Unlike in mouse, COUP-TFI and SP8 were extensively co-expressed in dorsal sensory neocortex and dorsal hippocampus whereas COUPTFI/COUPTFII co-expression defined ventral temporal cortex and ventral hippocampus. In the ganglionic eminences (GEs) COUP-TFI immunoreactivity demarcated the proliferative zones of caudal GE (CGE), dorsal medial GE (MGE), MGE/lateral GE (LGE) boundary, and ventral LGE whereas COUP-TFII was limited to ventral CGE and the MGE/LGE boundary. Co-labeling with gamma amino butyric acidergic interneuron markers revealed that COUP-TFI was expressed in subpopulations of either MGE-derived (SOX6+) or CGE-derived (calretinin+/SP8+) interneurons. COUP-TFII was mainly confined to CGE-derived interneurons. Twice as many GAD67+ cortical cells co-labeled for COUP-TFI than for COUP-TFII. A fifth of COUP-TFI cells also co-expressed COUP-TFII, and cells expressing either transcription factor followed posterior or anterio-lateral pathways into the cortex, therefore, a segregation of migration pathways according to COUP-TF expression as proposed in mouse was not observed. In cultures differentiated from isolated human cortical progenitors, many cells expressed either COUP-TF and 30% also co-expressed GABA, however no cells expressed NKX2.1. This suggests interneurons could be generated intracortically from progenitors expressing either COUP-TF.","container-title":"Cerebral Cortex","DOI":"10.1093/cercor/bhx185","ISSN":"1047-3211","issue":"10","journalAbbreviation":"Cereb Cortex","page":"4971-4987","source":"Silverchair","title":"The Transcription Factors COUP-TFI and COUP-TFII have Distinct Roles in Arealisation and GABAergic Interneuron Specification in the Early Human Fetal Telencephalon","volume":"27","author":[{"family":"Alzu'bi","given":"Ayman"},{"family":"Lindsay","given":"Susan J"},{"family":"Harkin","given":"Lauren F"},{"family":"McIntyre","given":"Jack"},{"family":"Lisgo","given":"Steven N"},{"family":"Clowry","given":"Gavin J"}],"issued":{"date-parts":[["2017",10,1]]}}},{"id":5289,"uris":["http://zotero.org/users/11313215/items/I2ZJNVVR"],"itemData":{"id":5289,"type":"article-journal","abstract":"The preoptic area (POa) of the rostral diencephalon supplies the neocortex and the amygdala with GABAergic neurons in the developing mouse brain. However, the molecular mechanisms that determine the pathway and destinations of POa-derived neurons have not yet been identified. Here we show that Chicken ovalbumin upstream promoter transcription factor II (COUP-TFII)–induced expression of Neuropilin-2 (Nrp2) and its down-regulation control the destination of POa-derived GABAergic neurons. Initially, a majority of the POa-derived migrating neurons express COUP-TFII and form a caudal migratory stream toward the caudal subpallium. When a subpopulation of cells steers toward the neocortex, they exhibit decreased expression of COUP-TFII and Nrp2. The present findings show that suppression of COUP-TFII/Nrp2 changed the destination of the cells into the neocortex, whereas overexpression of COUP-TFII/Nrp2 caused cells to end up in the medial part of the amygdala. Taken together, these results reveal that COUP-TFII/Nrp2 is a molecular switch determining the pathway and destination of migrating GABAergic neurons born in the POa.","container-title":"Proceedings of the National Academy of Sciences","DOI":"10.1073/pnas.1420701112","issue":"36","page":"E4985-E4994","publisher":"Proceedings of the National Academy of Sciences","source":"pnas.org (Atypon)","title":"The COUP-TFII/Neuropilin-2 is a molecular switch steering diencephalon-derived GABAergic neurons in the developing mouse brain","volume":"112","author":[{"family":"Kanatani","given":"Shigeaki"},{"family":"Honda","given":"Takao"},{"family":"Aramaki","given":"Michihiko"},{"family":"Hayashi","given":"Kanehiro"},{"family":"Kubo","given":"Ken-ichiro"},{"family":"Ishida","given":"Mami"},{"family":"Tanaka","given":"Daisuke H."},{"family":"Kawauchi","given":"Takeshi"},{"family":"Sekine","given":"Katsutoshi"},{"family":"Kusuzawa","given":"Sayaka"},{"family":"Kawasaki","given":"Takahiko"},{"family":"Hirata","given":"Tatsumi"},{"family":"Tabata","given":"Hidenori"},{"family":"Uhlén","given":"Per"},{"family":"Nakajima","given":"Kazunori"}],"issued":{"date-parts":[["2015",9,8]]}}},{"id":5310,"uris":["http://zotero.org/users/11313215/items/Y52KQI6M"],"itemData":{"id":5310,"type":"article-journal","abstract":"FOXP2 was the first gene shown to cause a Mendelian form of speech and language disorder. Although developmentally expressed in many organs, loss of a single copy of FOXP2 leads to a phenotype that is largely restricted to orofacial impairment during articulation and linguistic processing deficits. Why perturbed FOXP2 function affects specific aspects of the developing brain remains elusive. We investigated the role of FOXP2 in neuronal differentiation and found that FOXP2 drives molecular changes consistent with neuronal differentiation in a human model system. We identified a network of FOXP2 regulated genes related to retinoic acid signaling and neuronal differentiation. FOXP2 also produced phenotypic changes associated with neuronal differentiation including increased neurite outgrowth and reduced migration. Crucially, cells expressing FOXP2 displayed increased sensitivity to retinoic acid exposure. This suggests a mechanism by which FOXP2 may be able to increase the cellular differentiation response to environmental retinoic acid cues for specific subsets of neurons in the brain. These data demonstrate that FOXP2 promotes neuronal differentiation by interacting with the retinoic acid signaling pathway and regulates key processes required for normal circuit formation such as neuronal migration and neurite outgrowth. In this way, FOXP2, which is found only in specific subpopulations of neurons in the brain, may drive precise neuronal differentiation patterns and/or control localization and connectivity of these FOXP2 positive cells.","container-title":"Frontiers in Cellular Neuroscience","DOI":"10.3389/fncel.2014.00305","ISSN":"1662-5102","journalAbbreviation":"Front Cell Neurosci","page":"305","PMID":"25309332","PMCID":"PMC4176457","source":"PubMed Central","title":"FOXP2 drives neuronal differentiation by interacting with retinoic acid signaling pathways","volume":"8","author":[{"family":"Devanna","given":"Paolo"},{"family":"Middelbeek","given":"Jeroen"},{"family":"Vernes","given":"Sonja C."}],"issued":{"date-parts":[["2014",9,26]]}}},{"id":4883,"uris":["http://zotero.org/users/11313215/items/DI5V26B3"],"itemData":{"id":4883,"type":"article-journal","abstract":"FOXP transcription factors are an evolutionarily ancient protein subfamily coordinating the development of several organ systems in the vertebrate body. Association of their genes with neurodevelopmental disorders has sparked particular interest in their expression patterns and functions in the brain. Here, FOXP1, FOXP2, and FOXP4 are expressed in distinct cell type-specific spatiotemporal patterns in multiple regions, including the cortex, hippocampus, amygdala, basal ganglia, thalamus, and cerebellum. These varied sites and timepoints of expression have complicated efforts to link FOXP1 and FOXP2 mutations to their respective developmental disorders, the former affecting global neural functions and the latter specifically affecting speech and language. However, the use of animal models, particularly those with brain region- and cell type-specific manipulations, has greatly advanced our understanding of how FOXP expression patterns could underlie disorder-related phenotypes. While many questions remain regarding FOXP expression and function in the brain, studies to date have illuminated the roles of these transcription factors in vertebrate brain development and have greatly informed our understanding of human development and disorders. This article is categorized under: Nervous System Development &gt; Vertebrates: General Principles Gene Expression and Transcriptional Hierarchies &gt; Gene Networks and Genomics Nervous System Development &gt; Vertebrates: Regional Development","container-title":"WIREs Developmental Biology","DOI":"10.1002/wdev.375","ISSN":"1759-7692","issue":"5","language":"en","license":"© 2020 Wiley Periodicals, Inc.","note":"_eprint: https://wires.onlinelibrary.wiley.com/doi/pdf/10.1002/wdev.375","page":"e375","source":"Wiley Online Library","title":"FOXP transcription factors in vertebrate brain development, function, and disorders","volume":"9","author":[{"family":"Co","given":"Marissa"},{"family":"Anderson","given":"Ashley G."},{"family":"Konopka","given":"Genevieve"}],"issued":{"date-parts":[["2020"]]}}},{"id":4884,"uris":["http://zotero.org/users/11313215/items/BJTS2HEJ"],"itemData":{"id":4884,"type":"article-journal","abstract":"Neuroepithelial precursor cells of the vertebrate central nervous system either self-renew or differentiate into neurons, oligodendrocytes or astrocytes under the influence of a gene regulatory network that consists in transcription factors, epigenetic modifiers and microRNAs. Sox transcription factors are central to this regulatory network, especially members of the SoxB, SoxC, SoxD, SoxE and SoxF groups. These Sox proteins are widely expressed in neuroepithelial precursor cells and in newly specified, differentiating and mature neurons, oligodendrocytes and astrocytes and influence their identity, survival and development. They exert their effect predominantly at the transcriptional level but also have substantial impact on expression at the epigenetic and posttranscriptional levels with some Sox proteins acting as pioneer factors, recruiting chromatin-modifying and -remodelling complexes or influencing microRNA expression. They interact with a large variety of other transcription factors and influence the expression of regulatory molecules and effector genes in a cell-type-specific and temporally controlled manner. As versatile regulators with context-dependent functions, they are not only indispensable for central nervous system development but might also be instrumental for the development of reprogramming and cell conversion strategies for replacement therapies and for assisted regeneration after injury or degeneration-induced cell loss in the central nervous system.","container-title":"Cell and Tissue Research","DOI":"10.1007/s00441-014-1909-6","ISSN":"1432-0878","issue":"1","journalAbbreviation":"Cell Tissue Res","language":"en","page":"111-124","source":"Springer Link","title":"From CNS stem cells to neurons and glia: Sox for everyone","title-short":"From CNS stem cells to neurons and glia","volume":"359","author":[{"family":"Reiprich","given":"Simone"},{"family":"Wegner","given":"Michael"}],"issued":{"date-parts":[["2015",1,1]]}}}],"schema":"https://github.com/citation-style-language/schema/raw/master/csl-citation.json"} </w:instrText>
      </w:r>
      <w:r w:rsidR="00FD04AF" w:rsidRPr="60692AFF">
        <w:rPr>
          <w:i/>
          <w:iCs/>
        </w:rPr>
        <w:fldChar w:fldCharType="separate"/>
      </w:r>
      <w:r w:rsidR="00434F3C" w:rsidRPr="00434F3C">
        <w:rPr>
          <w:rFonts w:cs="Times New Roman"/>
          <w:color w:val="000000"/>
          <w:kern w:val="0"/>
          <w:szCs w:val="24"/>
          <w:vertAlign w:val="superscript"/>
        </w:rPr>
        <w:t>21–31</w:t>
      </w:r>
      <w:r w:rsidR="00FD04AF" w:rsidRPr="60692AFF">
        <w:rPr>
          <w:i/>
          <w:iCs/>
        </w:rPr>
        <w:fldChar w:fldCharType="end"/>
      </w:r>
      <w:r w:rsidR="00267EB1" w:rsidRPr="60692AFF">
        <w:rPr>
          <w:i/>
          <w:iCs/>
        </w:rPr>
        <w:t xml:space="preserve">. </w:t>
      </w:r>
      <w:r w:rsidR="00267EB1">
        <w:t>Additionally, several genes related to the epigenome were found to change during sex change</w:t>
      </w:r>
      <w:r w:rsidR="00C51ABF">
        <w:t xml:space="preserve"> </w:t>
      </w:r>
      <w:r w:rsidR="00C51ABF" w:rsidRPr="00F57C53">
        <w:rPr>
          <w:highlight w:val="yellow"/>
        </w:rPr>
        <w:t>(supplementary</w:t>
      </w:r>
      <w:r w:rsidR="004F3AD3">
        <w:rPr>
          <w:highlight w:val="yellow"/>
        </w:rPr>
        <w:t xml:space="preserve"> </w:t>
      </w:r>
      <w:r w:rsidR="00C51ABF" w:rsidRPr="00F57C53">
        <w:rPr>
          <w:highlight w:val="yellow"/>
        </w:rPr>
        <w:t>Figures</w:t>
      </w:r>
      <w:r w:rsidR="00C51ABF">
        <w:t>)</w:t>
      </w:r>
      <w:r w:rsidR="0047626D">
        <w:t>. Given these observations</w:t>
      </w:r>
      <w:r w:rsidR="00985344">
        <w:t xml:space="preserve"> along with </w:t>
      </w:r>
      <w:r w:rsidR="00854CFB">
        <w:t xml:space="preserve">the downregulation in </w:t>
      </w:r>
      <w:r w:rsidR="00612334">
        <w:t>brain aromatase</w:t>
      </w:r>
      <w:r w:rsidR="00854CFB">
        <w:t xml:space="preserve"> and</w:t>
      </w:r>
      <w:r w:rsidR="00985344">
        <w:t xml:space="preserve"> </w:t>
      </w:r>
      <w:r w:rsidR="00943939">
        <w:t>changes in neuronal cell populations,</w:t>
      </w:r>
      <w:r w:rsidR="0047626D">
        <w:t xml:space="preserve"> we next </w:t>
      </w:r>
      <w:r w:rsidR="00664986">
        <w:t>examined</w:t>
      </w:r>
      <w:r w:rsidR="0047626D">
        <w:t xml:space="preserve"> </w:t>
      </w:r>
      <w:r w:rsidR="00943939">
        <w:t xml:space="preserve">how neurogenesis </w:t>
      </w:r>
      <w:r w:rsidR="00244BB9">
        <w:t>changed over the course of sex change.</w:t>
      </w:r>
      <w:r w:rsidR="00C327A1">
        <w:t xml:space="preserve"> </w:t>
      </w:r>
      <w:r w:rsidR="00E94F19">
        <w:t>Because RGCs are a heterogenous cell type</w:t>
      </w:r>
      <w:r w:rsidR="00C327A1">
        <w:t xml:space="preserve">, </w:t>
      </w:r>
      <w:r w:rsidR="00664986">
        <w:t>we</w:t>
      </w:r>
      <w:r w:rsidR="00C327A1">
        <w:t xml:space="preserve"> subclustered 1_RGC into 6 six subclusters labeled 1_0 - 1_5 respectively</w:t>
      </w:r>
      <w:r w:rsidR="005734BB">
        <w:t xml:space="preserve"> (</w:t>
      </w:r>
      <w:r w:rsidR="004F3AD3" w:rsidRPr="004F3AD3">
        <w:rPr>
          <w:highlight w:val="yellow"/>
        </w:rPr>
        <w:t>Fig. 3b</w:t>
      </w:r>
      <w:r w:rsidR="005734BB">
        <w:t>)</w:t>
      </w:r>
      <w:r w:rsidR="00C327A1">
        <w:t xml:space="preserve">. </w:t>
      </w:r>
      <w:r w:rsidR="00EF2C7E">
        <w:t>GO analysis of marker genes</w:t>
      </w:r>
      <w:r w:rsidR="0001088B">
        <w:t xml:space="preserve"> paired with CytoTRACE</w:t>
      </w:r>
      <w:r w:rsidR="0001088B">
        <w:fldChar w:fldCharType="begin"/>
      </w:r>
      <w:r w:rsidR="00AE547C">
        <w:instrText xml:space="preserve"> ADDIN ZOTERO_ITEM CSL_CITATION {"citationID":"OTJvsLJ2","properties":{"unsorted":false,"formattedCitation":"\\super 32\\nosupersub{}","plainCitation":"32","noteIndex":0},"citationItems":[{"id":5340,"uris":["http://zotero.org/users/11313215/items/MEV7TCRJ"],"itemData":{"id":5340,"type":"article-journal","abstract":"Single-cell RNA sequencing (scRNA-seq) is a powerful approach for reconstructing cellular differentiation trajectories. However, inferring both the state and direction of differentiation is challenging. Here, we demonstrate a simple, yet robust, determinant of developmental potential—the number of expressed genes per cell—and leverage this measure of transcriptional diversity to develop a computational framework (CytoTRACE) for predicting differentiation states from scRNA-seq data. When applied to diverse tissue types and organisms, CytoTRACE outperformed previous methods and nearly 19,000 annotated gene sets for resolving 52 experimentally determined developmental trajectories. Additionally, it facilitated the identification of quiescent stem cells and revealed genes that contribute to breast tumorigenesis. This study thus establishes a key RNA-based feature of developmental potential and a platform for delineation of cellular hierarchies.","container-title":"Science","DOI":"10.1126/science.aax0249","issue":"6476","page":"405-411","publisher":"American Association for the Advancement of Science","source":"science.org (Atypon)","title":"Single-cell transcriptional diversity is a hallmark of developmental potential","volume":"367","author":[{"family":"Gulati","given":"Gunsagar S."},{"family":"Sikandar","given":"Shaheen S."},{"family":"Wesche","given":"Daniel J."},{"family":"Manjunath","given":"Anoop"},{"family":"Bharadwaj","given":"Anjan"},{"family":"Berger","given":"Mark J."},{"family":"Ilagan","given":"Francisco"},{"family":"Kuo","given":"Angera H."},{"family":"Hsieh","given":"Robert W."},{"family":"Cai","given":"Shang"},{"family":"Zabala","given":"Maider"},{"family":"Scheeren","given":"Ferenc A."},{"family":"Lobo","given":"Neethan A."},{"family":"Qian","given":"Dalong"},{"family":"Yu","given":"Feiqiao B."},{"family":"Dirbas","given":"Frederick M."},{"family":"Clarke","given":"Michael F."},{"family":"Newman","given":"Aaron M."}],"issued":{"date-parts":[["2020",1,24]]}}}],"schema":"https://github.com/citation-style-language/schema/raw/master/csl-citation.json"} </w:instrText>
      </w:r>
      <w:r w:rsidR="0001088B">
        <w:fldChar w:fldCharType="separate"/>
      </w:r>
      <w:r w:rsidR="00434F3C" w:rsidRPr="00434F3C">
        <w:rPr>
          <w:rFonts w:cs="Times New Roman"/>
          <w:color w:val="000000"/>
          <w:kern w:val="0"/>
          <w:szCs w:val="24"/>
          <w:vertAlign w:val="superscript"/>
        </w:rPr>
        <w:t>32</w:t>
      </w:r>
      <w:r w:rsidR="0001088B">
        <w:fldChar w:fldCharType="end"/>
      </w:r>
      <w:r w:rsidR="00EF2C7E">
        <w:t xml:space="preserve"> revealed subcluster 1_1 was a quiescent stem cell population (</w:t>
      </w:r>
      <w:r w:rsidR="00EF2C7E" w:rsidRPr="00EF2C7E">
        <w:rPr>
          <w:highlight w:val="yellow"/>
        </w:rPr>
        <w:t>supplementary figure</w:t>
      </w:r>
      <w:r w:rsidR="00883837">
        <w:rPr>
          <w:highlight w:val="yellow"/>
        </w:rPr>
        <w:t>s</w:t>
      </w:r>
      <w:r w:rsidR="00EF2C7E" w:rsidRPr="00EF2C7E">
        <w:rPr>
          <w:highlight w:val="yellow"/>
        </w:rPr>
        <w:t>)</w:t>
      </w:r>
      <w:r w:rsidR="00EF2C7E">
        <w:t>, 1</w:t>
      </w:r>
      <w:r w:rsidR="00E346CB">
        <w:t>_3 was an immature neural progenitor, and that 1_2 and 1_0 were also members of a neurogenic lineage (</w:t>
      </w:r>
      <w:r w:rsidR="00E346CB" w:rsidRPr="00F9548A">
        <w:rPr>
          <w:highlight w:val="yellow"/>
        </w:rPr>
        <w:t>supplementary</w:t>
      </w:r>
      <w:r w:rsidR="004F3AD3">
        <w:t xml:space="preserve"> </w:t>
      </w:r>
      <w:r w:rsidR="004F3AD3" w:rsidRPr="00EF2C7E">
        <w:rPr>
          <w:highlight w:val="yellow"/>
        </w:rPr>
        <w:t>figure</w:t>
      </w:r>
      <w:r w:rsidR="004F3AD3">
        <w:rPr>
          <w:highlight w:val="yellow"/>
        </w:rPr>
        <w:t>s</w:t>
      </w:r>
      <w:r w:rsidR="00E346CB">
        <w:t xml:space="preserve">). </w:t>
      </w:r>
      <w:commentRangeStart w:id="6"/>
      <w:r w:rsidR="00CC090D">
        <w:t xml:space="preserve">Subcluster </w:t>
      </w:r>
      <w:r w:rsidR="00C54B0D">
        <w:t xml:space="preserve">1_5 was </w:t>
      </w:r>
      <w:r w:rsidR="00CC090D">
        <w:t>classified as</w:t>
      </w:r>
      <w:r w:rsidR="00C54B0D">
        <w:t xml:space="preserve"> astrocyte-like cell type due to expression of </w:t>
      </w:r>
      <w:r w:rsidR="00C54B0D" w:rsidRPr="60692AFF">
        <w:rPr>
          <w:i/>
          <w:iCs/>
        </w:rPr>
        <w:t>gfap</w:t>
      </w:r>
      <w:r w:rsidR="00C54B0D">
        <w:t xml:space="preserve">, and 1_4 likely a tanycyte due to expression of genes related to </w:t>
      </w:r>
      <w:r w:rsidR="00CC090D">
        <w:t>gap junctions…</w:t>
      </w:r>
      <w:commentRangeEnd w:id="6"/>
      <w:r w:rsidR="00664986">
        <w:rPr>
          <w:rStyle w:val="CommentReference"/>
          <w:sz w:val="24"/>
          <w:szCs w:val="30"/>
        </w:rPr>
        <w:commentReference w:id="6"/>
      </w:r>
    </w:p>
    <w:p w14:paraId="644C3533" w14:textId="77777777" w:rsidR="00CC090D" w:rsidRDefault="00CC090D" w:rsidP="00637E6A"/>
    <w:p w14:paraId="7412F9DC" w14:textId="1FE5B584" w:rsidR="005A3DBB" w:rsidRDefault="00BE691A" w:rsidP="0009551F">
      <w:r>
        <w:tab/>
        <w:t xml:space="preserve">Analysis of the proportions of each subcluster </w:t>
      </w:r>
      <w:r w:rsidR="0055623D">
        <w:t xml:space="preserve">in 1_RGC revealed that in intermediates, there was a significant </w:t>
      </w:r>
      <w:r w:rsidR="009A3422">
        <w:t>reduction</w:t>
      </w:r>
      <w:r w:rsidR="0055623D">
        <w:t xml:space="preserve"> </w:t>
      </w:r>
      <w:r w:rsidR="009A3422">
        <w:t>in</w:t>
      </w:r>
      <w:r w:rsidR="00970529">
        <w:t xml:space="preserve"> 1_3 progenitors and </w:t>
      </w:r>
      <w:r w:rsidR="00637E6A">
        <w:t>an increase</w:t>
      </w:r>
      <w:r w:rsidR="00970529">
        <w:t xml:space="preserve"> </w:t>
      </w:r>
      <w:r w:rsidR="00637E6A">
        <w:t>in</w:t>
      </w:r>
      <w:r w:rsidR="00970529">
        <w:t xml:space="preserve"> 1_2 and 1_0 </w:t>
      </w:r>
      <w:r w:rsidR="00AA403A">
        <w:t>progenitors</w:t>
      </w:r>
      <w:r w:rsidR="00517EF4">
        <w:t xml:space="preserve">, while </w:t>
      </w:r>
      <w:r w:rsidR="00376C9A">
        <w:t xml:space="preserve">in females </w:t>
      </w:r>
      <w:r w:rsidR="0001073C">
        <w:t>there was a</w:t>
      </w:r>
      <w:r w:rsidR="00AC0E43">
        <w:t xml:space="preserve"> small but</w:t>
      </w:r>
      <w:r w:rsidR="0001073C">
        <w:t xml:space="preserve"> significant </w:t>
      </w:r>
      <w:r w:rsidR="005411C9">
        <w:t>increase</w:t>
      </w:r>
      <w:r w:rsidR="00AC0E43">
        <w:t xml:space="preserve"> in 1_2 progenitors and a large </w:t>
      </w:r>
      <w:r w:rsidR="001A66B9">
        <w:t>depletion</w:t>
      </w:r>
      <w:r w:rsidR="00AC0E43">
        <w:t xml:space="preserve"> in 1_0 </w:t>
      </w:r>
      <w:r w:rsidR="001A66B9">
        <w:t>progenitors</w:t>
      </w:r>
      <w:r w:rsidR="004F3AD3">
        <w:t xml:space="preserve"> (</w:t>
      </w:r>
      <w:r w:rsidR="004F3AD3" w:rsidRPr="004F3AD3">
        <w:rPr>
          <w:highlight w:val="yellow"/>
        </w:rPr>
        <w:t>Fig. 3c</w:t>
      </w:r>
      <w:r w:rsidR="004F3AD3">
        <w:t>)</w:t>
      </w:r>
      <w:r w:rsidR="00AC0E43">
        <w:t>.</w:t>
      </w:r>
      <w:r w:rsidR="00AB0020" w:rsidRPr="00AB0020">
        <w:t xml:space="preserve"> </w:t>
      </w:r>
      <w:r w:rsidR="00AB0020">
        <w:t xml:space="preserve">To test the hypothesis that 1_3 </w:t>
      </w:r>
      <w:r w:rsidR="00A62B67">
        <w:t xml:space="preserve">&gt; </w:t>
      </w:r>
      <w:r w:rsidR="00AB0020">
        <w:t>1_2</w:t>
      </w:r>
      <w:r w:rsidR="00A62B67">
        <w:t xml:space="preserve"> &gt; </w:t>
      </w:r>
      <w:r w:rsidR="00AB0020">
        <w:t xml:space="preserve">1_0 </w:t>
      </w:r>
      <w:r w:rsidR="005E67B1">
        <w:t>constitutes</w:t>
      </w:r>
      <w:r w:rsidR="00AB0020">
        <w:t xml:space="preserve"> a neurogenic lineage, we next used Slingshot</w:t>
      </w:r>
      <w:r w:rsidR="00AB0020">
        <w:fldChar w:fldCharType="begin"/>
      </w:r>
      <w:r w:rsidR="00AE547C">
        <w:instrText xml:space="preserve"> ADDIN ZOTERO_ITEM CSL_CITATION {"citationID":"AuQ62udH","properties":{"unsorted":false,"formattedCitation":"\\super 33\\nosupersub{}","plainCitation":"33","noteIndex":0},"citationItems":[{"id":3658,"uris":["http://zotero.org/users/11313215/items/MP6Z2ZKV"],"itemData":{"id":3658,"type":"article-journal","abstract":"Single-cell transcriptomics allows researchers to investigate complex communities of heterogeneous cells. It can be applied to stem cells and their descendants in order to chart the progression from multipotent progenitors to fully differentiated cells. While a variety of statistical and computational methods have been proposed for inferring cell lineages, the problem of accurately characterizing multiple branching lineages remains difficult to solve.","container-title":"BMC Genomics","DOI":"10.1186/s12864-018-4772-0","ISSN":"1471-2164","issue":"1","journalAbbreviation":"BMC Genomics","page":"477","source":"BioMed Central","title":"Slingshot: cell lineage and pseudotime inference for single-cell transcriptomics","title-short":"Slingshot","volume":"19","author":[{"family":"Street","given":"Kelly"},{"family":"Risso","given":"Davide"},{"family":"Fletcher","given":"Russell B."},{"family":"Das","given":"Diya"},{"family":"Ngai","given":"John"},{"family":"Yosef","given":"Nir"},{"family":"Purdom","given":"Elizabeth"},{"family":"Dudoit","given":"Sandrine"}],"issued":{"date-parts":[["2018",6,19]]}}}],"schema":"https://github.com/citation-style-language/schema/raw/master/csl-citation.json"} </w:instrText>
      </w:r>
      <w:r w:rsidR="00AB0020">
        <w:fldChar w:fldCharType="separate"/>
      </w:r>
      <w:r w:rsidR="00434F3C" w:rsidRPr="00434F3C">
        <w:rPr>
          <w:rFonts w:cs="Times New Roman"/>
          <w:color w:val="000000"/>
          <w:kern w:val="0"/>
          <w:szCs w:val="24"/>
          <w:vertAlign w:val="superscript"/>
        </w:rPr>
        <w:t>33</w:t>
      </w:r>
      <w:r w:rsidR="00AB0020">
        <w:fldChar w:fldCharType="end"/>
      </w:r>
      <w:r w:rsidR="00AB0020">
        <w:t xml:space="preserve"> to fit pseudotemporal lineages in our data. We defined cluster 1_1 as our starting point due to its high CytoTRACE score and markers of </w:t>
      </w:r>
      <w:r w:rsidR="00F3211B">
        <w:t>stemness</w:t>
      </w:r>
      <w:r w:rsidR="00591D01">
        <w:t xml:space="preserve"> (</w:t>
      </w:r>
      <w:r w:rsidR="00591D01" w:rsidRPr="00591D01">
        <w:rPr>
          <w:highlight w:val="yellow"/>
        </w:rPr>
        <w:t>supplementary figure</w:t>
      </w:r>
      <w:r w:rsidR="00591D01">
        <w:t>)</w:t>
      </w:r>
      <w:r w:rsidR="00F3211B">
        <w:t xml:space="preserve"> and</w:t>
      </w:r>
      <w:r w:rsidR="00AB0020">
        <w:t xml:space="preserve"> removed all other glial clusters such that lineages were </w:t>
      </w:r>
      <w:r w:rsidR="009A3422">
        <w:t xml:space="preserve">only </w:t>
      </w:r>
      <w:r w:rsidR="00AB0020">
        <w:t xml:space="preserve">fit from RGCs to neurons. In total, </w:t>
      </w:r>
      <w:r w:rsidR="00E94F19">
        <w:t>Slingshot</w:t>
      </w:r>
      <w:r w:rsidR="00AB0020">
        <w:t xml:space="preserve"> identified 18 distinct lineages</w:t>
      </w:r>
      <w:r w:rsidR="009A3422">
        <w:t xml:space="preserve"> (</w:t>
      </w:r>
      <w:r w:rsidR="007E135E" w:rsidRPr="00A10378">
        <w:rPr>
          <w:highlight w:val="yellow"/>
        </w:rPr>
        <w:t>Fig. 3d</w:t>
      </w:r>
      <w:r w:rsidR="009A3422" w:rsidRPr="009A3422">
        <w:rPr>
          <w:highlight w:val="yellow"/>
        </w:rPr>
        <w:t>, supplementary figure</w:t>
      </w:r>
      <w:r w:rsidR="009A3422">
        <w:t>)</w:t>
      </w:r>
      <w:r w:rsidR="00AB0020">
        <w:t xml:space="preserve">. Subclusters 1_3, 1_2, and 1_0 were represented in all lineages and </w:t>
      </w:r>
      <w:r w:rsidR="00AB0020">
        <w:lastRenderedPageBreak/>
        <w:t xml:space="preserve">displayed pseudotemporal values consistent with the 1_3 </w:t>
      </w:r>
      <w:r w:rsidR="00A62B67">
        <w:t>&gt;</w:t>
      </w:r>
      <w:r w:rsidR="00AB0020">
        <w:t xml:space="preserve"> 1_2</w:t>
      </w:r>
      <w:r w:rsidR="00F3211B">
        <w:t xml:space="preserve"> </w:t>
      </w:r>
      <w:r w:rsidR="00A62B67">
        <w:t>&gt;</w:t>
      </w:r>
      <w:r w:rsidR="00F3211B">
        <w:t xml:space="preserve"> </w:t>
      </w:r>
      <w:r w:rsidR="00AB0020">
        <w:t xml:space="preserve">1_0 </w:t>
      </w:r>
      <w:r w:rsidR="00A62B67">
        <w:t xml:space="preserve">&gt; </w:t>
      </w:r>
      <w:r w:rsidR="00AB0020">
        <w:t>neuron ordering</w:t>
      </w:r>
      <w:r w:rsidR="0071363D">
        <w:t>, while other 1_RGC subclusters did not show the same pattern</w:t>
      </w:r>
      <w:r w:rsidR="00AB0020">
        <w:t>.</w:t>
      </w:r>
      <w:r w:rsidR="00F3211B">
        <w:t xml:space="preserve"> O</w:t>
      </w:r>
      <w:r w:rsidR="008C0BA7">
        <w:t xml:space="preserve">ur </w:t>
      </w:r>
      <w:r w:rsidR="005E67B1">
        <w:t>pseudotime</w:t>
      </w:r>
      <w:r w:rsidR="008C0BA7">
        <w:t xml:space="preserve"> analysis robustly implicated 9_Mixed_1 as being downstream of 1_0, before lineages diverged to </w:t>
      </w:r>
      <w:r w:rsidR="00553ABC">
        <w:t>other</w:t>
      </w:r>
      <w:r w:rsidR="008C0BA7">
        <w:t xml:space="preserve"> clusters </w:t>
      </w:r>
      <w:r w:rsidR="00AB0020">
        <w:t>(</w:t>
      </w:r>
      <w:r w:rsidR="00790E64" w:rsidRPr="00790E64">
        <w:rPr>
          <w:highlight w:val="yellow"/>
        </w:rPr>
        <w:t xml:space="preserve">Fig.3d, </w:t>
      </w:r>
      <w:r w:rsidR="00AB0020" w:rsidRPr="00790E64">
        <w:rPr>
          <w:highlight w:val="yellow"/>
        </w:rPr>
        <w:t>supplemental figure</w:t>
      </w:r>
      <w:r w:rsidR="00AB0020" w:rsidRPr="0039716D">
        <w:rPr>
          <w:highlight w:val="yellow"/>
        </w:rPr>
        <w:t>)</w:t>
      </w:r>
      <w:r w:rsidR="00AB0020">
        <w:t>.</w:t>
      </w:r>
      <w:r w:rsidR="00FB2067">
        <w:t xml:space="preserve"> Thus, we hypothesized that </w:t>
      </w:r>
      <w:r w:rsidR="00D446BF">
        <w:t xml:space="preserve">9_Mixed_1 was an immature neuron in </w:t>
      </w:r>
      <w:r w:rsidR="00D4265E">
        <w:t>the neurogenic lineage</w:t>
      </w:r>
      <w:r w:rsidR="00D446BF">
        <w:t>, and the order of this lineage is</w:t>
      </w:r>
      <w:r w:rsidR="00D4265E">
        <w:t xml:space="preserve"> 1_1</w:t>
      </w:r>
      <w:r w:rsidR="00D55AD0">
        <w:t xml:space="preserve"> &gt;</w:t>
      </w:r>
      <w:r w:rsidR="00D4265E">
        <w:t xml:space="preserve"> 1_3</w:t>
      </w:r>
      <w:r w:rsidR="00D55AD0">
        <w:t xml:space="preserve"> &gt;</w:t>
      </w:r>
      <w:r w:rsidR="00D4265E">
        <w:t xml:space="preserve"> 1_2</w:t>
      </w:r>
      <w:r w:rsidR="00D55AD0">
        <w:t xml:space="preserve"> &gt;</w:t>
      </w:r>
      <w:r w:rsidR="00D4265E">
        <w:t xml:space="preserve"> 1_0</w:t>
      </w:r>
      <w:r w:rsidR="00D55AD0">
        <w:t xml:space="preserve"> &gt;</w:t>
      </w:r>
      <w:r w:rsidR="00D4265E">
        <w:t xml:space="preserve"> 9</w:t>
      </w:r>
      <w:r w:rsidR="00D55AD0">
        <w:t xml:space="preserve"> &gt;</w:t>
      </w:r>
      <w:r w:rsidR="008C0BA7">
        <w:t xml:space="preserve"> mature neuron</w:t>
      </w:r>
      <w:r w:rsidR="00D4265E">
        <w:t xml:space="preserve">. </w:t>
      </w:r>
    </w:p>
    <w:p w14:paraId="38C332C8" w14:textId="0C2B5D29" w:rsidR="007918A4" w:rsidRPr="00D446BF" w:rsidRDefault="007918A4" w:rsidP="0009551F">
      <w:r>
        <w:tab/>
      </w:r>
      <w:r w:rsidR="00D446BF" w:rsidRPr="00D446BF">
        <w:rPr>
          <w:highlight w:val="magenta"/>
        </w:rPr>
        <w:t>Supporting the hypothesis that cluster 9_Mixed_1 is an immature neuron</w:t>
      </w:r>
      <w:r w:rsidR="00D446BF">
        <w:t xml:space="preserve">, </w:t>
      </w:r>
      <w:r w:rsidR="00D446BF" w:rsidRPr="00D446BF">
        <w:rPr>
          <w:highlight w:val="yellow"/>
        </w:rPr>
        <w:t xml:space="preserve">it was positive for makers of neurodevelopment including </w:t>
      </w:r>
      <w:r w:rsidR="00D446BF" w:rsidRPr="00D446BF">
        <w:rPr>
          <w:i/>
          <w:iCs/>
          <w:highlight w:val="yellow"/>
        </w:rPr>
        <w:t>sox4b</w:t>
      </w:r>
      <w:r w:rsidR="00D446BF" w:rsidRPr="00D446BF">
        <w:rPr>
          <w:highlight w:val="yellow"/>
        </w:rPr>
        <w:t xml:space="preserve">, </w:t>
      </w:r>
      <w:r w:rsidR="00D446BF" w:rsidRPr="00D446BF">
        <w:rPr>
          <w:i/>
          <w:iCs/>
          <w:highlight w:val="yellow"/>
        </w:rPr>
        <w:t xml:space="preserve">mex3a, </w:t>
      </w:r>
      <w:r w:rsidR="00D446BF" w:rsidRPr="00D446BF">
        <w:rPr>
          <w:highlight w:val="yellow"/>
        </w:rPr>
        <w:t xml:space="preserve">and </w:t>
      </w:r>
      <w:r w:rsidR="00D446BF" w:rsidRPr="00D446BF">
        <w:rPr>
          <w:i/>
          <w:iCs/>
          <w:highlight w:val="yellow"/>
        </w:rPr>
        <w:t>chrdl2</w:t>
      </w:r>
      <w:r w:rsidR="00D446BF">
        <w:t xml:space="preserve"> (</w:t>
      </w:r>
      <w:r w:rsidR="00D446BF" w:rsidRPr="00D446BF">
        <w:rPr>
          <w:highlight w:val="yellow"/>
        </w:rPr>
        <w:t>CITATIONS</w:t>
      </w:r>
      <w:r w:rsidR="00D446BF">
        <w:t>)</w:t>
      </w:r>
    </w:p>
    <w:p w14:paraId="56B868D2" w14:textId="55098329" w:rsidR="008C0FC4" w:rsidRDefault="001C535D" w:rsidP="0009551F">
      <w:r>
        <w:tab/>
        <w:t>To t</w:t>
      </w:r>
      <w:r w:rsidR="007C67DC">
        <w:t xml:space="preserve">est the hypothesis that </w:t>
      </w:r>
      <w:r w:rsidR="00CD6A1C">
        <w:t xml:space="preserve">9_Mixed_1 </w:t>
      </w:r>
      <w:r w:rsidR="007C67DC">
        <w:t xml:space="preserve">was the </w:t>
      </w:r>
      <w:r w:rsidR="00CD6A1C">
        <w:t>final</w:t>
      </w:r>
      <w:r w:rsidR="007C67DC">
        <w:t xml:space="preserve"> cluster </w:t>
      </w:r>
      <w:r w:rsidR="00CD6A1C">
        <w:t>in</w:t>
      </w:r>
      <w:r w:rsidR="007C67DC">
        <w:t xml:space="preserve"> the neurogenic lineage</w:t>
      </w:r>
      <w:r w:rsidR="00DF6A58">
        <w:t xml:space="preserve"> downstream of 1_0</w:t>
      </w:r>
      <w:r w:rsidR="007C67DC">
        <w:t xml:space="preserve"> and </w:t>
      </w:r>
      <w:r w:rsidR="00CD6A1C">
        <w:t xml:space="preserve">that 9_Mixed_1 then went on to populate other clusters, we used </w:t>
      </w:r>
      <w:r w:rsidR="00B15C1F">
        <w:t>a similar</w:t>
      </w:r>
      <w:r w:rsidR="00CD6A1C">
        <w:t xml:space="preserve"> method </w:t>
      </w:r>
      <w:r w:rsidR="00B15C1F">
        <w:t xml:space="preserve">as </w:t>
      </w:r>
      <w:r w:rsidR="00CD6A1C">
        <w:t xml:space="preserve">described in </w:t>
      </w:r>
      <w:r w:rsidR="00CD6A1C" w:rsidRPr="008A2709">
        <w:t>Zeppilli</w:t>
      </w:r>
      <w:r w:rsidR="00CD6A1C">
        <w:t xml:space="preserve"> et al.</w:t>
      </w:r>
      <w:r w:rsidR="009E2CA6">
        <w:t xml:space="preserve"> </w:t>
      </w:r>
      <w:r w:rsidR="00B15C1F">
        <w:t>to predict which cells were most similar to 1_0</w:t>
      </w:r>
      <w:r w:rsidR="0072397A">
        <w:t xml:space="preserve"> (</w:t>
      </w:r>
      <w:r w:rsidR="0072397A" w:rsidRPr="009E2CA6">
        <w:rPr>
          <w:highlight w:val="yellow"/>
        </w:rPr>
        <w:t>methods</w:t>
      </w:r>
      <w:r w:rsidR="0072397A">
        <w:t>)</w:t>
      </w:r>
      <w:r w:rsidR="009E2CA6">
        <w:fldChar w:fldCharType="begin"/>
      </w:r>
      <w:r w:rsidR="00AE547C">
        <w:instrText xml:space="preserve"> ADDIN ZOTERO_ITEM CSL_CITATION {"citationID":"tSXm2unl","properties":{"unsorted":false,"formattedCitation":"\\super 34\\nosupersub{}","plainCitation":"34","noteIndex":0},"citationItems":[{"id":3796,"uris":["http://zotero.org/users/11313215/items/FXW34X5I"],"itemData":{"id":3796,"type":"article-journal","abstract":"Understanding the molecular logic of cortical cell-type diversity can illuminate cortical circuit function and evolution. Here, we performed single-nucleus transcriptome and chromatin accessibility analyses to compare neurons across three- to six-layered cortical areas of adult mice and across tetrapod species. We found that, in contrast to the six-layered neocortex, glutamatergic neurons of the three-layered mouse olfactory (piriform) cortex displayed continuous rather than discrete variation in transcriptomic profiles. Subsets of piriform and neocortical glutamatergic cells with conserved transcriptomic profiles were distinguished by distinct, area-specific epigenetic states. Furthermore, we identified a prominent population of immature neurons in piriform cortex and observed that, in contrast to the neocortex, piriform cortex exhibited divergence between glutamatergic cells in laboratory versus wild-derived mice. Finally, we showed that piriform neurons displayed greater transcriptomic similarity to cortical neurons of turtles, lizards and salamanders than to those of the neocortex. In summary, despite over 200 million years of coevolution alongside the neocortex, olfactory cortex neurons retain molecular signatures of ancestral cortical identity.","container-title":"Nature Neuroscience","DOI":"10.1038/s41593-025-01924-3","ISSN":"1546-1726","journalAbbreviation":"Nat Neurosci","language":"en","license":"2025 The Author(s), under exclusive licence to Springer Nature America, Inc.","page":"1-12","publisher":"Nature Publishing Group","source":"www.nature.com","title":"Single-cell genomics of the mouse olfactory cortex reveals contrasts with neocortex and ancestral signatures of cell type evolution","author":[{"family":"Zeppilli","given":"Sara"},{"family":"Gurrola","given":"Alonso O."},{"family":"Demetci","given":"Pinar"},{"family":"Brann","given":"David H."},{"family":"Pham","given":"Tuan M."},{"family":"Attey","given":"Robin"},{"family":"Zilkha","given":"Noga"},{"family":"Kimchi","given":"Tali"},{"family":"Datta","given":"Sandeep R."},{"family":"Singh","given":"Ritambhara"},{"family":"Tosches","given":"Maria A."},{"family":"Crombach","given":"Anton"},{"family":"Fleischmann","given":"Alexander"}],"issued":{"date-parts":[["2025",4,8]]}}}],"schema":"https://github.com/citation-style-language/schema/raw/master/csl-citation.json"} </w:instrText>
      </w:r>
      <w:r w:rsidR="009E2CA6">
        <w:fldChar w:fldCharType="separate"/>
      </w:r>
      <w:r w:rsidR="00434F3C" w:rsidRPr="00434F3C">
        <w:rPr>
          <w:rFonts w:cs="Times New Roman"/>
          <w:color w:val="000000"/>
          <w:kern w:val="0"/>
          <w:szCs w:val="24"/>
          <w:vertAlign w:val="superscript"/>
        </w:rPr>
        <w:t>34</w:t>
      </w:r>
      <w:r w:rsidR="009E2CA6">
        <w:fldChar w:fldCharType="end"/>
      </w:r>
      <w:r w:rsidR="00D54623">
        <w:t xml:space="preserve">. In agreement with our </w:t>
      </w:r>
      <w:r w:rsidR="00AE4178">
        <w:t>pseudotime</w:t>
      </w:r>
      <w:r w:rsidR="00D54623">
        <w:t xml:space="preserve"> analysis, when we set subcluster 1_0 as the immature </w:t>
      </w:r>
      <w:r w:rsidR="00BB6269">
        <w:t>cell type and all other neurons as our mature cell type</w:t>
      </w:r>
      <w:r w:rsidR="00AE4178">
        <w:t>s</w:t>
      </w:r>
      <w:r w:rsidR="00F00D07">
        <w:t>, 9_Mixed_1 cells were overwhelmingly predicted to belong to 1_0</w:t>
      </w:r>
      <w:r w:rsidR="00AB7893">
        <w:t xml:space="preserve"> with </w:t>
      </w:r>
      <w:r w:rsidR="00575D5C">
        <w:t>8</w:t>
      </w:r>
      <w:r w:rsidR="00832A74">
        <w:t xml:space="preserve">7.00 % </w:t>
      </w:r>
      <w:r w:rsidR="000A2DE3">
        <w:t>±</w:t>
      </w:r>
      <w:r w:rsidR="00832A74">
        <w:t xml:space="preserve"> </w:t>
      </w:r>
      <w:r w:rsidR="00F76F12">
        <w:t>3.68% SD</w:t>
      </w:r>
      <w:r w:rsidR="00AB7893">
        <w:t xml:space="preserve"> of cells </w:t>
      </w:r>
      <w:r w:rsidR="001A2DEE">
        <w:t>clas</w:t>
      </w:r>
      <w:r w:rsidR="001B20B7">
        <w:t>sified as 1_0</w:t>
      </w:r>
      <w:r w:rsidR="00385D96">
        <w:t>, and being the only cluster with a higher observed result than a null</w:t>
      </w:r>
      <w:r w:rsidR="004C03C5">
        <w:t xml:space="preserve"> prediction</w:t>
      </w:r>
      <w:r w:rsidR="00317B57">
        <w:t xml:space="preserve"> </w:t>
      </w:r>
      <w:r w:rsidR="00F00D07">
        <w:t>indicating that these two cell types are the most similar</w:t>
      </w:r>
      <w:r w:rsidR="00B50509">
        <w:t xml:space="preserve"> (</w:t>
      </w:r>
      <w:r w:rsidR="00B50509" w:rsidRPr="00A10378">
        <w:rPr>
          <w:highlight w:val="yellow"/>
        </w:rPr>
        <w:t>Fig.3e</w:t>
      </w:r>
      <w:r w:rsidR="00B50509">
        <w:t>)</w:t>
      </w:r>
      <w:r w:rsidR="00F00D07">
        <w:t xml:space="preserve">. We then </w:t>
      </w:r>
      <w:r w:rsidR="0009171C">
        <w:t xml:space="preserve">repeated this analysis </w:t>
      </w:r>
      <w:r w:rsidR="00B80721">
        <w:t xml:space="preserve">excluding 1_0 and considering 9_Mixed_1 as the immature cell type. In this iteration, clusters 0_POA_1 and 6_POA_2 </w:t>
      </w:r>
      <w:r w:rsidR="00B411EB">
        <w:t xml:space="preserve">were the only clusters that were predicted to </w:t>
      </w:r>
      <w:r w:rsidR="0049319A">
        <w:t>be</w:t>
      </w:r>
      <w:r w:rsidR="008653E2">
        <w:t xml:space="preserve"> similar</w:t>
      </w:r>
      <w:r w:rsidR="0049319A">
        <w:t xml:space="preserve"> 9_Mixed_1</w:t>
      </w:r>
      <w:r w:rsidR="001148C2">
        <w:t xml:space="preserve"> (</w:t>
      </w:r>
      <w:r w:rsidR="0050206D">
        <w:t>26</w:t>
      </w:r>
      <w:r w:rsidR="00CD0860">
        <w:t xml:space="preserve">.51 </w:t>
      </w:r>
      <w:r w:rsidR="000A2DE3">
        <w:t>±</w:t>
      </w:r>
      <w:r w:rsidR="00CD0860">
        <w:t xml:space="preserve"> </w:t>
      </w:r>
      <w:r w:rsidR="00DB7189">
        <w:t>2.67% SD</w:t>
      </w:r>
      <w:r w:rsidR="004F1B43">
        <w:t xml:space="preserve"> and</w:t>
      </w:r>
      <w:r w:rsidR="00DB7189">
        <w:t xml:space="preserve"> 22</w:t>
      </w:r>
      <w:r w:rsidR="00B927F7">
        <w:t xml:space="preserve">.35% </w:t>
      </w:r>
      <w:r w:rsidR="000A2DE3">
        <w:t>±</w:t>
      </w:r>
      <w:r w:rsidR="00B927F7">
        <w:t xml:space="preserve"> 2.55% SD </w:t>
      </w:r>
      <w:r w:rsidR="00B927F7" w:rsidRPr="00B927F7">
        <w:t>r</w:t>
      </w:r>
      <w:r w:rsidR="001148C2" w:rsidRPr="00B927F7">
        <w:t>espectively</w:t>
      </w:r>
      <w:r w:rsidR="001148C2">
        <w:t>) and were the only clusters with predictions above the null (</w:t>
      </w:r>
      <w:r w:rsidR="001148C2" w:rsidRPr="00CB31ED">
        <w:rPr>
          <w:highlight w:val="yellow"/>
        </w:rPr>
        <w:t>supplementary figure)</w:t>
      </w:r>
      <w:r w:rsidR="008653E2">
        <w:t xml:space="preserve">. Because we observed phase differences in the </w:t>
      </w:r>
      <w:r w:rsidR="004F1B43">
        <w:t>populations</w:t>
      </w:r>
      <w:r w:rsidR="008653E2">
        <w:t xml:space="preserve"> of these </w:t>
      </w:r>
      <w:r w:rsidR="004F1B43">
        <w:t>clusters</w:t>
      </w:r>
      <w:r w:rsidR="005A5072">
        <w:t xml:space="preserve"> (</w:t>
      </w:r>
      <w:r w:rsidR="005A5072" w:rsidRPr="00A10378">
        <w:rPr>
          <w:highlight w:val="yellow"/>
        </w:rPr>
        <w:t>Fig. 2c</w:t>
      </w:r>
      <w:r w:rsidR="005A5072">
        <w:t>), we then repeated this analysis for each phase individually</w:t>
      </w:r>
      <w:r w:rsidR="00233F75">
        <w:t xml:space="preserve"> to examine if the</w:t>
      </w:r>
      <w:r w:rsidR="00EE3507">
        <w:t xml:space="preserve"> clusters populated by 9_Mixed_1 changed </w:t>
      </w:r>
      <w:r w:rsidR="001148C2">
        <w:t xml:space="preserve">during </w:t>
      </w:r>
      <w:r w:rsidR="00EE3507">
        <w:t xml:space="preserve">sex change. </w:t>
      </w:r>
      <w:r w:rsidR="0034018A">
        <w:t>In agreement with our proportion analysis</w:t>
      </w:r>
      <w:r w:rsidR="00A10378">
        <w:t>,</w:t>
      </w:r>
      <w:r w:rsidR="0034018A">
        <w:t xml:space="preserve"> w</w:t>
      </w:r>
      <w:r w:rsidR="00EE3507">
        <w:t>e found that</w:t>
      </w:r>
      <w:r w:rsidR="00387F18">
        <w:t xml:space="preserve"> in intermediates, </w:t>
      </w:r>
      <w:r w:rsidR="00952B17">
        <w:t xml:space="preserve">9_Mixed_1 cells were more frequently classified as </w:t>
      </w:r>
      <w:r w:rsidR="00387F18">
        <w:t xml:space="preserve">0_POA_1 </w:t>
      </w:r>
      <w:r w:rsidR="00952B17">
        <w:t>and less frequently as</w:t>
      </w:r>
      <w:r w:rsidR="00961692">
        <w:t xml:space="preserve"> 6_POA_2</w:t>
      </w:r>
      <w:r w:rsidR="00545C48">
        <w:t xml:space="preserve"> relative to males and females</w:t>
      </w:r>
      <w:r w:rsidR="00B53037">
        <w:t>.</w:t>
      </w:r>
      <w:r w:rsidR="001F7D02">
        <w:t xml:space="preserve"> </w:t>
      </w:r>
      <w:r w:rsidR="00961692">
        <w:t xml:space="preserve">Once the intermediate-female transition </w:t>
      </w:r>
      <w:r w:rsidR="002D1E85">
        <w:t>occurred</w:t>
      </w:r>
      <w:r w:rsidR="00961692">
        <w:t xml:space="preserve"> however, </w:t>
      </w:r>
      <w:r w:rsidR="002278A8">
        <w:t>these dynamic</w:t>
      </w:r>
      <w:r w:rsidR="003B38A7">
        <w:t>s</w:t>
      </w:r>
      <w:r w:rsidR="002278A8">
        <w:t xml:space="preserve"> swapped and 9_</w:t>
      </w:r>
      <w:commentRangeStart w:id="7"/>
      <w:r w:rsidR="002278A8">
        <w:t>Mixed</w:t>
      </w:r>
      <w:commentRangeEnd w:id="7"/>
      <w:r w:rsidR="00EE17C0">
        <w:rPr>
          <w:rStyle w:val="CommentReference"/>
          <w:sz w:val="24"/>
          <w:szCs w:val="30"/>
        </w:rPr>
        <w:commentReference w:id="7"/>
      </w:r>
      <w:r w:rsidR="00EE17C0">
        <w:t>u</w:t>
      </w:r>
      <w:r w:rsidR="002278A8">
        <w:t>_1 cells</w:t>
      </w:r>
      <w:r w:rsidR="00952B17">
        <w:t xml:space="preserve"> </w:t>
      </w:r>
      <w:r w:rsidR="00576CCA">
        <w:t>became</w:t>
      </w:r>
      <w:r w:rsidR="00952B17">
        <w:t xml:space="preserve"> </w:t>
      </w:r>
      <w:r w:rsidR="009421B6">
        <w:t>relatively</w:t>
      </w:r>
      <w:r w:rsidR="00952B17">
        <w:t xml:space="preserve"> more likely to be classified as</w:t>
      </w:r>
      <w:r w:rsidR="00961692">
        <w:t xml:space="preserve"> 6_POA_2</w:t>
      </w:r>
      <w:r w:rsidR="00076CB1">
        <w:t xml:space="preserve"> </w:t>
      </w:r>
      <w:r w:rsidR="00952B17">
        <w:t>and less as 0</w:t>
      </w:r>
      <w:r w:rsidR="00BD4942">
        <w:t xml:space="preserve">_POA_1 </w:t>
      </w:r>
      <w:r w:rsidR="004764E1">
        <w:t>in females</w:t>
      </w:r>
      <w:r w:rsidR="00BD4942">
        <w:t xml:space="preserve"> </w:t>
      </w:r>
      <w:r w:rsidR="004A339A">
        <w:rPr>
          <w:highlight w:val="yellow"/>
        </w:rPr>
        <w:t>Fig.3</w:t>
      </w:r>
      <w:r w:rsidR="00EE3507">
        <w:t>f</w:t>
      </w:r>
      <w:commentRangeStart w:id="8"/>
      <w:r w:rsidR="0049319A">
        <w:t>.</w:t>
      </w:r>
      <w:commentRangeEnd w:id="8"/>
      <w:r w:rsidR="008C0FC4">
        <w:rPr>
          <w:rStyle w:val="CommentReference"/>
          <w:sz w:val="24"/>
          <w:szCs w:val="30"/>
        </w:rPr>
        <w:commentReference w:id="8"/>
      </w:r>
      <w:r w:rsidR="00EE3507">
        <w:t>).</w:t>
      </w:r>
      <w:r w:rsidR="00395F6F">
        <w:t xml:space="preserve"> </w:t>
      </w:r>
      <w:r w:rsidR="00BE1765">
        <w:t>Taken with our proportion analysis, these results suggest t</w:t>
      </w:r>
      <w:r w:rsidR="00AD5168">
        <w:t>hat</w:t>
      </w:r>
      <w:r w:rsidR="008A3735">
        <w:t xml:space="preserve"> early sex change is </w:t>
      </w:r>
      <w:r w:rsidR="00AD5168">
        <w:t>characterized</w:t>
      </w:r>
      <w:r w:rsidR="008A3735">
        <w:t xml:space="preserve"> by ne</w:t>
      </w:r>
      <w:r w:rsidR="00646A9C">
        <w:t>u</w:t>
      </w:r>
      <w:r w:rsidR="00DE1807">
        <w:t>roge</w:t>
      </w:r>
      <w:r w:rsidR="005C0814">
        <w:t xml:space="preserve">nesis to 0_POA_1 </w:t>
      </w:r>
      <w:r w:rsidR="002278A8">
        <w:t>while</w:t>
      </w:r>
      <w:r w:rsidR="005C0814">
        <w:t xml:space="preserve"> late sex change is </w:t>
      </w:r>
      <w:r w:rsidR="00A10378">
        <w:t>characterized</w:t>
      </w:r>
      <w:r w:rsidR="005C0814">
        <w:t xml:space="preserve"> by neurogenesis to 6_POA_2. </w:t>
      </w:r>
    </w:p>
    <w:p w14:paraId="0094D28B" w14:textId="61FE5E34" w:rsidR="00591D01" w:rsidRPr="00B9688E" w:rsidRDefault="00591D01" w:rsidP="0009551F">
      <w:pPr>
        <w:rPr>
          <w:strike/>
        </w:rPr>
      </w:pPr>
      <w:r w:rsidRPr="00B9688E">
        <w:rPr>
          <w:strike/>
        </w:rPr>
        <w:tab/>
        <w:t xml:space="preserve">Further support for this hypothesis comes from examination of the cellular distributon of the stemness marker </w:t>
      </w:r>
      <w:r w:rsidRPr="00B9688E">
        <w:rPr>
          <w:i/>
          <w:iCs/>
          <w:strike/>
        </w:rPr>
        <w:t xml:space="preserve">sox2 </w:t>
      </w:r>
      <w:r w:rsidRPr="00B9688E">
        <w:rPr>
          <w:strike/>
        </w:rPr>
        <w:t>(</w:t>
      </w:r>
      <w:r w:rsidRPr="00B9688E">
        <w:rPr>
          <w:strike/>
          <w:highlight w:val="yellow"/>
        </w:rPr>
        <w:t>CITATION</w:t>
      </w:r>
      <w:r w:rsidRPr="00B9688E">
        <w:rPr>
          <w:strike/>
        </w:rPr>
        <w:t xml:space="preserve">). Expression of </w:t>
      </w:r>
      <w:r w:rsidRPr="00B9688E">
        <w:rPr>
          <w:i/>
          <w:iCs/>
          <w:strike/>
        </w:rPr>
        <w:t xml:space="preserve">sox2 </w:t>
      </w:r>
      <w:r w:rsidRPr="00B9688E">
        <w:rPr>
          <w:strike/>
        </w:rPr>
        <w:t>robustly matched our hypothesized lineage from RGCs to cluster 6_POA_2 and 0_POA_1 (</w:t>
      </w:r>
      <w:r w:rsidRPr="00B9688E">
        <w:rPr>
          <w:strike/>
          <w:highlight w:val="yellow"/>
        </w:rPr>
        <w:t>supplementary figures</w:t>
      </w:r>
      <w:r w:rsidRPr="00B9688E">
        <w:rPr>
          <w:strike/>
        </w:rPr>
        <w:t>)</w:t>
      </w:r>
      <w:r w:rsidR="00817BDE" w:rsidRPr="00B9688E">
        <w:rPr>
          <w:strike/>
        </w:rPr>
        <w:t xml:space="preserve">, and lineage 8 (and 7? Test) had a significantly higher proportion of </w:t>
      </w:r>
      <w:r w:rsidR="00817BDE" w:rsidRPr="00B9688E">
        <w:rPr>
          <w:i/>
          <w:iCs/>
          <w:strike/>
        </w:rPr>
        <w:t>sox2+</w:t>
      </w:r>
      <w:r w:rsidR="00817BDE" w:rsidRPr="00B9688E">
        <w:rPr>
          <w:strike/>
        </w:rPr>
        <w:t xml:space="preserve"> cells than cells not in lineage 8 (</w:t>
      </w:r>
      <w:r w:rsidR="00817BDE" w:rsidRPr="00B9688E">
        <w:rPr>
          <w:strike/>
          <w:highlight w:val="yellow"/>
        </w:rPr>
        <w:t>supplemental figure),</w:t>
      </w:r>
      <w:r w:rsidR="00817BDE" w:rsidRPr="00B9688E">
        <w:rPr>
          <w:strike/>
        </w:rPr>
        <w:t xml:space="preserve"> or a random selection of cells of the same size (</w:t>
      </w:r>
      <w:r w:rsidR="00817BDE" w:rsidRPr="00B9688E">
        <w:rPr>
          <w:strike/>
          <w:highlight w:val="yellow"/>
        </w:rPr>
        <w:t>supplemental figure</w:t>
      </w:r>
      <w:r w:rsidR="00817BDE" w:rsidRPr="00B9688E">
        <w:rPr>
          <w:strike/>
        </w:rPr>
        <w:t xml:space="preserve">). Lineage 8 was further enriched for other transcription factors including </w:t>
      </w:r>
      <w:r w:rsidR="00817BDE" w:rsidRPr="00B9688E">
        <w:rPr>
          <w:i/>
          <w:iCs/>
          <w:strike/>
        </w:rPr>
        <w:t>sox5</w:t>
      </w:r>
      <w:r w:rsidR="00817BDE" w:rsidRPr="00B9688E">
        <w:rPr>
          <w:strike/>
        </w:rPr>
        <w:t xml:space="preserve">, </w:t>
      </w:r>
    </w:p>
    <w:p w14:paraId="144DB989" w14:textId="77777777" w:rsidR="00646A9C" w:rsidRDefault="00646A9C" w:rsidP="0009551F"/>
    <w:p w14:paraId="5D962D2F" w14:textId="4375BDFE" w:rsidR="00640BF9" w:rsidRPr="00591D01" w:rsidRDefault="00087EE3" w:rsidP="00D87C79">
      <w:r>
        <w:tab/>
      </w:r>
      <w:commentRangeStart w:id="9"/>
      <w:commentRangeStart w:id="10"/>
      <w:commentRangeStart w:id="11"/>
      <w:r>
        <w:t xml:space="preserve">In line with the idea that changes in E2 signaling are responsible for regulating changes in neurogenesis across sex change, </w:t>
      </w:r>
      <w:r w:rsidR="004B0DD4">
        <w:t xml:space="preserve">in our DEG analysis, </w:t>
      </w:r>
      <w:r w:rsidR="004B0DD4">
        <w:rPr>
          <w:i/>
          <w:iCs/>
        </w:rPr>
        <w:t>esr2b</w:t>
      </w:r>
      <w:r w:rsidR="004B0DD4">
        <w:t xml:space="preserve"> was significantly upregulated in </w:t>
      </w:r>
      <w:r w:rsidR="00BF75F6">
        <w:t>9_Mixed_1 during the intermediate-female transition</w:t>
      </w:r>
      <w:r w:rsidR="0033003B">
        <w:t xml:space="preserve"> (</w:t>
      </w:r>
      <w:r w:rsidR="00911510" w:rsidRPr="00911510">
        <w:rPr>
          <w:highlight w:val="yellow"/>
        </w:rPr>
        <w:t>Fig. 3g</w:t>
      </w:r>
      <w:r w:rsidR="0033003B">
        <w:t>)</w:t>
      </w:r>
      <w:r w:rsidR="002E4F30">
        <w:t xml:space="preserve">. </w:t>
      </w:r>
      <w:r w:rsidR="00A05303">
        <w:t xml:space="preserve">This is consistent with a model where low E2 signaling permits RGC proliferation and neurogenesis, and </w:t>
      </w:r>
      <w:r w:rsidR="00D439B4">
        <w:t xml:space="preserve">once cells reach the 9_Mixed_1 state, increased E2 signaling via </w:t>
      </w:r>
      <w:r w:rsidR="00E3657E">
        <w:t>increased</w:t>
      </w:r>
      <w:r w:rsidR="00D439B4">
        <w:t xml:space="preserve"> </w:t>
      </w:r>
      <w:r w:rsidR="00D439B4">
        <w:rPr>
          <w:i/>
          <w:iCs/>
        </w:rPr>
        <w:t xml:space="preserve">esr2b </w:t>
      </w:r>
      <w:r w:rsidR="00E3657E">
        <w:t>expression</w:t>
      </w:r>
      <w:r w:rsidR="00D439B4">
        <w:rPr>
          <w:i/>
          <w:iCs/>
        </w:rPr>
        <w:t xml:space="preserve"> </w:t>
      </w:r>
      <w:r w:rsidR="00D439B4">
        <w:t>biases cell fate</w:t>
      </w:r>
      <w:r w:rsidR="004100AC">
        <w:t xml:space="preserve"> away from 0_POA_1 and</w:t>
      </w:r>
      <w:r w:rsidR="00D439B4">
        <w:t xml:space="preserve"> </w:t>
      </w:r>
      <w:r w:rsidR="00362F5A">
        <w:t>toward 6_POA_</w:t>
      </w:r>
      <w:r w:rsidR="004100AC">
        <w:t>2</w:t>
      </w:r>
      <w:r w:rsidR="00BF75F6">
        <w:t xml:space="preserve">. </w:t>
      </w:r>
      <w:commentRangeEnd w:id="9"/>
      <w:r w:rsidR="00EB6C42" w:rsidRPr="00591D01">
        <w:rPr>
          <w:rStyle w:val="CommentReference"/>
          <w:sz w:val="24"/>
          <w:szCs w:val="30"/>
        </w:rPr>
        <w:commentReference w:id="9"/>
      </w:r>
      <w:commentRangeEnd w:id="10"/>
      <w:r w:rsidR="008E218F" w:rsidRPr="00591D01">
        <w:rPr>
          <w:rStyle w:val="CommentReference"/>
          <w:sz w:val="24"/>
          <w:szCs w:val="30"/>
        </w:rPr>
        <w:commentReference w:id="10"/>
      </w:r>
      <w:commentRangeEnd w:id="11"/>
      <w:r w:rsidR="00591D01" w:rsidRPr="00591D01">
        <w:rPr>
          <w:rStyle w:val="CommentReference"/>
          <w:sz w:val="24"/>
          <w:szCs w:val="30"/>
        </w:rPr>
        <w:commentReference w:id="11"/>
      </w:r>
    </w:p>
    <w:p w14:paraId="4C90E567" w14:textId="77777777" w:rsidR="0085038B" w:rsidRDefault="0085038B" w:rsidP="0085038B">
      <w:pPr>
        <w:keepNext/>
      </w:pPr>
      <w:r>
        <w:rPr>
          <w:b/>
          <w:bCs/>
          <w:noProof/>
        </w:rPr>
        <w:lastRenderedPageBreak/>
        <w:drawing>
          <wp:inline distT="0" distB="0" distL="0" distR="0" wp14:anchorId="1D4BB5C3" wp14:editId="77671F36">
            <wp:extent cx="5943600" cy="7694295"/>
            <wp:effectExtent l="0" t="0" r="0" b="1905"/>
            <wp:docPr id="1060308227" name="Picture 5" descr="A collage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08227" name="Picture 5" descr="A collage of graphs and diagram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7694295"/>
                    </a:xfrm>
                    <a:prstGeom prst="rect">
                      <a:avLst/>
                    </a:prstGeom>
                  </pic:spPr>
                </pic:pic>
              </a:graphicData>
            </a:graphic>
          </wp:inline>
        </w:drawing>
      </w:r>
    </w:p>
    <w:p w14:paraId="13065F79" w14:textId="6DFEA3E4" w:rsidR="0085038B" w:rsidRPr="00F462F2" w:rsidRDefault="0085038B" w:rsidP="00E03CAE">
      <w:pPr>
        <w:pStyle w:val="Caption"/>
        <w:rPr>
          <w:b/>
          <w:i w:val="0"/>
          <w:color w:val="000000" w:themeColor="text1"/>
          <w:sz w:val="24"/>
          <w:szCs w:val="24"/>
        </w:rPr>
      </w:pPr>
      <w:r w:rsidRPr="00A10378">
        <w:rPr>
          <w:b/>
          <w:i w:val="0"/>
          <w:color w:val="000000" w:themeColor="text1"/>
          <w:sz w:val="24"/>
          <w:szCs w:val="24"/>
        </w:rPr>
        <w:t xml:space="preserve">Figure </w:t>
      </w:r>
      <w:r w:rsidRPr="00A10378">
        <w:rPr>
          <w:b/>
          <w:i w:val="0"/>
          <w:color w:val="000000" w:themeColor="text1"/>
          <w:sz w:val="24"/>
          <w:szCs w:val="24"/>
        </w:rPr>
        <w:fldChar w:fldCharType="begin"/>
      </w:r>
      <w:r w:rsidRPr="00A10378">
        <w:rPr>
          <w:b/>
          <w:i w:val="0"/>
          <w:color w:val="000000" w:themeColor="text1"/>
          <w:sz w:val="24"/>
          <w:szCs w:val="24"/>
        </w:rPr>
        <w:instrText xml:space="preserve"> SEQ Figure \* ARABIC </w:instrText>
      </w:r>
      <w:r w:rsidRPr="00A10378">
        <w:rPr>
          <w:b/>
          <w:i w:val="0"/>
          <w:color w:val="000000" w:themeColor="text1"/>
          <w:sz w:val="24"/>
          <w:szCs w:val="24"/>
        </w:rPr>
        <w:fldChar w:fldCharType="separate"/>
      </w:r>
      <w:r w:rsidRPr="00A10378">
        <w:rPr>
          <w:b/>
          <w:i w:val="0"/>
          <w:color w:val="000000" w:themeColor="text1"/>
          <w:sz w:val="24"/>
          <w:szCs w:val="24"/>
        </w:rPr>
        <w:t>3</w:t>
      </w:r>
      <w:r w:rsidRPr="00A10378">
        <w:rPr>
          <w:b/>
          <w:i w:val="0"/>
          <w:color w:val="000000" w:themeColor="text1"/>
          <w:sz w:val="24"/>
          <w:szCs w:val="24"/>
        </w:rPr>
        <w:fldChar w:fldCharType="end"/>
      </w:r>
      <w:r w:rsidR="00A10378">
        <w:rPr>
          <w:b/>
          <w:bCs/>
          <w:i w:val="0"/>
          <w:iCs w:val="0"/>
          <w:color w:val="000000" w:themeColor="text1"/>
          <w:sz w:val="24"/>
          <w:szCs w:val="24"/>
        </w:rPr>
        <w:t xml:space="preserve">. </w:t>
      </w:r>
      <w:r w:rsidR="00870124">
        <w:rPr>
          <w:b/>
          <w:bCs/>
          <w:i w:val="0"/>
          <w:iCs w:val="0"/>
          <w:color w:val="000000" w:themeColor="text1"/>
          <w:sz w:val="24"/>
          <w:szCs w:val="24"/>
        </w:rPr>
        <w:t>a</w:t>
      </w:r>
      <w:r w:rsidR="00A10378">
        <w:rPr>
          <w:b/>
          <w:bCs/>
          <w:i w:val="0"/>
          <w:iCs w:val="0"/>
          <w:color w:val="000000" w:themeColor="text1"/>
          <w:sz w:val="24"/>
          <w:szCs w:val="24"/>
        </w:rPr>
        <w:t xml:space="preserve">) </w:t>
      </w:r>
      <w:r w:rsidR="00617190">
        <w:rPr>
          <w:i w:val="0"/>
          <w:iCs w:val="0"/>
          <w:color w:val="000000" w:themeColor="text1"/>
          <w:sz w:val="24"/>
          <w:szCs w:val="24"/>
        </w:rPr>
        <w:t>Brain aromatase (</w:t>
      </w:r>
      <w:r w:rsidR="00617190" w:rsidRPr="00617190">
        <w:rPr>
          <w:color w:val="000000" w:themeColor="text1"/>
          <w:sz w:val="24"/>
          <w:szCs w:val="24"/>
        </w:rPr>
        <w:t>cyp19a1b</w:t>
      </w:r>
      <w:r w:rsidR="00617190">
        <w:rPr>
          <w:i w:val="0"/>
          <w:iCs w:val="0"/>
          <w:color w:val="000000" w:themeColor="text1"/>
          <w:sz w:val="24"/>
          <w:szCs w:val="24"/>
        </w:rPr>
        <w:t xml:space="preserve">) expression in 1_RGC. </w:t>
      </w:r>
      <w:r w:rsidR="00870124">
        <w:rPr>
          <w:b/>
          <w:bCs/>
          <w:i w:val="0"/>
          <w:iCs w:val="0"/>
          <w:color w:val="000000" w:themeColor="text1"/>
          <w:sz w:val="24"/>
          <w:szCs w:val="24"/>
        </w:rPr>
        <w:t>b</w:t>
      </w:r>
      <w:r w:rsidR="00617190">
        <w:rPr>
          <w:b/>
          <w:bCs/>
          <w:i w:val="0"/>
          <w:iCs w:val="0"/>
          <w:color w:val="000000" w:themeColor="text1"/>
          <w:sz w:val="24"/>
          <w:szCs w:val="24"/>
        </w:rPr>
        <w:t xml:space="preserve">) </w:t>
      </w:r>
      <w:r w:rsidR="00617190">
        <w:rPr>
          <w:i w:val="0"/>
          <w:iCs w:val="0"/>
          <w:color w:val="000000" w:themeColor="text1"/>
          <w:sz w:val="24"/>
          <w:szCs w:val="24"/>
        </w:rPr>
        <w:t xml:space="preserve">Left panel: UMAP projection showing 1_RGC highlighted against the other clusters in blue. Right panel: UMAP projection showing the subclusters of 1_RGC. </w:t>
      </w:r>
      <w:r w:rsidR="00870124">
        <w:rPr>
          <w:b/>
          <w:bCs/>
          <w:i w:val="0"/>
          <w:iCs w:val="0"/>
          <w:color w:val="000000" w:themeColor="text1"/>
          <w:sz w:val="24"/>
          <w:szCs w:val="24"/>
        </w:rPr>
        <w:t>c</w:t>
      </w:r>
      <w:r w:rsidR="00617190">
        <w:rPr>
          <w:i w:val="0"/>
          <w:iCs w:val="0"/>
          <w:color w:val="000000" w:themeColor="text1"/>
          <w:sz w:val="24"/>
          <w:szCs w:val="24"/>
        </w:rPr>
        <w:t>)</w:t>
      </w:r>
      <w:r w:rsidR="00870124">
        <w:rPr>
          <w:i w:val="0"/>
          <w:iCs w:val="0"/>
          <w:color w:val="000000" w:themeColor="text1"/>
          <w:sz w:val="24"/>
          <w:szCs w:val="24"/>
        </w:rPr>
        <w:t xml:space="preserve"> Proportion of </w:t>
      </w:r>
      <w:r w:rsidR="00DF79DD">
        <w:rPr>
          <w:i w:val="0"/>
          <w:iCs w:val="0"/>
          <w:color w:val="000000" w:themeColor="text1"/>
          <w:sz w:val="24"/>
          <w:szCs w:val="24"/>
        </w:rPr>
        <w:t xml:space="preserve">cells </w:t>
      </w:r>
      <w:r w:rsidR="008F713A">
        <w:rPr>
          <w:i w:val="0"/>
          <w:iCs w:val="0"/>
          <w:color w:val="000000" w:themeColor="text1"/>
          <w:sz w:val="24"/>
          <w:szCs w:val="24"/>
        </w:rPr>
        <w:t xml:space="preserve">in 1_RGC belonging to </w:t>
      </w:r>
      <w:r w:rsidR="000B3BBF">
        <w:rPr>
          <w:i w:val="0"/>
          <w:iCs w:val="0"/>
          <w:color w:val="000000" w:themeColor="text1"/>
          <w:sz w:val="24"/>
          <w:szCs w:val="24"/>
        </w:rPr>
        <w:t xml:space="preserve">subclusters 1_3 </w:t>
      </w:r>
      <w:r w:rsidR="000B3BBF">
        <w:rPr>
          <w:i w:val="0"/>
          <w:iCs w:val="0"/>
          <w:color w:val="000000" w:themeColor="text1"/>
          <w:sz w:val="24"/>
          <w:szCs w:val="24"/>
        </w:rPr>
        <w:lastRenderedPageBreak/>
        <w:t xml:space="preserve">(left), 1_2 (middle), and 1_0 (right). Error bars show standard error of the mean. </w:t>
      </w:r>
      <w:r w:rsidR="000B3BBF" w:rsidRPr="000B3BBF">
        <w:rPr>
          <w:b/>
          <w:bCs/>
          <w:i w:val="0"/>
          <w:iCs w:val="0"/>
          <w:color w:val="000000" w:themeColor="text1"/>
          <w:sz w:val="24"/>
          <w:szCs w:val="24"/>
        </w:rPr>
        <w:t>d)</w:t>
      </w:r>
      <w:r w:rsidR="000B3BBF">
        <w:rPr>
          <w:b/>
          <w:bCs/>
          <w:i w:val="0"/>
          <w:iCs w:val="0"/>
          <w:color w:val="000000" w:themeColor="text1"/>
          <w:sz w:val="24"/>
          <w:szCs w:val="24"/>
        </w:rPr>
        <w:t xml:space="preserve"> </w:t>
      </w:r>
      <w:r w:rsidR="000B3BBF">
        <w:rPr>
          <w:i w:val="0"/>
          <w:iCs w:val="0"/>
          <w:color w:val="000000" w:themeColor="text1"/>
          <w:sz w:val="24"/>
          <w:szCs w:val="24"/>
        </w:rPr>
        <w:t>UMAP projection of the object with pseudotemporal lineages predicted by Slingshot overlayed and clusters of interest outlined.</w:t>
      </w:r>
      <w:r w:rsidR="008F713A">
        <w:rPr>
          <w:i w:val="0"/>
          <w:iCs w:val="0"/>
          <w:color w:val="000000" w:themeColor="text1"/>
          <w:sz w:val="24"/>
          <w:szCs w:val="24"/>
        </w:rPr>
        <w:t xml:space="preserve"> </w:t>
      </w:r>
      <w:r w:rsidR="002B0016" w:rsidRPr="002B0016">
        <w:rPr>
          <w:b/>
          <w:bCs/>
          <w:i w:val="0"/>
          <w:iCs w:val="0"/>
          <w:color w:val="000000" w:themeColor="text1"/>
          <w:sz w:val="24"/>
          <w:szCs w:val="24"/>
        </w:rPr>
        <w:t>e)</w:t>
      </w:r>
      <w:r w:rsidR="002B0016">
        <w:rPr>
          <w:b/>
          <w:bCs/>
          <w:i w:val="0"/>
          <w:iCs w:val="0"/>
          <w:color w:val="000000" w:themeColor="text1"/>
          <w:sz w:val="24"/>
          <w:szCs w:val="24"/>
        </w:rPr>
        <w:t xml:space="preserve"> </w:t>
      </w:r>
      <w:r w:rsidR="002B0016">
        <w:rPr>
          <w:i w:val="0"/>
          <w:iCs w:val="0"/>
          <w:color w:val="000000" w:themeColor="text1"/>
          <w:sz w:val="24"/>
          <w:szCs w:val="24"/>
        </w:rPr>
        <w:t xml:space="preserve">Proportion of cells for each cluster predicted to belong to 1_0 based on the top 2000 ATAC and 2000 RNA variable features. Cluster 9_Mixed_1 was overwhelmingly predicted to be the cluster most similar to 1_0 and was the only observation above the null prediction. </w:t>
      </w:r>
      <w:r w:rsidR="00107DC2">
        <w:rPr>
          <w:i w:val="0"/>
          <w:iCs w:val="0"/>
          <w:color w:val="000000" w:themeColor="text1"/>
          <w:sz w:val="24"/>
          <w:szCs w:val="24"/>
        </w:rPr>
        <w:t xml:space="preserve">“*” indicates </w:t>
      </w:r>
      <w:r w:rsidR="00107DC2">
        <w:rPr>
          <w:color w:val="000000" w:themeColor="text1"/>
          <w:sz w:val="24"/>
          <w:szCs w:val="24"/>
        </w:rPr>
        <w:t>p&lt;</w:t>
      </w:r>
      <w:r w:rsidR="00107DC2" w:rsidRPr="00107DC2">
        <w:rPr>
          <w:i w:val="0"/>
          <w:iCs w:val="0"/>
          <w:color w:val="000000" w:themeColor="text1"/>
          <w:sz w:val="24"/>
          <w:szCs w:val="24"/>
        </w:rPr>
        <w:t>0.05</w:t>
      </w:r>
      <w:r w:rsidR="00107DC2">
        <w:rPr>
          <w:i w:val="0"/>
          <w:iCs w:val="0"/>
          <w:color w:val="000000" w:themeColor="text1"/>
          <w:sz w:val="24"/>
          <w:szCs w:val="24"/>
        </w:rPr>
        <w:t>.</w:t>
      </w:r>
      <w:r w:rsidR="002B0016">
        <w:rPr>
          <w:i w:val="0"/>
          <w:iCs w:val="0"/>
          <w:color w:val="000000" w:themeColor="text1"/>
          <w:sz w:val="24"/>
          <w:szCs w:val="24"/>
        </w:rPr>
        <w:t xml:space="preserve"> </w:t>
      </w:r>
      <w:r w:rsidR="002B0016" w:rsidRPr="007C7603">
        <w:rPr>
          <w:b/>
          <w:i w:val="0"/>
          <w:color w:val="000000" w:themeColor="text1"/>
          <w:sz w:val="24"/>
          <w:szCs w:val="24"/>
        </w:rPr>
        <w:t>f)</w:t>
      </w:r>
      <w:r w:rsidR="002B0016">
        <w:rPr>
          <w:i w:val="0"/>
          <w:iCs w:val="0"/>
          <w:color w:val="000000" w:themeColor="text1"/>
          <w:sz w:val="24"/>
          <w:szCs w:val="24"/>
        </w:rPr>
        <w:t xml:space="preserve"> Proportion of cells for each cluster predicted to belong to 9_Mixed_1 based on the top 2000 ATAC and 2000 RNA variable features split by phase. Clusters 0_POA_1 </w:t>
      </w:r>
      <w:r w:rsidR="0079056B">
        <w:rPr>
          <w:i w:val="0"/>
          <w:iCs w:val="0"/>
          <w:color w:val="000000" w:themeColor="text1"/>
          <w:sz w:val="24"/>
          <w:szCs w:val="24"/>
        </w:rPr>
        <w:t>and 6_POA_2 were the only clusters to have observations above the null prediction. Letters indicate pairwise differences</w:t>
      </w:r>
      <w:r w:rsidR="007C7603">
        <w:rPr>
          <w:i w:val="0"/>
          <w:iCs w:val="0"/>
          <w:color w:val="000000" w:themeColor="text1"/>
          <w:sz w:val="24"/>
          <w:szCs w:val="24"/>
        </w:rPr>
        <w:t xml:space="preserve"> calculated from using pairwise Wilcoxon test</w:t>
      </w:r>
      <w:r w:rsidR="000A40F9">
        <w:rPr>
          <w:i w:val="0"/>
          <w:iCs w:val="0"/>
          <w:color w:val="000000" w:themeColor="text1"/>
          <w:sz w:val="24"/>
          <w:szCs w:val="24"/>
        </w:rPr>
        <w:t xml:space="preserve">. </w:t>
      </w:r>
      <w:r w:rsidR="000A40F9">
        <w:rPr>
          <w:b/>
          <w:bCs/>
          <w:i w:val="0"/>
          <w:iCs w:val="0"/>
          <w:color w:val="000000" w:themeColor="text1"/>
          <w:sz w:val="24"/>
          <w:szCs w:val="24"/>
        </w:rPr>
        <w:t>g)</w:t>
      </w:r>
      <w:r w:rsidR="000A40F9">
        <w:rPr>
          <w:i w:val="0"/>
          <w:iCs w:val="0"/>
          <w:color w:val="000000" w:themeColor="text1"/>
          <w:sz w:val="24"/>
          <w:szCs w:val="24"/>
        </w:rPr>
        <w:t xml:space="preserve"> Expression of </w:t>
      </w:r>
      <w:r w:rsidR="00DE65C4">
        <w:rPr>
          <w:color w:val="000000" w:themeColor="text1"/>
          <w:sz w:val="24"/>
          <w:szCs w:val="24"/>
        </w:rPr>
        <w:t>esr2b</w:t>
      </w:r>
      <w:r w:rsidR="00DE65C4">
        <w:rPr>
          <w:i w:val="0"/>
          <w:iCs w:val="0"/>
          <w:color w:val="000000" w:themeColor="text1"/>
          <w:sz w:val="24"/>
          <w:szCs w:val="24"/>
        </w:rPr>
        <w:t xml:space="preserve"> in 9_Mixed_1. </w:t>
      </w:r>
      <w:r w:rsidR="00DE65C4">
        <w:rPr>
          <w:b/>
          <w:bCs/>
          <w:i w:val="0"/>
          <w:iCs w:val="0"/>
          <w:color w:val="000000" w:themeColor="text1"/>
          <w:sz w:val="24"/>
          <w:szCs w:val="24"/>
        </w:rPr>
        <w:t>h)</w:t>
      </w:r>
      <w:r w:rsidR="0079056B">
        <w:rPr>
          <w:i w:val="0"/>
          <w:iCs w:val="0"/>
          <w:color w:val="000000" w:themeColor="text1"/>
          <w:sz w:val="24"/>
          <w:szCs w:val="24"/>
        </w:rPr>
        <w:t xml:space="preserve"> </w:t>
      </w:r>
      <w:r w:rsidR="00DE65C4">
        <w:rPr>
          <w:i w:val="0"/>
          <w:iCs w:val="0"/>
          <w:color w:val="000000" w:themeColor="text1"/>
          <w:sz w:val="24"/>
          <w:szCs w:val="24"/>
        </w:rPr>
        <w:t xml:space="preserve">UMAP projection of 1_RGC colored by expression of </w:t>
      </w:r>
      <w:r w:rsidR="00DE65C4">
        <w:rPr>
          <w:color w:val="000000" w:themeColor="text1"/>
          <w:sz w:val="24"/>
          <w:szCs w:val="24"/>
        </w:rPr>
        <w:t>cyp19a1b</w:t>
      </w:r>
      <w:r w:rsidR="00DE65C4">
        <w:rPr>
          <w:i w:val="0"/>
          <w:iCs w:val="0"/>
          <w:color w:val="000000" w:themeColor="text1"/>
          <w:sz w:val="24"/>
          <w:szCs w:val="24"/>
        </w:rPr>
        <w:t xml:space="preserve">. Subclusters 1_3, 1_2, and 1_0 were the only populations to express </w:t>
      </w:r>
      <w:r w:rsidR="00F462F2">
        <w:rPr>
          <w:color w:val="000000" w:themeColor="text1"/>
          <w:sz w:val="24"/>
          <w:szCs w:val="24"/>
        </w:rPr>
        <w:t>cyp19a1b</w:t>
      </w:r>
      <w:r w:rsidR="00F462F2">
        <w:rPr>
          <w:i w:val="0"/>
          <w:iCs w:val="0"/>
          <w:color w:val="000000" w:themeColor="text1"/>
          <w:sz w:val="24"/>
          <w:szCs w:val="24"/>
        </w:rPr>
        <w:t xml:space="preserve"> to an appreciable extent. In </w:t>
      </w:r>
      <w:r w:rsidR="00F462F2">
        <w:rPr>
          <w:b/>
          <w:bCs/>
          <w:i w:val="0"/>
          <w:iCs w:val="0"/>
          <w:color w:val="000000" w:themeColor="text1"/>
          <w:sz w:val="24"/>
          <w:szCs w:val="24"/>
        </w:rPr>
        <w:t xml:space="preserve">a, </w:t>
      </w:r>
      <w:r w:rsidR="00542110">
        <w:rPr>
          <w:b/>
          <w:bCs/>
          <w:i w:val="0"/>
          <w:iCs w:val="0"/>
          <w:color w:val="000000" w:themeColor="text1"/>
          <w:sz w:val="24"/>
          <w:szCs w:val="24"/>
        </w:rPr>
        <w:t>c</w:t>
      </w:r>
      <w:r w:rsidR="00200C78">
        <w:rPr>
          <w:b/>
          <w:bCs/>
          <w:i w:val="0"/>
          <w:iCs w:val="0"/>
          <w:color w:val="000000" w:themeColor="text1"/>
          <w:sz w:val="24"/>
          <w:szCs w:val="24"/>
        </w:rPr>
        <w:t xml:space="preserve">, g, </w:t>
      </w:r>
      <w:r w:rsidR="00C25C66" w:rsidRPr="009A4A0C">
        <w:rPr>
          <w:i w:val="0"/>
          <w:iCs w:val="0"/>
          <w:sz w:val="24"/>
          <w:szCs w:val="24"/>
        </w:rPr>
        <w:t xml:space="preserve">“*” indicates </w:t>
      </w:r>
      <w:r w:rsidR="00C25C66" w:rsidRPr="009A4A0C">
        <w:rPr>
          <w:sz w:val="24"/>
          <w:szCs w:val="24"/>
        </w:rPr>
        <w:t>p</w:t>
      </w:r>
      <w:r w:rsidR="00C25C66" w:rsidRPr="009A4A0C">
        <w:rPr>
          <w:i w:val="0"/>
          <w:iCs w:val="0"/>
          <w:sz w:val="24"/>
          <w:szCs w:val="24"/>
        </w:rPr>
        <w:t xml:space="preserve"> &lt; 0.05, “**” indicates </w:t>
      </w:r>
      <w:r w:rsidR="00C25C66" w:rsidRPr="009A4A0C">
        <w:rPr>
          <w:sz w:val="24"/>
          <w:szCs w:val="24"/>
        </w:rPr>
        <w:t xml:space="preserve">p &lt; </w:t>
      </w:r>
      <w:r w:rsidR="00C25C66" w:rsidRPr="009A4A0C">
        <w:rPr>
          <w:i w:val="0"/>
          <w:iCs w:val="0"/>
          <w:sz w:val="24"/>
          <w:szCs w:val="24"/>
        </w:rPr>
        <w:t>0.01</w:t>
      </w:r>
      <w:r w:rsidR="00C25C66" w:rsidRPr="009A4A0C">
        <w:rPr>
          <w:sz w:val="24"/>
          <w:szCs w:val="24"/>
        </w:rPr>
        <w:t xml:space="preserve">, </w:t>
      </w:r>
      <w:r w:rsidR="00C25C66" w:rsidRPr="009A4A0C">
        <w:rPr>
          <w:i w:val="0"/>
          <w:iCs w:val="0"/>
          <w:sz w:val="24"/>
          <w:szCs w:val="24"/>
        </w:rPr>
        <w:t xml:space="preserve">and “***” indicates </w:t>
      </w:r>
      <w:r w:rsidR="00C25C66" w:rsidRPr="009A4A0C">
        <w:rPr>
          <w:sz w:val="24"/>
          <w:szCs w:val="24"/>
        </w:rPr>
        <w:t>p &lt;</w:t>
      </w:r>
      <w:r w:rsidR="00C25C66" w:rsidRPr="009A4A0C">
        <w:rPr>
          <w:i w:val="0"/>
          <w:iCs w:val="0"/>
          <w:sz w:val="24"/>
          <w:szCs w:val="24"/>
        </w:rPr>
        <w:t xml:space="preserve"> 0.001.</w:t>
      </w:r>
      <w:r w:rsidR="00C25C66">
        <w:rPr>
          <w:i w:val="0"/>
          <w:iCs w:val="0"/>
          <w:sz w:val="24"/>
          <w:szCs w:val="24"/>
        </w:rPr>
        <w:t xml:space="preserve"> </w:t>
      </w:r>
      <w:r w:rsidR="00107DC2">
        <w:rPr>
          <w:i w:val="0"/>
          <w:iCs w:val="0"/>
          <w:sz w:val="24"/>
          <w:szCs w:val="24"/>
        </w:rPr>
        <w:t xml:space="preserve">Pairwise comparisons are only shown for males, intermediates, and females. In a, g, </w:t>
      </w:r>
      <w:r w:rsidR="00384AE0">
        <w:rPr>
          <w:i w:val="0"/>
          <w:iCs w:val="0"/>
          <w:sz w:val="24"/>
          <w:szCs w:val="24"/>
        </w:rPr>
        <w:t xml:space="preserve">boxes indicate IQR and whiskers indicate 1.5 x IQR. </w:t>
      </w:r>
    </w:p>
    <w:p w14:paraId="4F15F162" w14:textId="087A8BF7" w:rsidR="00AA26C3" w:rsidRDefault="00AA26C3" w:rsidP="00AA26C3">
      <w:pPr>
        <w:pStyle w:val="Heading1"/>
      </w:pPr>
      <w:r>
        <w:t>New Cells Added to 6_POA_2</w:t>
      </w:r>
      <w:r w:rsidR="005A4481">
        <w:t xml:space="preserve"> Integrate Into Local Circuits</w:t>
      </w:r>
      <w:r w:rsidR="001D7721">
        <w:t xml:space="preserve"> </w:t>
      </w:r>
      <w:r w:rsidR="0015431E">
        <w:t>and Express Distinct Patterns of Neurotransmitters, Neuromodulators, Neuropeptides, and Steroid Hormone Receptors</w:t>
      </w:r>
    </w:p>
    <w:p w14:paraId="2C523B47" w14:textId="4A9435C4" w:rsidR="00D87C79" w:rsidRDefault="00A9423F" w:rsidP="00CC5781">
      <w:pPr>
        <w:ind w:firstLine="720"/>
      </w:pPr>
      <w:r>
        <w:t>Given the large number of DEGs, l</w:t>
      </w:r>
      <w:r w:rsidR="00CD1433">
        <w:t>ate predicted sex change, and</w:t>
      </w:r>
      <w:r w:rsidR="004F453A">
        <w:t xml:space="preserve"> </w:t>
      </w:r>
      <w:r w:rsidR="00CD1433">
        <w:t>neurogenesis popul</w:t>
      </w:r>
      <w:r w:rsidR="00D62854">
        <w:t>ating 6_POA_2, we next focused our analysis on this cluster</w:t>
      </w:r>
      <w:r w:rsidR="00EC540D">
        <w:t xml:space="preserve"> (</w:t>
      </w:r>
      <w:r w:rsidR="00EC540D" w:rsidRPr="00EC540D">
        <w:rPr>
          <w:highlight w:val="yellow"/>
        </w:rPr>
        <w:t>Fig. 4a</w:t>
      </w:r>
      <w:r w:rsidR="00EC540D">
        <w:t>)</w:t>
      </w:r>
      <w:r w:rsidR="00D62854">
        <w:t xml:space="preserve">. </w:t>
      </w:r>
      <w:r w:rsidR="00646B40">
        <w:t xml:space="preserve">Gene ontology (GO) analysis of the DEGs in 6_POA_2 found several </w:t>
      </w:r>
      <w:r w:rsidR="005D76E5">
        <w:t>genes</w:t>
      </w:r>
      <w:r w:rsidR="00646B40">
        <w:t xml:space="preserve"> related to </w:t>
      </w:r>
      <w:r w:rsidR="00CD0DB2">
        <w:t xml:space="preserve">the </w:t>
      </w:r>
      <w:r w:rsidR="00646B40">
        <w:t>perineuronal net</w:t>
      </w:r>
      <w:r w:rsidR="005D76E5">
        <w:t xml:space="preserve"> change over the course of sex change</w:t>
      </w:r>
      <w:r w:rsidR="00311BE8">
        <w:t xml:space="preserve"> (</w:t>
      </w:r>
      <w:r w:rsidR="00EC540D" w:rsidRPr="00EC540D">
        <w:rPr>
          <w:highlight w:val="yellow"/>
        </w:rPr>
        <w:t>Fig.</w:t>
      </w:r>
      <w:commentRangeStart w:id="12"/>
      <w:r w:rsidR="00EC540D" w:rsidRPr="00EC540D">
        <w:rPr>
          <w:highlight w:val="yellow"/>
        </w:rPr>
        <w:t>4b</w:t>
      </w:r>
      <w:commentRangeEnd w:id="12"/>
      <w:r w:rsidR="00EC540D">
        <w:rPr>
          <w:rStyle w:val="CommentReference"/>
          <w:sz w:val="24"/>
          <w:szCs w:val="30"/>
        </w:rPr>
        <w:commentReference w:id="12"/>
      </w:r>
      <w:r w:rsidR="00311BE8">
        <w:t>)</w:t>
      </w:r>
      <w:r w:rsidR="008A61DE">
        <w:t>, and several DEGs were associated with the extracellular matrix (ECM), cell-cell adhesion, and the synapse (</w:t>
      </w:r>
      <w:r w:rsidR="008A61DE" w:rsidRPr="006728DC">
        <w:rPr>
          <w:highlight w:val="yellow"/>
        </w:rPr>
        <w:t>supplementary figure x</w:t>
      </w:r>
      <w:r w:rsidR="008A61DE">
        <w:t>)</w:t>
      </w:r>
      <w:r w:rsidR="003C6CC2">
        <w:t>.</w:t>
      </w:r>
      <w:r w:rsidR="008A61DE">
        <w:fldChar w:fldCharType="begin"/>
      </w:r>
      <w:r w:rsidR="00AE547C">
        <w:instrText xml:space="preserve"> ADDIN ZOTERO_ITEM CSL_CITATION {"citationID":"rIAQhBds","properties":{"unsorted":false,"formattedCitation":"\\super 35\\uc0\\u8211{}42\\nosupersub{}","plainCitation":"35–42","noteIndex":0},"citationItems":[{"id":4906,"uris":["http://zotero.org/users/11313215/items/GI87VEQV"],"itemData":{"id":4906,"type":"article-journal","abstract":"Synaptic cell adhesion molecules (SCAMs) are a functional category of cell adhesion molecules that connect pre- and postsynapses by the protein-protein interaction via their extracellular cell adhesion domains. Countless numbers of common genetic variants and rare mutations in SCAMs have been identified in the patients with autism spectrum disorders (ASDs). Among these, NRXN and NLGN family proteins cooperatively function at synaptic terminals both of which genes are strongly implicated as risk genes for ASDs. Knock-in mice carrying a single rare point mutation of NLGN3 (NLGN3 R451C) discovered in the patients with ASDs display a deficit in social interaction and an enhancement of spatial learning and memory ability reminiscent of the clinical phenotype of ASDs. NLGN4 knockout (KO) and NRXN2α KO mice also show a deficit in sociability as well as some specific neuropsychiatric behaviors. In this review, we selected NRXNs/NLGNs, CNTNAP2/CNTNAP4, CNTN4, ITGB3, and KIRREL3 as strong ASD risk genes based on SFARI score and summarize the protein structures, functions at synapses, representative discoveries in human genetic studies, and phenotypes of the mutant model mice in light of the pathophysiology of ASDs.","collection-title":"Development of Fast Neurotransmitter Synapses: general principles","container-title":"Brain Research Bulletin","DOI":"10.1016/j.brainresbull.2016.10.006","ISSN":"0361-9230","journalAbbreviation":"Brain Research Bulletin","page":"82-90","source":"ScienceDirect","title":"Distortion of the normal function of synaptic cell adhesion molecules by genetic variants as a risk for autism spectrum disorders","volume":"129","author":[{"family":"Baig","given":"Deeba Noreen"},{"family":"Yanagawa","given":"Toru"},{"family":"Tabuchi","given":"Katsuhiko"}],"issued":{"date-parts":[["2017",3,1]]}}},{"id":4907,"uris":["http://zotero.org/users/11313215/items/E5U59VBA"],"itemData":{"id":4907,"type":"article-journal","abstract":"Contactins are a group of cell adhesion molecules that are mainly expressed in the brain and play pivotal roles in the organization of axonal domains, axonal guidance, neuritogenesis, neuronal development, synapse formation and plasticity, axo-glia interactions and neural regeneration. Contactins comprise a family of six members. Their absence leads to malformed axons and impaired nerve conduction. Contactin mediated protein complex formation is critical for the organization of the axon in early central nervous system development. Mutations and differential expression of contactins have been identified in neuro-developmental or neurological disorders. Taken together, contactins are extensively studied in the context of nervous system development. This review summarizes the physiological roles of all six members of the Contactin family in neurodevelopment as well as their involvement in neurological/neurodevelopmental disorders.","container-title":"Neural Regeneration Research","DOI":"10.4103/1673-5374.244776","ISSN":"1673-5374","issue":"2","language":"en-US","page":"206","source":"journals.lww.com","title":"Contactins in the central nervous system: role in health and disease","title-short":"Contactins in the central nervous system","volume":"14","author":[{"family":"Chatterjee","given":"Madhurima"},{"family":"Schild","given":"Detlev"},{"family":"Teunissen","given":"Charlotte E."}],"issued":{"date-parts":[["2019",2]]}}},{"id":5433,"uris":["http://zotero.org/users/11313215/items/384A87JC"],"itemData":{"id":5433,"type":"article-journal","container-title":"Trends in Neurosciences","DOI":"10.1016/j.tins.2008.07.001","ISSN":"0166-2236, 1878-108X","issue":"9","journalAbbreviation":"Trends in Neurosciences","language":"English","page":"487-494","PMID":"18684518","publisher":"Elsevier","source":"www.cell.com","title":"Cadherins and catenins at synapses: roles in synaptogenesis and synaptic plasticity","title-short":"Cadherins and catenins at synapses","volume":"31","author":[{"family":"Arikkath","given":"Jyothi"},{"family":"Reichardt","given":"Louis F."}],"issued":{"date-parts":[["2008",9,1]]}}},{"id":4905,"uris":["http://zotero.org/users/11313215/items/H9CVX626"],"itemData":{"id":4905,"type":"article-journal","abstract":"The members of the Syndecan family of heparan sulfate proteoglycans play diverse roles in cell adhesion and cell communication by serving as co-receptors for both cell-signaling and extracellular matrix molecules. Syndecan-2 has been implicated in the formation of specialized membrane domains and functions as a direct link between the extracellular environment and the organization of the cortical cytoplasm. Recent studies have shown that syndecan-2 is required for angiogenesis, possibly by serving as a co-receptor for vascular endothelial growth factor, and cell-to-cell signaling during development of left–right asymmetry. This unique combination of activities suggests that syndecan-2 can function as a potential drug target for the development of multi-functional, anti-cancer therapeutics.","container-title":"The International Journal of Biochemistry &amp; Cell Biology","DOI":"10.1016/j.biocel.2005.08.012","ISSN":"1357-2725","issue":"2","journalAbbreviation":"The International Journal of Biochemistry &amp; Cell Biology","page":"152-156","source":"ScienceDirect","title":"Syndecan-2","volume":"38","author":[{"family":"Essner","given":"Jeffrey J."},{"family":"Chen","given":"Eleanor"},{"family":"Ekker","given":"Stephen C."}],"issued":{"date-parts":[["2006",2,1]]}}},{"id":5341,"uris":["http://zotero.org/users/11313215/items/PXQFESGC"],"itemData":{"id":5341,"type":"article-journal","abstract":"&lt;p&gt;A second dermatan sulfate epimerase (DS-epi2) was identified as a homolog of the first epimerase (DS-epi1), which was previously described by our group. DS-epi2 is 1,222 amino acids long and has an </w:instrText>
      </w:r>
      <w:r w:rsidR="00AE547C">
        <w:rPr>
          <w:rFonts w:ascii="Cambria Math" w:hAnsi="Cambria Math" w:cs="Cambria Math"/>
        </w:rPr>
        <w:instrText>∼</w:instrText>
      </w:r>
      <w:r w:rsidR="00AE547C">
        <w:instrText xml:space="preserve">700-amino acid N-terminal epimerase domain that is highly conserved between the two enzymes. In addition, the C-terminal portion is predicted to be an &lt;i&gt;O&lt;/i&gt;-sulfotransferase domain. In this study we found that DS-epi2 has epimerase activity, which involves conversion of d-glucuronic acid to l-iduronic acid (EC 5.1.3.19), but no &lt;i&gt;O&lt;/i&gt;-sulfotransferase activity was detected. In dermatan sulfate, iduronic acid residues are either clustered together in blocks or alternating with glucuronic acid, forming hybrid structures. By using a short interfering RNA approach, we found that DS-epi2 and DS-epi1 are both involved in the biosynthesis of the iduronic acid blocks in fibroblasts and that DS-epi2 can also synthesize the hybrid structures. Both iduronic acid-containing domains have been shown to bind to several growth factors, many of which have biological roles in brain development. DS-epi2 has been genetically linked to bipolar disorder, which suggests that the dermatan sulfate domains generated by a defective enzyme may be involved in the etiology of the disease.&lt;/p&gt;","container-title":"Journal of Biological Chemistry","DOI":"10.1074/jbc.M809339200","ISSN":"0021-9258, 1083-351X","issue":"15","journalAbbreviation":"Journal of Biological Chemistry","language":"English","page":"9788-9795","PMID":"19188366","publisher":"Elsevier","source":"www.jbc.org","title":"Two Dermatan Sulfate Epimerases Form Iduronic Acid Domains in Dermatan Sulfate *","volume":"284","author":[{"family":"Pacheco","given":"Benny"},{"family":"Malmström","given":"Anders"},{"family":"Maccarana","given":"Marco"}],"issued":{"date-parts":[["2009",4,10]]}}},{"id":4871,"uris":["http://zotero.org/users/11313215/items/YNIIJR7C"],"itemData":{"id":4871,"type":"article-journal","abstract":"The presence of iduronic acid in chondroitin/dermatan sulfate changes the properties of the polysaccharides because it generates a more flexible chain with increased binding potentials. Iduronic acid in chondroitin/dermatan sulfate influences multiple cellular properties, such as migration, proliferation, differentiation, angiogenesis and the regulation of cytokine/growth factor activities. Under pathological conditions such as wound healing, inflammation and cancer, iduronic acid has diverse regulatory functions. Iduronic acid is formed by two epimerases (i.e. dermatan sulfate epimerase 1 and 2) that have different tissue distribution and properties. The role of iduronic acid in chondroitin/dermatan sulfate is highlighted by the vast changes in connective tissue features in patients with a new type of Ehler–Danlos syndrome: adducted thumb-clubfoot syndrome. Future research aims to understand the roles of the two epimerases and their interplay with the sulfotransferases involved in chondroitin sulfate/dermatan sulfate biosynthesis. Furthermore, a better definition of chondroitin/dermatan sulfate functions using different knockout models is needed. In this review, we focus on the two enzymes responsible for iduronic acid formation, as well as the role of iduronic acid in health and disease.","container-title":"The FEBS Journal","DOI":"10.1111/febs.12214","ISSN":"1742-4658","issue":"10","language":"en","note":"_eprint: https://febs.onlinelibrary.wiley.com/doi/pdf/10.1111/febs.12214","page":"2431-2446","source":"Wiley Online Library","title":"Biological functions of iduronic acid in chondroitin/dermatan sulfate","volume":"280","author":[{"family":"Thelin","given":"Martin A."},{"family":"Bartolini","given":"Barbara"},{"family":"Axelsson","given":"Jakob"},{"family":"Gustafsson","given":"Renata"},{"family":"Tykesson","given":"Emil"},{"family":"Pera","given":"Edgar"},{"family":"Oldberg","given":"Åke"},{"family":"Maccarana","given":"Marco"},{"family":"Malmstrom","given":"Anders"}],"issued":{"date-parts":[["2013"]]}}},{"id":4904,"uris":["http://zotero.org/users/11313215/items/NKICCA78"],"itemData":{"id":4904,"type":"article-journal","abstract":"Brevican is a neural proteoglycan implicated in a multitude of physiological and pathophysiological plasticity processes in the brain. It localizes to neuronal surfaces and contributes to the formation of specific types of extracellular matrix like the perineuronal nets or the perisynaptic or axon initial segment-based matrix in mature neuronal tissue. Via a variable degree of chondroitin sulfate attachment, limited proteolytic cleavage by matrix metalloproteinases, differential splicing and Ca2+-dependent binding to interaction partners it acts as a regulator in synaptic plasticity, glioma invasion, post-lesion plasticity or Alzheimer's disease. This review briefly summarizes its gene and protein structure, biochemical interactions and neurobiological functions.","container-title":"The International Journal of Biochemistry &amp; Cell Biology","DOI":"10.1016/j.biocel.2012.03.022","ISSN":"1357-2725","issue":"7","journalAbbreviation":"The International Journal of Biochemistry &amp; Cell Biology","page":"1051-1054","source":"ScienceDirect","title":"Brevican: A key proteoglycan in the perisynaptic extracellular matrix of the brain","title-short":"Brevican","volume":"44","author":[{"family":"Frischknecht","given":"Renato"},{"family":"Seidenbecher","given":"Constanze I."}],"issued":{"date-parts":[["2012",7,1]]}}},{"id":5290,"uris":["http://zotero.org/users/11313215/items/GWHRXIRF"],"itemData":{"id":5290,"type":"article-journal","abstract":"Perineuronal nets (PNNs) are unique extracellular matrix structures that wrap around certain neurons in the CNS during development and control plasticity in the adult CNS. They appear to contribute to a wide range of diseases/disorders of the brain, are involved in recovery from spinal cord injury, and are altered during aging, learning and memory, and after exposure to drugs of abuse. Here the focus is on how a major component of PNNs, chondroitin sulfate proteoglycans, control plasticity, and on the role of PNNs in memory in normal aging, in a tauopathy model of Alzheimer's disease, and in drug addiction. Also discussed is how altered extracellular matrix/PNN formation during development may produce synaptic pathology associated with schizophrenia, bipolar disorder, major depression, and autism spectrum disorders. Understanding the molecular underpinnings of how PNNs are altered in normal physiology and disease will offer insights into new treatment approaches for these diseases.","container-title":"Journal of Neuroscience","DOI":"10.1523/JNEUROSCI.2351-16.2016","ISSN":"0270-6474, 1529-2401","issue":"45","journalAbbreviation":"J. Neurosci.","language":"en","license":"Copyright © 2016 the authors 0270-6474/16/3611459-10$15.00/0","page":"11459-11468","PMID":"27911749","publisher":"Society for Neuroscience","section":"Symposium and Mini-Symposium","source":"www.jneurosci.org","title":"Casting a Wide Net: Role of Perineuronal Nets in Neural Plasticity","title-short":"Casting a Wide Net","volume":"36","author":[{"family":"Sorg","given":"Barbara A."},{"family":"Berretta","given":"Sabina"},{"family":"Blacktop","given":"Jordan M."},{"family":"Fawcett","given":"James W."},{"family":"Kitagawa","given":"Hiroshi"},{"family":"Kwok","given":"Jessica C. F."},{"family":"Miquel","given":"Marta"}],"issued":{"date-parts":[["2016",11,9]]}}}],"schema":"https://github.com/citation-style-language/schema/raw/master/csl-citation.json"} </w:instrText>
      </w:r>
      <w:r w:rsidR="008A61DE">
        <w:fldChar w:fldCharType="separate"/>
      </w:r>
      <w:r w:rsidR="00434F3C" w:rsidRPr="00434F3C">
        <w:rPr>
          <w:rFonts w:cs="Times New Roman"/>
          <w:color w:val="000000"/>
          <w:kern w:val="0"/>
          <w:szCs w:val="24"/>
          <w:vertAlign w:val="superscript"/>
        </w:rPr>
        <w:t>35–42</w:t>
      </w:r>
      <w:r w:rsidR="008A61DE">
        <w:fldChar w:fldCharType="end"/>
      </w:r>
      <w:r w:rsidR="008A61DE">
        <w:t xml:space="preserve"> </w:t>
      </w:r>
      <w:r w:rsidR="00B152F9">
        <w:t>Given this,</w:t>
      </w:r>
      <w:r w:rsidR="00D87C79">
        <w:t xml:space="preserve"> </w:t>
      </w:r>
      <w:r w:rsidR="005B04BE">
        <w:t xml:space="preserve">we hypothesized </w:t>
      </w:r>
      <w:r w:rsidR="00B152F9">
        <w:t>these DEGs</w:t>
      </w:r>
      <w:r w:rsidR="005B04BE">
        <w:t xml:space="preserve"> could indicate the integration</w:t>
      </w:r>
      <w:r w:rsidR="00CC5781">
        <w:t xml:space="preserve"> of new cells into their local circuit. </w:t>
      </w:r>
    </w:p>
    <w:p w14:paraId="0FD9AE08" w14:textId="0C39FF0E" w:rsidR="00C2662C" w:rsidRDefault="00DD5ECB" w:rsidP="0015431E">
      <w:pPr>
        <w:ind w:firstLine="720"/>
      </w:pPr>
      <w:r>
        <w:t>To test the hypothesis that DEGs</w:t>
      </w:r>
      <w:r w:rsidR="00B3265C">
        <w:t xml:space="preserve"> </w:t>
      </w:r>
      <w:r w:rsidR="00F755F6">
        <w:t>related to the ECM and perineuronal net</w:t>
      </w:r>
      <w:r w:rsidR="0032090A">
        <w:t xml:space="preserve"> (</w:t>
      </w:r>
      <w:r w:rsidR="002973F7">
        <w:t>ECM-DEGs)</w:t>
      </w:r>
      <w:r w:rsidR="00F755F6">
        <w:t xml:space="preserve"> in</w:t>
      </w:r>
      <w:r>
        <w:t xml:space="preserve"> 6_POA_2 </w:t>
      </w:r>
      <w:r w:rsidR="00D4428C">
        <w:t>were indicative of new cells</w:t>
      </w:r>
      <w:r w:rsidR="00F755F6">
        <w:t xml:space="preserve"> integrating into lo</w:t>
      </w:r>
      <w:r w:rsidR="00F104CF">
        <w:t>cal circuits</w:t>
      </w:r>
      <w:r w:rsidR="00D4428C">
        <w:t xml:space="preserve">, we used CytoTRACE to </w:t>
      </w:r>
      <w:r w:rsidR="00CA26F0">
        <w:t xml:space="preserve">compare the </w:t>
      </w:r>
      <w:r w:rsidR="00F104CF">
        <w:t xml:space="preserve">relative </w:t>
      </w:r>
      <w:r w:rsidR="00CA26F0">
        <w:t>maturity of cells expressing</w:t>
      </w:r>
      <w:r w:rsidR="002973F7">
        <w:t xml:space="preserve"> ECM-DEGs to th</w:t>
      </w:r>
      <w:r w:rsidR="008C6D34">
        <w:t>ose not</w:t>
      </w:r>
      <w:r w:rsidR="003F17BF">
        <w:t xml:space="preserve"> expressing ECM-DEGs</w:t>
      </w:r>
      <w:r w:rsidR="00CA26F0">
        <w:t xml:space="preserve"> (</w:t>
      </w:r>
      <w:r w:rsidR="00CA26F0" w:rsidRPr="00A070EB">
        <w:rPr>
          <w:highlight w:val="yellow"/>
        </w:rPr>
        <w:t>methods</w:t>
      </w:r>
      <w:r w:rsidR="00CA26F0">
        <w:t>).</w:t>
      </w:r>
      <w:r w:rsidR="00A070EB">
        <w:t xml:space="preserve"> </w:t>
      </w:r>
      <w:r w:rsidR="00385DA0">
        <w:t xml:space="preserve">Indeed, </w:t>
      </w:r>
      <w:r w:rsidR="00DA46F1">
        <w:t xml:space="preserve">ECM-DEG+ cells were significantly less mature than their </w:t>
      </w:r>
      <w:r w:rsidR="00373882">
        <w:t>ECM-DEG- counterparts</w:t>
      </w:r>
      <w:r w:rsidR="00D4333B">
        <w:t xml:space="preserve"> (higher CytoTRACE score)</w:t>
      </w:r>
      <w:r w:rsidR="00373882">
        <w:t xml:space="preserve">. Further, </w:t>
      </w:r>
      <w:r w:rsidR="00D4333B">
        <w:t>we</w:t>
      </w:r>
      <w:r w:rsidR="00373882">
        <w:t xml:space="preserve"> found a significant </w:t>
      </w:r>
      <w:r w:rsidR="00C92481">
        <w:t>phase difference in cellular maturity among ECM-DEG + cells. Females had significantly more mature ECM-DEG+ cells than males and intermediates</w:t>
      </w:r>
      <w:r w:rsidR="006613B3">
        <w:t xml:space="preserve"> (</w:t>
      </w:r>
      <w:r w:rsidR="00EC540D" w:rsidRPr="00EC540D">
        <w:rPr>
          <w:highlight w:val="yellow"/>
        </w:rPr>
        <w:t>Fig.4c</w:t>
      </w:r>
      <w:r w:rsidR="006613B3">
        <w:t>)</w:t>
      </w:r>
      <w:r w:rsidR="00C92481">
        <w:t xml:space="preserve">. Taken together, these findings are consistent with a model where new cells are added to 6_POA_2, they express ECM-DEGs as they integrate into local circuits and begin to </w:t>
      </w:r>
      <w:r w:rsidR="00414ABE">
        <w:t>mature</w:t>
      </w:r>
      <w:r w:rsidR="00C92481">
        <w:t xml:space="preserve">. </w:t>
      </w:r>
      <w:r w:rsidR="00414ABE">
        <w:t xml:space="preserve">In females, these cells have had the most time to mature </w:t>
      </w:r>
      <w:r w:rsidR="00A804DE">
        <w:t>which is reflected by their lower CytoTRACE score.</w:t>
      </w:r>
      <w:r w:rsidR="006613B3">
        <w:t xml:space="preserve"> </w:t>
      </w:r>
    </w:p>
    <w:p w14:paraId="14903246" w14:textId="523F6233" w:rsidR="004F7BCD" w:rsidRPr="00A64BD1" w:rsidRDefault="00A64BD1" w:rsidP="004F7BCD">
      <w:r>
        <w:tab/>
      </w:r>
      <w:r w:rsidR="007E567F">
        <w:t xml:space="preserve">Our DEG analysis of 6_POA_2 </w:t>
      </w:r>
      <w:r w:rsidR="0015431E">
        <w:t xml:space="preserve">also </w:t>
      </w:r>
      <w:r w:rsidR="007E567F">
        <w:t>detected several DEGs related to neural communication</w:t>
      </w:r>
      <w:r w:rsidR="00E61619">
        <w:t xml:space="preserve"> including neurotransmitters, neuromod</w:t>
      </w:r>
      <w:r w:rsidR="001A3926">
        <w:t xml:space="preserve">ulators, </w:t>
      </w:r>
      <w:r w:rsidR="00055AD9">
        <w:t>neuropeptides, and steroid hormones. Because sex change is associated with changes in all of these systems</w:t>
      </w:r>
      <w:r w:rsidR="00107B77">
        <w:t>,</w:t>
      </w:r>
      <w:r w:rsidR="00055AD9">
        <w:fldChar w:fldCharType="begin"/>
      </w:r>
      <w:r w:rsidR="00AE547C">
        <w:instrText xml:space="preserve"> ADDIN ZOTERO_ITEM CSL_CITATION {"citationID":"aZP8dlyj","properties":{"formattedCitation":"\\super 8\\nosupersub{}","plainCitation":"8","noteIndex":0},"citationItems":[{"id":3213,"uris":["http://zotero.org/users/11313215/items/RWMZ9QFA"],"itemData":{"id":3213,"type":"article-journal","abstract":"BACKGROUND: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055AD9">
        <w:fldChar w:fldCharType="separate"/>
      </w:r>
      <w:r w:rsidR="00434F3C" w:rsidRPr="00434F3C">
        <w:rPr>
          <w:rFonts w:cs="Times New Roman"/>
          <w:color w:val="000000"/>
          <w:kern w:val="0"/>
          <w:szCs w:val="24"/>
          <w:vertAlign w:val="superscript"/>
        </w:rPr>
        <w:t>8</w:t>
      </w:r>
      <w:r w:rsidR="00055AD9">
        <w:fldChar w:fldCharType="end"/>
      </w:r>
      <w:r w:rsidR="00107B77">
        <w:t xml:space="preserve"> we hypothesized that these could also be new cells</w:t>
      </w:r>
      <w:r w:rsidR="004A16AD">
        <w:t xml:space="preserve"> added to the cluster. </w:t>
      </w:r>
      <w:r w:rsidR="004F7BCD">
        <w:t xml:space="preserve">As above, we split 6_POA_2 cells into neurotransmitter DEG (NT-DEG) + and NT-DEG- </w:t>
      </w:r>
      <w:r w:rsidR="00FB0BEF">
        <w:t xml:space="preserve">and assessed </w:t>
      </w:r>
      <w:r w:rsidR="00173987">
        <w:t>their relative cellular maturity</w:t>
      </w:r>
      <w:r w:rsidR="004F7BCD">
        <w:t>. Again, NT-DEG+ cells were significantly less mature than NT-DEG- cells</w:t>
      </w:r>
      <w:r w:rsidR="00FB1977">
        <w:t xml:space="preserve"> and in</w:t>
      </w:r>
      <w:r w:rsidR="004F7BCD">
        <w:t xml:space="preserve"> females NT-DEG+ cells were more mature than intermediate NT-DEG+ cells</w:t>
      </w:r>
      <w:r w:rsidR="00893D91">
        <w:t xml:space="preserve">. </w:t>
      </w:r>
      <w:r w:rsidR="00A16FD3">
        <w:t xml:space="preserve">Importantly, </w:t>
      </w:r>
      <w:r w:rsidR="00B0537F">
        <w:t>the majority of NT-DEG+ cells</w:t>
      </w:r>
      <w:r w:rsidR="00725B8F">
        <w:t xml:space="preserve"> are also ECM-DEG+ cells</w:t>
      </w:r>
      <w:r w:rsidR="00B25AAF">
        <w:t xml:space="preserve"> (</w:t>
      </w:r>
      <w:r w:rsidR="00FA5723" w:rsidRPr="00FA5723">
        <w:rPr>
          <w:highlight w:val="yellow"/>
        </w:rPr>
        <w:t>Fig.4d</w:t>
      </w:r>
      <w:r w:rsidR="00B25AAF">
        <w:t>)</w:t>
      </w:r>
      <w:r w:rsidR="0002416D">
        <w:t xml:space="preserve"> (</w:t>
      </w:r>
      <w:r w:rsidR="003571B4">
        <w:t>Jaccard Similarity = 0.66)</w:t>
      </w:r>
      <w:r w:rsidR="00725B8F">
        <w:t xml:space="preserve">. </w:t>
      </w:r>
    </w:p>
    <w:p w14:paraId="70565DAB" w14:textId="77777777" w:rsidR="004F7BCD" w:rsidRDefault="004F7BCD" w:rsidP="00D87C79"/>
    <w:p w14:paraId="134BF3ED" w14:textId="0DB95BC7" w:rsidR="00C576FF" w:rsidRDefault="00AD350A" w:rsidP="00C576FF">
      <w:pPr>
        <w:pStyle w:val="Heading1"/>
      </w:pPr>
      <w:r>
        <w:t xml:space="preserve">Changes in </w:t>
      </w:r>
      <w:r w:rsidR="005E0D03">
        <w:t xml:space="preserve">Neural </w:t>
      </w:r>
      <w:r w:rsidR="00C576FF">
        <w:t>Communication in 6_POA_2</w:t>
      </w:r>
    </w:p>
    <w:p w14:paraId="0AAD31F3" w14:textId="1FD2EA47" w:rsidR="00EC7B2B" w:rsidRDefault="007E567F" w:rsidP="00582279">
      <w:r>
        <w:t xml:space="preserve"> </w:t>
      </w:r>
      <w:r w:rsidR="00C576FF">
        <w:tab/>
      </w:r>
      <w:commentRangeStart w:id="13"/>
      <w:r w:rsidR="00992FA0">
        <w:t>There was a broad divergence in the expression patterns of the NT-DEGs described above. For example,</w:t>
      </w:r>
      <w:r w:rsidR="00195856">
        <w:t xml:space="preserve"> in intermediates both</w:t>
      </w:r>
      <w:r w:rsidR="00992FA0">
        <w:t xml:space="preserve"> the</w:t>
      </w:r>
      <w:r w:rsidR="00A64BD1">
        <w:t xml:space="preserve"> type A GABA receptor </w:t>
      </w:r>
      <w:r w:rsidR="00A64BD1">
        <w:rPr>
          <w:i/>
          <w:iCs/>
        </w:rPr>
        <w:t>gabra3</w:t>
      </w:r>
      <w:r w:rsidR="00195856">
        <w:t xml:space="preserve"> and the metabotropic glutamate receptor </w:t>
      </w:r>
      <w:r w:rsidR="00195856">
        <w:rPr>
          <w:i/>
          <w:iCs/>
        </w:rPr>
        <w:t>grm5a</w:t>
      </w:r>
      <w:r w:rsidR="00195856">
        <w:t xml:space="preserve"> were significantly downregulated</w:t>
      </w:r>
      <w:r w:rsidR="00C72F1D">
        <w:t xml:space="preserve"> relative to males, but during the intermediate-female transition, </w:t>
      </w:r>
      <w:r w:rsidR="00C72F1D">
        <w:rPr>
          <w:i/>
          <w:iCs/>
        </w:rPr>
        <w:t>gabra3</w:t>
      </w:r>
      <w:r w:rsidR="00C72F1D">
        <w:t xml:space="preserve"> was further downregulated while </w:t>
      </w:r>
      <w:r w:rsidR="00C72F1D">
        <w:rPr>
          <w:i/>
          <w:iCs/>
        </w:rPr>
        <w:t xml:space="preserve">grm5a </w:t>
      </w:r>
      <w:r w:rsidR="00DD2BF8">
        <w:lastRenderedPageBreak/>
        <w:t>expression increased to above male levels (</w:t>
      </w:r>
      <w:r w:rsidR="003F7F31">
        <w:t>supplemental fig</w:t>
      </w:r>
      <w:r w:rsidR="00DD2BF8">
        <w:t xml:space="preserve">). Similarly, we detected differential expression of </w:t>
      </w:r>
      <w:r w:rsidR="00B674D8">
        <w:t xml:space="preserve">both the progesterone receptor </w:t>
      </w:r>
      <w:r w:rsidR="00B674D8">
        <w:rPr>
          <w:i/>
          <w:iCs/>
        </w:rPr>
        <w:t>pgr</w:t>
      </w:r>
      <w:r w:rsidR="00B674D8">
        <w:t xml:space="preserve">, and </w:t>
      </w:r>
      <w:r w:rsidR="00B674D8">
        <w:rPr>
          <w:i/>
          <w:iCs/>
        </w:rPr>
        <w:t>pgrl (</w:t>
      </w:r>
      <w:r w:rsidR="00B674D8" w:rsidRPr="00B674D8">
        <w:t>pgr-like</w:t>
      </w:r>
      <w:r w:rsidR="00B674D8">
        <w:rPr>
          <w:i/>
          <w:iCs/>
        </w:rPr>
        <w:t xml:space="preserve">, </w:t>
      </w:r>
      <w:r w:rsidR="00B674D8" w:rsidRPr="00A64BD1">
        <w:rPr>
          <w:i/>
          <w:iCs/>
        </w:rPr>
        <w:t>LOC111568069</w:t>
      </w:r>
      <w:r w:rsidR="00B674D8">
        <w:rPr>
          <w:i/>
          <w:iCs/>
        </w:rPr>
        <w:t>)</w:t>
      </w:r>
      <w:r w:rsidR="00B674D8">
        <w:t xml:space="preserve">, however </w:t>
      </w:r>
      <w:r w:rsidR="000C7647">
        <w:t xml:space="preserve">their expression was discordant in intermediates. </w:t>
      </w:r>
      <w:r w:rsidR="000C7647">
        <w:rPr>
          <w:i/>
          <w:iCs/>
        </w:rPr>
        <w:t>Pgr</w:t>
      </w:r>
      <w:r w:rsidR="000C7647">
        <w:t xml:space="preserve"> was transiently downregulated in intermediates before increasing in females, while </w:t>
      </w:r>
      <w:r w:rsidR="000C7647">
        <w:rPr>
          <w:i/>
          <w:iCs/>
        </w:rPr>
        <w:t>pgrl</w:t>
      </w:r>
      <w:r w:rsidR="000C7647">
        <w:t xml:space="preserve"> did not change during the male-intermediate transition, and only increased in females (</w:t>
      </w:r>
      <w:r w:rsidR="003F7F31">
        <w:t>supplemental fig</w:t>
      </w:r>
      <w:r w:rsidR="000C7647">
        <w:t>.).</w:t>
      </w:r>
      <w:r w:rsidR="007375A2">
        <w:t xml:space="preserve"> Other </w:t>
      </w:r>
      <w:r w:rsidR="008C1BF7">
        <w:t xml:space="preserve">changes included early downregulation of </w:t>
      </w:r>
      <w:r w:rsidR="008C1BF7">
        <w:rPr>
          <w:i/>
          <w:iCs/>
        </w:rPr>
        <w:t>nm</w:t>
      </w:r>
      <w:r w:rsidR="000C03A3">
        <w:rPr>
          <w:i/>
          <w:iCs/>
        </w:rPr>
        <w:t>br</w:t>
      </w:r>
      <w:r w:rsidR="000C03A3">
        <w:t xml:space="preserve"> and </w:t>
      </w:r>
      <w:r w:rsidR="000C03A3">
        <w:rPr>
          <w:i/>
          <w:iCs/>
        </w:rPr>
        <w:t>npy7r</w:t>
      </w:r>
      <w:r w:rsidR="000C03A3">
        <w:t xml:space="preserve">, early upregulation of </w:t>
      </w:r>
      <w:r w:rsidR="000C03A3">
        <w:rPr>
          <w:i/>
          <w:iCs/>
        </w:rPr>
        <w:t>drd3</w:t>
      </w:r>
      <w:r w:rsidR="000C03A3">
        <w:t xml:space="preserve">, </w:t>
      </w:r>
      <w:r w:rsidR="00E028AE">
        <w:t xml:space="preserve">transient downregulation of </w:t>
      </w:r>
      <w:r w:rsidR="00E028AE" w:rsidRPr="00A64BD1">
        <w:t>urokinase plasminogen activator surface receptor-like</w:t>
      </w:r>
      <w:r w:rsidR="00E028AE">
        <w:t xml:space="preserve"> (</w:t>
      </w:r>
      <w:r w:rsidR="00E028AE">
        <w:rPr>
          <w:i/>
          <w:iCs/>
        </w:rPr>
        <w:t xml:space="preserve">cd87l, </w:t>
      </w:r>
      <w:r w:rsidR="00E028AE" w:rsidRPr="00A64BD1">
        <w:rPr>
          <w:i/>
          <w:iCs/>
        </w:rPr>
        <w:t>LOC111577100</w:t>
      </w:r>
      <w:r w:rsidR="00E028AE">
        <w:t xml:space="preserve">), and late downregulation of </w:t>
      </w:r>
      <w:r w:rsidR="00E028AE">
        <w:rPr>
          <w:i/>
          <w:iCs/>
        </w:rPr>
        <w:t xml:space="preserve">tacr3a </w:t>
      </w:r>
      <w:r w:rsidR="00E028AE">
        <w:t>(</w:t>
      </w:r>
      <w:r w:rsidR="00E15C7F" w:rsidRPr="00340B0D">
        <w:rPr>
          <w:highlight w:val="yellow"/>
        </w:rPr>
        <w:t xml:space="preserve">supplementary </w:t>
      </w:r>
      <w:r w:rsidR="00E028AE" w:rsidRPr="00340B0D">
        <w:rPr>
          <w:highlight w:val="yellow"/>
        </w:rPr>
        <w:t>fig</w:t>
      </w:r>
      <w:r w:rsidR="00340B0D" w:rsidRPr="00340B0D">
        <w:rPr>
          <w:highlight w:val="yellow"/>
        </w:rPr>
        <w:t>s</w:t>
      </w:r>
      <w:r w:rsidR="00E028AE" w:rsidRPr="00E028AE">
        <w:rPr>
          <w:highlight w:val="yellow"/>
        </w:rPr>
        <w:t>.</w:t>
      </w:r>
      <w:r w:rsidR="00E028AE">
        <w:t>)</w:t>
      </w:r>
      <w:r w:rsidR="00AB0FF3">
        <w:t xml:space="preserve">. Thus, the intermediate state is defined by </w:t>
      </w:r>
      <w:r w:rsidR="00612FE6">
        <w:t xml:space="preserve">decreased sensitivity to several neuropeptides and </w:t>
      </w:r>
      <w:r w:rsidR="003D6609">
        <w:t>progesterone</w:t>
      </w:r>
      <w:r w:rsidR="00513E98">
        <w:t xml:space="preserve"> while the female state is defined by increased dopamine, </w:t>
      </w:r>
      <w:r w:rsidR="003D6609">
        <w:t xml:space="preserve">glutamate, and </w:t>
      </w:r>
      <w:r w:rsidR="00EC7B2B">
        <w:t>progesterone sensitivity</w:t>
      </w:r>
      <w:r w:rsidR="003D6609">
        <w:t xml:space="preserve"> and decreased sensitivity to GABA and tachykinin 3. </w:t>
      </w:r>
      <w:r w:rsidR="0018473B">
        <w:t xml:space="preserve">Taken together, these data suggest </w:t>
      </w:r>
      <w:r w:rsidR="00EA09DF">
        <w:t xml:space="preserve">a sequential change in regulation of 6_POA_2 takes place during sex change, where </w:t>
      </w:r>
      <w:r w:rsidR="00A06893">
        <w:t>neuropeptide</w:t>
      </w:r>
      <w:r w:rsidR="00693410">
        <w:t xml:space="preserve"> signaling is reduced in favor of steroid hormone and</w:t>
      </w:r>
      <w:r w:rsidR="00EC7B2B">
        <w:t xml:space="preserve"> neuromodulator signaling. </w:t>
      </w:r>
      <w:commentRangeEnd w:id="13"/>
      <w:r w:rsidR="00531D45">
        <w:rPr>
          <w:rStyle w:val="CommentReference"/>
          <w:sz w:val="24"/>
          <w:szCs w:val="30"/>
        </w:rPr>
        <w:commentReference w:id="13"/>
      </w:r>
    </w:p>
    <w:p w14:paraId="54084243" w14:textId="7977F98B" w:rsidR="00D87C79" w:rsidRDefault="00D87C79" w:rsidP="00582279">
      <w:pPr>
        <w:rPr>
          <w:b/>
          <w:bCs/>
        </w:rPr>
      </w:pPr>
      <w:r>
        <w:rPr>
          <w:b/>
          <w:bCs/>
        </w:rPr>
        <w:tab/>
      </w:r>
    </w:p>
    <w:p w14:paraId="0E82ED26" w14:textId="77777777" w:rsidR="00935177" w:rsidRDefault="00935177" w:rsidP="00935177">
      <w:pPr>
        <w:pStyle w:val="Heading1"/>
      </w:pPr>
      <w:r w:rsidRPr="00D87C79">
        <w:t xml:space="preserve">Changes in </w:t>
      </w:r>
      <w:r>
        <w:t>Gonadotropin Regulating Cell Population</w:t>
      </w:r>
      <w:r w:rsidRPr="00D87C79">
        <w:t xml:space="preserve"> During Sex Chage</w:t>
      </w:r>
    </w:p>
    <w:p w14:paraId="34901A97" w14:textId="131DB745" w:rsidR="007F58CD" w:rsidRDefault="00935177" w:rsidP="00CF4635">
      <w:r>
        <w:rPr>
          <w:b/>
          <w:bCs/>
        </w:rPr>
        <w:tab/>
      </w:r>
      <w:r w:rsidR="0087547F" w:rsidRPr="0087547F">
        <w:t>Since p</w:t>
      </w:r>
      <w:r w:rsidR="00966869">
        <w:t>rotandrous sex change</w:t>
      </w:r>
      <w:r>
        <w:t xml:space="preserve"> necessitates a switch in gonadotropin signaling</w:t>
      </w:r>
      <w:r w:rsidR="0087547F">
        <w:t xml:space="preserve"> from the pituitary</w:t>
      </w:r>
      <w:r>
        <w:t>,</w:t>
      </w:r>
      <w:r w:rsidR="005A72E3">
        <w:t xml:space="preserve"> factors </w:t>
      </w:r>
      <w:r w:rsidR="0087547F">
        <w:t>regulating pituitary</w:t>
      </w:r>
      <w:r w:rsidR="005A72E3">
        <w:t xml:space="preserve"> gonadotrophs must change. However, in our DEG analysis, we did not detect any changes in </w:t>
      </w:r>
      <w:r w:rsidR="00F226AD">
        <w:t>factors known to regulate leutenizing hormone (LH) or follicle stimulating hormone (FSH) release</w:t>
      </w:r>
      <w:r w:rsidR="009B1E36">
        <w:t xml:space="preserve">, </w:t>
      </w:r>
      <w:r w:rsidR="009B1E36">
        <w:rPr>
          <w:i/>
          <w:iCs/>
        </w:rPr>
        <w:t>gnrh1</w:t>
      </w:r>
      <w:r w:rsidR="009B1E36">
        <w:t xml:space="preserve"> or </w:t>
      </w:r>
      <w:r w:rsidR="009B1E36">
        <w:rPr>
          <w:i/>
          <w:iCs/>
        </w:rPr>
        <w:t>cckb</w:t>
      </w:r>
      <w:r w:rsidR="009B1E36">
        <w:t xml:space="preserve"> respectively</w:t>
      </w:r>
      <w:r w:rsidR="00A2101E">
        <w:fldChar w:fldCharType="begin"/>
      </w:r>
      <w:r w:rsidR="00AE547C">
        <w:instrText xml:space="preserve"> ADDIN ZOTERO_ITEM CSL_CITATION {"citationID":"L1YVWMrr","properties":{"unsorted":false,"formattedCitation":"\\super 43,44\\nosupersub{}","plainCitation":"43,44","noteIndex":0},"citationItems":[{"id":2339,"uris":["http://zotero.org/users/11313215/items/AJL2IH3T"],"itemData":{"id":2339,"type":"article-journal","abstract":"Life histories of oviparous species dictate high metabolic investment in the process of gonadal development leading to ovulation. In vertebrates, these two distinct processes are controlled by the gonadotropins follicle-stimulating hormone (FSH) and luteinizing hormone (LH), respectively. While it was suggested that a common secretagogue, gonadotropin-releasing hormone (GnRH), oversees both functions, the generation of loss-of-function fish challenged this view. Here we reveal that the satiety hormone cholecystokinin (CCK) is the primary regulator of this axis in zebrafish. We found that FSH cells express a CCK receptor, and our findings demonstrate that mutating this receptor results in a severe hindrance to ovarian development. Additionally, it causes a complete shutdown of both gonadotropins secretion. Using in-vivo and ex-vivo calcium imaging of gonadotrophs, we show that GnRH predominantly activates LH cells, whereas FSH cells respond to CCK stimulation, designating CCK as the bona fide FSH secretagogue. These findings indicate that the control of gametogenesis in fish was placed under different neural circuits, that are gated by CCK.","container-title":"eLife","DOI":"10.7554/eLife.96344.1","language":"en","publisher":"eLife Sciences Publications Limited","source":"elifesciences.org","title":"The satiety hormone cholecystokinin gates reproduction in fish by controlling gonadotropin secretion","URL":"https://elifesciences.org/reviewed-preprints/96344","volume":"13","author":[{"family":"Cohen","given":"Lian Hollander"},{"family":"Cohen","given":"Omer"},{"family":"Shulman","given":"Miriam"},{"family":"Aiznkot","given":"Tomer"},{"family":"Fontanaud","given":"Pierre"},{"family":"Revah","given":"Omer"},{"family":"Mollard","given":"Patrice"},{"family":"Golan","given":"Matan"},{"family":"Sivan","given":"Berta Levavi"}],"accessed":{"date-parts":[["2024",8,15]]},"issued":{"date-parts":[["2024",5,7]]}}},{"id":5269,"uris":["http://zotero.org/users/11313215/items/8PARS2VU"],"itemData":{"id":5269,"type":"article-journal","abstract":"In vertebrates, folliculogenesis and ovulation are regulated by two distinct pituitary gonadotropins: follicle-stimulating hormone (FSH) and luteinizing hormone (LH). Currently, there is an intriguing consensus that a single hypothalamic neurohormone, gonadotropin-releasing hormone (GnRH), regulates the secretion of both FSH and LH, although the required timing and functions of FSH and LH are different. However, recent studies in many non-mammalian vertebrates indicated that GnRH is dispensable for FSH function. Here, by using medaka as a model teleost, we successfully identify cholecystokinin as the other gonadotropin regulator, FSH-releasing hormone (FSH-RH). Our histological and in vitro analyses demonstrate that hypothalamic cholecystokinin-expressing neurons directly affect FSH cells through the cholecystokinin receptor, Cck2rb, thereby increasing the expression and release of FSH. Remarkably, the knockout of this pathway minimizes FSH expression and results in a failure of folliculogenesis. Here, we propose the existence of the “dual GnRH model” in vertebrates that utilize both FSH-RH and LH-RH.","container-title":"Nature Communications","DOI":"10.1038/s41467-024-49564-8","ISSN":"2041-1723","issue":"1","journalAbbreviation":"Nat Commun","language":"en","license":"2024 The Author(s)","page":"5342","publisher":"Nature Publishing Group","source":"www.nature.com","title":"Identification of the FSH-RH as the other gonadotropin-releasing hormone","volume":"15","author":[{"family":"Uehara","given":"Shun Kenny"},{"family":"Nishiike","given":"Yuji"},{"family":"Maeda","given":"Kazuki"},{"family":"Karigo","given":"Tomomi"},{"family":"Kuraku","given":"Shigehiro"},{"family":"Okubo","given":"Kataaki"},{"family":"Kanda","given":"Shinji"}],"issued":{"date-parts":[["2024",6,27]]}}}],"schema":"https://github.com/citation-style-language/schema/raw/master/csl-citation.json"} </w:instrText>
      </w:r>
      <w:r w:rsidR="00A2101E">
        <w:fldChar w:fldCharType="separate"/>
      </w:r>
      <w:r w:rsidR="00434F3C" w:rsidRPr="00434F3C">
        <w:rPr>
          <w:rFonts w:cs="Times New Roman"/>
          <w:color w:val="000000"/>
          <w:kern w:val="0"/>
          <w:szCs w:val="24"/>
          <w:vertAlign w:val="superscript"/>
        </w:rPr>
        <w:t>43,44</w:t>
      </w:r>
      <w:r w:rsidR="00A2101E">
        <w:fldChar w:fldCharType="end"/>
      </w:r>
      <w:r w:rsidR="00F226AD">
        <w:t xml:space="preserve">. We </w:t>
      </w:r>
      <w:r w:rsidR="0087547F">
        <w:t xml:space="preserve">therefore </w:t>
      </w:r>
      <w:r w:rsidR="00F226AD">
        <w:t xml:space="preserve">reasoned that if </w:t>
      </w:r>
      <w:r w:rsidR="009B1E36">
        <w:t xml:space="preserve">there were no changes in </w:t>
      </w:r>
      <w:r w:rsidR="009B1E36">
        <w:rPr>
          <w:i/>
          <w:iCs/>
        </w:rPr>
        <w:t xml:space="preserve">gnrh1 </w:t>
      </w:r>
      <w:r w:rsidR="009B1E36">
        <w:t xml:space="preserve">or </w:t>
      </w:r>
      <w:r w:rsidR="009B1E36">
        <w:rPr>
          <w:i/>
          <w:iCs/>
        </w:rPr>
        <w:t xml:space="preserve">cckb </w:t>
      </w:r>
      <w:r w:rsidR="009B1E36" w:rsidRPr="00A2101E">
        <w:t>expressio</w:t>
      </w:r>
      <w:r w:rsidR="00A2101E">
        <w:t xml:space="preserve">n, it may be the case that differential gonadotropin release may be driven by changes in the population of cells expressing </w:t>
      </w:r>
      <w:r w:rsidR="0087547F">
        <w:rPr>
          <w:i/>
          <w:iCs/>
        </w:rPr>
        <w:t>cckb</w:t>
      </w:r>
      <w:r w:rsidR="0087547F">
        <w:t xml:space="preserve"> or </w:t>
      </w:r>
      <w:r w:rsidR="0087547F">
        <w:rPr>
          <w:i/>
          <w:iCs/>
        </w:rPr>
        <w:t>gnrh1</w:t>
      </w:r>
      <w:r w:rsidR="00A2101E">
        <w:t xml:space="preserve">. </w:t>
      </w:r>
      <w:r>
        <w:t xml:space="preserve">The number of </w:t>
      </w:r>
      <w:r>
        <w:rPr>
          <w:i/>
          <w:iCs/>
        </w:rPr>
        <w:t>gnrh1+</w:t>
      </w:r>
      <w:r>
        <w:t xml:space="preserve"> neurons in 6_POA_2 </w:t>
      </w:r>
      <w:r w:rsidR="0087547F">
        <w:t>did not significantly differ by phase</w:t>
      </w:r>
      <w:r w:rsidR="00340B0D">
        <w:t xml:space="preserve"> </w:t>
      </w:r>
      <w:r>
        <w:t>(</w:t>
      </w:r>
      <w:r>
        <w:rPr>
          <w:i/>
          <w:iCs/>
        </w:rPr>
        <w:t xml:space="preserve">p </w:t>
      </w:r>
      <w:r>
        <w:t>= 0.061)</w:t>
      </w:r>
      <w:r w:rsidRPr="002865BF">
        <w:t xml:space="preserve"> </w:t>
      </w:r>
      <w:r>
        <w:t>(</w:t>
      </w:r>
      <w:r w:rsidRPr="00FD5F4F">
        <w:rPr>
          <w:highlight w:val="yellow"/>
        </w:rPr>
        <w:t xml:space="preserve">Fig. </w:t>
      </w:r>
      <w:r w:rsidR="00340B0D">
        <w:rPr>
          <w:highlight w:val="yellow"/>
        </w:rPr>
        <w:t>4e</w:t>
      </w:r>
      <w:r>
        <w:t>)</w:t>
      </w:r>
      <w:r w:rsidR="00FD5F4F">
        <w:t>. Howev</w:t>
      </w:r>
      <w:r w:rsidR="00E142D5">
        <w:t>er,</w:t>
      </w:r>
      <w:r>
        <w:t xml:space="preserve"> the proportion of </w:t>
      </w:r>
      <w:r>
        <w:rPr>
          <w:i/>
          <w:iCs/>
        </w:rPr>
        <w:t>cckb+</w:t>
      </w:r>
      <w:r>
        <w:t xml:space="preserve"> neurons significantly increase</w:t>
      </w:r>
      <w:r w:rsidR="00E142D5">
        <w:t>d</w:t>
      </w:r>
      <w:r>
        <w:t xml:space="preserve"> </w:t>
      </w:r>
      <w:r w:rsidR="00E142D5">
        <w:t xml:space="preserve">during the intermediate-female transition </w:t>
      </w:r>
      <w:r>
        <w:t>(</w:t>
      </w:r>
      <w:r w:rsidRPr="00E142D5">
        <w:rPr>
          <w:highlight w:val="yellow"/>
        </w:rPr>
        <w:t xml:space="preserve">Fig. </w:t>
      </w:r>
      <w:r w:rsidR="00340B0D">
        <w:rPr>
          <w:highlight w:val="yellow"/>
        </w:rPr>
        <w:t>4f</w:t>
      </w:r>
      <w:r>
        <w:t>).</w:t>
      </w:r>
      <w:r w:rsidR="00E2205A">
        <w:t xml:space="preserve"> As in our ECM-DEG and NT-DEG analyses, we next asked whether </w:t>
      </w:r>
      <w:r w:rsidR="00E2205A">
        <w:rPr>
          <w:i/>
          <w:iCs/>
        </w:rPr>
        <w:t>cckb</w:t>
      </w:r>
      <w:r w:rsidR="00E2205A">
        <w:t xml:space="preserve">+ neurons were recently added to </w:t>
      </w:r>
      <w:r w:rsidR="009C4BEC">
        <w:t xml:space="preserve">6_POA_2 using CytoTRACE. </w:t>
      </w:r>
      <w:r w:rsidR="00340B0D">
        <w:t xml:space="preserve">Though the difference in CytoTRACE score between </w:t>
      </w:r>
      <w:r w:rsidR="00340B0D">
        <w:rPr>
          <w:i/>
          <w:iCs/>
        </w:rPr>
        <w:t xml:space="preserve">cckb+ </w:t>
      </w:r>
      <w:r w:rsidR="00340B0D">
        <w:t xml:space="preserve">and </w:t>
      </w:r>
      <w:r w:rsidR="00340B0D">
        <w:rPr>
          <w:i/>
          <w:iCs/>
        </w:rPr>
        <w:t xml:space="preserve">cckb- </w:t>
      </w:r>
      <w:r w:rsidR="00340B0D">
        <w:t xml:space="preserve">cells did not reach statistical significance, </w:t>
      </w:r>
      <w:r w:rsidR="00DE1894">
        <w:t xml:space="preserve">it is notable that in males and intermediates, </w:t>
      </w:r>
      <w:r w:rsidR="00DE1894">
        <w:rPr>
          <w:i/>
          <w:iCs/>
        </w:rPr>
        <w:t>cckb+</w:t>
      </w:r>
      <w:r w:rsidR="00DE1894">
        <w:t xml:space="preserve"> cells have a substantially higher CytoTRACE score than their </w:t>
      </w:r>
      <w:r w:rsidR="00DE1894">
        <w:rPr>
          <w:i/>
          <w:iCs/>
        </w:rPr>
        <w:t>cckb-</w:t>
      </w:r>
      <w:r w:rsidR="00DE1894">
        <w:t xml:space="preserve"> counterparts, while in females</w:t>
      </w:r>
      <w:r w:rsidR="00340B0D">
        <w:t xml:space="preserve">, </w:t>
      </w:r>
      <w:r w:rsidR="00D42F1C">
        <w:t>both groups have similar CytoTRACE scores</w:t>
      </w:r>
      <w:r w:rsidR="008040BC">
        <w:t xml:space="preserve">. Indeed, males and intermediates’ </w:t>
      </w:r>
      <w:r w:rsidR="008040BC">
        <w:rPr>
          <w:i/>
          <w:iCs/>
        </w:rPr>
        <w:t>cckb+</w:t>
      </w:r>
      <w:r w:rsidR="008040BC">
        <w:t xml:space="preserve"> cells had </w:t>
      </w:r>
      <w:r w:rsidR="00C4791E">
        <w:t>significantly higher CytoTRACE scores than females</w:t>
      </w:r>
      <w:r w:rsidR="00340B0D">
        <w:t xml:space="preserve"> </w:t>
      </w:r>
      <w:r w:rsidR="00B0035F">
        <w:t xml:space="preserve">suggesting </w:t>
      </w:r>
      <w:r w:rsidR="002F79C8">
        <w:t xml:space="preserve">there is a real difference in the maturity of </w:t>
      </w:r>
      <w:r w:rsidR="00085B88">
        <w:rPr>
          <w:i/>
          <w:iCs/>
        </w:rPr>
        <w:t>cckb+</w:t>
      </w:r>
      <w:r w:rsidR="00085B88">
        <w:rPr>
          <w:i/>
        </w:rPr>
        <w:t xml:space="preserve"> </w:t>
      </w:r>
      <w:r w:rsidR="00085B88">
        <w:t xml:space="preserve">cells </w:t>
      </w:r>
      <w:r w:rsidR="002F79C8">
        <w:t>by phase</w:t>
      </w:r>
      <w:r w:rsidR="00340B0D">
        <w:rPr>
          <w:i/>
          <w:iCs/>
        </w:rPr>
        <w:t xml:space="preserve"> </w:t>
      </w:r>
      <w:r w:rsidR="00382AA3">
        <w:t>(</w:t>
      </w:r>
      <w:r w:rsidR="002F79C8" w:rsidRPr="002F79C8">
        <w:rPr>
          <w:highlight w:val="yellow"/>
        </w:rPr>
        <w:t>Fig.4g</w:t>
      </w:r>
      <w:r w:rsidR="00382AA3">
        <w:t>)</w:t>
      </w:r>
      <w:r w:rsidR="00095372">
        <w:t xml:space="preserve">. Thus, we conclude that </w:t>
      </w:r>
      <w:r w:rsidR="00F26DE7">
        <w:t xml:space="preserve">during </w:t>
      </w:r>
      <w:r w:rsidR="0082205C">
        <w:t xml:space="preserve">the intermediate-female transition, new </w:t>
      </w:r>
      <w:r w:rsidR="0082205C">
        <w:rPr>
          <w:i/>
          <w:iCs/>
        </w:rPr>
        <w:t>cckb+</w:t>
      </w:r>
      <w:r w:rsidR="0082205C">
        <w:t xml:space="preserve"> cells are added to 6_POA_2, and speculate that </w:t>
      </w:r>
      <w:r w:rsidR="002F79C8">
        <w:t>this</w:t>
      </w:r>
      <w:r w:rsidR="0082205C">
        <w:t xml:space="preserve"> increase </w:t>
      </w:r>
      <w:r w:rsidR="00486DFD">
        <w:t xml:space="preserve">in </w:t>
      </w:r>
      <w:r w:rsidR="00486DFD">
        <w:rPr>
          <w:i/>
          <w:iCs/>
        </w:rPr>
        <w:t>cckb+</w:t>
      </w:r>
      <w:r w:rsidR="0091181A">
        <w:rPr>
          <w:i/>
          <w:iCs/>
        </w:rPr>
        <w:t xml:space="preserve"> </w:t>
      </w:r>
      <w:r w:rsidR="0091181A">
        <w:t xml:space="preserve">population </w:t>
      </w:r>
      <w:r w:rsidR="00CB3C33">
        <w:t xml:space="preserve">leads to differential </w:t>
      </w:r>
      <w:r w:rsidR="00A643EF">
        <w:t xml:space="preserve">regulation of the pituitary gonadotrophs. </w:t>
      </w:r>
      <w:r w:rsidR="00C27023">
        <w:br w:type="page"/>
      </w:r>
    </w:p>
    <w:p w14:paraId="7919B335" w14:textId="10EFFD4D" w:rsidR="0085038B" w:rsidRDefault="003A269F" w:rsidP="007F58CD">
      <w:pPr>
        <w:pStyle w:val="Caption"/>
        <w:rPr>
          <w:b/>
          <w:bCs/>
          <w:i w:val="0"/>
          <w:iCs w:val="0"/>
          <w:sz w:val="24"/>
          <w:szCs w:val="24"/>
        </w:rPr>
      </w:pPr>
      <w:r>
        <w:rPr>
          <w:b/>
          <w:bCs/>
          <w:i w:val="0"/>
          <w:iCs w:val="0"/>
          <w:noProof/>
          <w:sz w:val="24"/>
          <w:szCs w:val="24"/>
        </w:rPr>
        <w:lastRenderedPageBreak/>
        <w:drawing>
          <wp:inline distT="0" distB="0" distL="0" distR="0" wp14:anchorId="61D531B0" wp14:editId="18C610E5">
            <wp:extent cx="5943600" cy="6629400"/>
            <wp:effectExtent l="0" t="0" r="0" b="0"/>
            <wp:docPr id="392081557" name="Picture 6"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81557" name="Picture 6" descr="A close-up of a graph&#10;&#10;AI-generated content may be incorrect."/>
                    <pic:cNvPicPr/>
                  </pic:nvPicPr>
                  <pic:blipFill rotWithShape="1">
                    <a:blip r:embed="rId15">
                      <a:extLst>
                        <a:ext uri="{28A0092B-C50C-407E-A947-70E740481C1C}">
                          <a14:useLocalDpi xmlns:a14="http://schemas.microsoft.com/office/drawing/2010/main" val="0"/>
                        </a:ext>
                      </a:extLst>
                    </a:blip>
                    <a:srcRect b="13840"/>
                    <a:stretch>
                      <a:fillRect/>
                    </a:stretch>
                  </pic:blipFill>
                  <pic:spPr bwMode="auto">
                    <a:xfrm>
                      <a:off x="0" y="0"/>
                      <a:ext cx="5943600" cy="6629400"/>
                    </a:xfrm>
                    <a:prstGeom prst="rect">
                      <a:avLst/>
                    </a:prstGeom>
                    <a:ln>
                      <a:noFill/>
                    </a:ln>
                    <a:extLst>
                      <a:ext uri="{53640926-AAD7-44D8-BBD7-CCE9431645EC}">
                        <a14:shadowObscured xmlns:a14="http://schemas.microsoft.com/office/drawing/2010/main"/>
                      </a:ext>
                    </a:extLst>
                  </pic:spPr>
                </pic:pic>
              </a:graphicData>
            </a:graphic>
          </wp:inline>
        </w:drawing>
      </w:r>
    </w:p>
    <w:p w14:paraId="114004B4" w14:textId="7E14997B" w:rsidR="00C27023" w:rsidRPr="008D4618" w:rsidRDefault="007F58CD" w:rsidP="007F58CD">
      <w:pPr>
        <w:pStyle w:val="Caption"/>
        <w:rPr>
          <w:i w:val="0"/>
          <w:sz w:val="24"/>
          <w:szCs w:val="24"/>
        </w:rPr>
      </w:pPr>
      <w:r w:rsidRPr="008D4618">
        <w:rPr>
          <w:b/>
          <w:i w:val="0"/>
          <w:sz w:val="24"/>
          <w:szCs w:val="24"/>
        </w:rPr>
        <w:t xml:space="preserve">Figure </w:t>
      </w:r>
      <w:r w:rsidRPr="008D4618">
        <w:rPr>
          <w:b/>
          <w:i w:val="0"/>
          <w:sz w:val="24"/>
          <w:szCs w:val="24"/>
        </w:rPr>
        <w:fldChar w:fldCharType="begin"/>
      </w:r>
      <w:r w:rsidRPr="008D4618">
        <w:rPr>
          <w:b/>
          <w:i w:val="0"/>
          <w:sz w:val="24"/>
          <w:szCs w:val="24"/>
        </w:rPr>
        <w:instrText xml:space="preserve"> SEQ Figure \* ARABIC </w:instrText>
      </w:r>
      <w:r w:rsidRPr="008D4618">
        <w:rPr>
          <w:b/>
          <w:i w:val="0"/>
          <w:sz w:val="24"/>
          <w:szCs w:val="24"/>
        </w:rPr>
        <w:fldChar w:fldCharType="separate"/>
      </w:r>
      <w:r w:rsidR="0085038B" w:rsidRPr="008D4618">
        <w:rPr>
          <w:b/>
          <w:i w:val="0"/>
          <w:sz w:val="24"/>
          <w:szCs w:val="24"/>
        </w:rPr>
        <w:t>4</w:t>
      </w:r>
      <w:r w:rsidRPr="008D4618">
        <w:rPr>
          <w:b/>
          <w:i w:val="0"/>
          <w:sz w:val="24"/>
          <w:szCs w:val="24"/>
        </w:rPr>
        <w:fldChar w:fldCharType="end"/>
      </w:r>
      <w:r w:rsidRPr="008D4618">
        <w:rPr>
          <w:b/>
          <w:i w:val="0"/>
          <w:sz w:val="24"/>
          <w:szCs w:val="24"/>
        </w:rPr>
        <w:t xml:space="preserve">. a) </w:t>
      </w:r>
      <w:r w:rsidR="00D97E9D" w:rsidRPr="008D4618">
        <w:rPr>
          <w:i w:val="0"/>
          <w:sz w:val="24"/>
          <w:szCs w:val="24"/>
        </w:rPr>
        <w:t xml:space="preserve">UMAP projection of </w:t>
      </w:r>
      <w:r w:rsidR="002F79C8" w:rsidRPr="008D4618">
        <w:rPr>
          <w:i w:val="0"/>
          <w:sz w:val="24"/>
          <w:szCs w:val="24"/>
        </w:rPr>
        <w:t>the object</w:t>
      </w:r>
      <w:r w:rsidR="00D97E9D" w:rsidRPr="008D4618">
        <w:rPr>
          <w:i w:val="0"/>
          <w:sz w:val="24"/>
          <w:szCs w:val="24"/>
        </w:rPr>
        <w:t xml:space="preserve"> with </w:t>
      </w:r>
      <w:r w:rsidR="002F79C8" w:rsidRPr="008D4618">
        <w:rPr>
          <w:i w:val="0"/>
          <w:sz w:val="24"/>
          <w:szCs w:val="24"/>
        </w:rPr>
        <w:t xml:space="preserve">6_POA_2 highlighted in blue. </w:t>
      </w:r>
      <w:r w:rsidR="002F79C8" w:rsidRPr="008D4618">
        <w:rPr>
          <w:b/>
          <w:i w:val="0"/>
          <w:sz w:val="24"/>
          <w:szCs w:val="24"/>
        </w:rPr>
        <w:t>b)</w:t>
      </w:r>
      <w:r w:rsidR="002F79C8" w:rsidRPr="008D4618">
        <w:rPr>
          <w:i w:val="0"/>
          <w:sz w:val="24"/>
          <w:szCs w:val="24"/>
        </w:rPr>
        <w:t xml:space="preserve"> GO analysis of DEGs in </w:t>
      </w:r>
      <w:r w:rsidR="00A952C1" w:rsidRPr="008D4618">
        <w:rPr>
          <w:i w:val="0"/>
          <w:sz w:val="24"/>
          <w:szCs w:val="24"/>
        </w:rPr>
        <w:t>6_POA_2</w:t>
      </w:r>
      <w:r w:rsidR="001378A1" w:rsidRPr="008D4618">
        <w:rPr>
          <w:i w:val="0"/>
          <w:sz w:val="24"/>
          <w:szCs w:val="24"/>
        </w:rPr>
        <w:t>.</w:t>
      </w:r>
      <w:r w:rsidR="00A952C1" w:rsidRPr="008D4618">
        <w:rPr>
          <w:i w:val="0"/>
          <w:sz w:val="24"/>
          <w:szCs w:val="24"/>
        </w:rPr>
        <w:t xml:space="preserve"> </w:t>
      </w:r>
      <w:r w:rsidR="00A952C1" w:rsidRPr="008D4618">
        <w:rPr>
          <w:b/>
          <w:i w:val="0"/>
          <w:sz w:val="24"/>
          <w:szCs w:val="24"/>
        </w:rPr>
        <w:t>c)</w:t>
      </w:r>
      <w:r w:rsidR="00A952C1" w:rsidRPr="008D4618">
        <w:rPr>
          <w:i w:val="0"/>
          <w:sz w:val="24"/>
          <w:szCs w:val="24"/>
        </w:rPr>
        <w:t xml:space="preserve"> </w:t>
      </w:r>
      <w:r w:rsidR="006C754B" w:rsidRPr="008D4618">
        <w:rPr>
          <w:i w:val="0"/>
          <w:sz w:val="24"/>
          <w:szCs w:val="24"/>
        </w:rPr>
        <w:t>CytoTRACE score by ECM DEG presence and phase.</w:t>
      </w:r>
      <w:r w:rsidR="00A952C1" w:rsidRPr="008D4618">
        <w:rPr>
          <w:i w:val="0"/>
          <w:sz w:val="24"/>
          <w:szCs w:val="24"/>
        </w:rPr>
        <w:t xml:space="preserve"> </w:t>
      </w:r>
      <w:r w:rsidR="00AB2CF7" w:rsidRPr="008D4618">
        <w:rPr>
          <w:b/>
          <w:i w:val="0"/>
          <w:sz w:val="24"/>
          <w:szCs w:val="24"/>
        </w:rPr>
        <w:t>d)</w:t>
      </w:r>
      <w:r w:rsidR="00514A70" w:rsidRPr="008D4618">
        <w:rPr>
          <w:i w:val="0"/>
          <w:sz w:val="24"/>
          <w:szCs w:val="24"/>
        </w:rPr>
        <w:t xml:space="preserve"> CytoTRACE </w:t>
      </w:r>
      <w:r w:rsidR="00AB2CF7" w:rsidRPr="008D4618">
        <w:rPr>
          <w:i w:val="0"/>
          <w:sz w:val="24"/>
          <w:szCs w:val="24"/>
        </w:rPr>
        <w:t xml:space="preserve">score by NT DEG presence and phase. </w:t>
      </w:r>
      <w:r w:rsidR="00AB2CF7" w:rsidRPr="008D4618">
        <w:rPr>
          <w:b/>
          <w:i w:val="0"/>
          <w:sz w:val="24"/>
          <w:szCs w:val="24"/>
        </w:rPr>
        <w:t>e)</w:t>
      </w:r>
      <w:r w:rsidR="00AB2CF7" w:rsidRPr="008D4618">
        <w:rPr>
          <w:i w:val="0"/>
          <w:sz w:val="24"/>
          <w:szCs w:val="24"/>
        </w:rPr>
        <w:t xml:space="preserve"> Proportion of 6_POA_2 that was </w:t>
      </w:r>
      <w:r w:rsidR="00AB2CF7" w:rsidRPr="008D4618">
        <w:rPr>
          <w:sz w:val="24"/>
          <w:szCs w:val="24"/>
        </w:rPr>
        <w:t>gnrh1</w:t>
      </w:r>
      <w:r w:rsidR="00AB2CF7" w:rsidRPr="008D4618">
        <w:rPr>
          <w:i w:val="0"/>
          <w:sz w:val="24"/>
          <w:szCs w:val="24"/>
        </w:rPr>
        <w:t>+ by phase. Note,</w:t>
      </w:r>
      <w:r w:rsidR="00514DDC" w:rsidRPr="008D4618">
        <w:rPr>
          <w:i w:val="0"/>
          <w:sz w:val="24"/>
          <w:szCs w:val="24"/>
        </w:rPr>
        <w:t xml:space="preserve"> ‘*’ in the title indicates no</w:t>
      </w:r>
      <w:r w:rsidR="00AB2CF7" w:rsidRPr="008D4618">
        <w:rPr>
          <w:i w:val="0"/>
          <w:sz w:val="24"/>
          <w:szCs w:val="24"/>
        </w:rPr>
        <w:t xml:space="preserve"> typ</w:t>
      </w:r>
      <w:r w:rsidR="00514DDC" w:rsidRPr="008D4618">
        <w:rPr>
          <w:i w:val="0"/>
          <w:sz w:val="24"/>
          <w:szCs w:val="24"/>
        </w:rPr>
        <w:t xml:space="preserve">e III tests were significant and no pairwise comparisons were significant. </w:t>
      </w:r>
      <w:r w:rsidR="00514DDC" w:rsidRPr="008D4618">
        <w:rPr>
          <w:b/>
          <w:i w:val="0"/>
          <w:sz w:val="24"/>
          <w:szCs w:val="24"/>
        </w:rPr>
        <w:t>f)</w:t>
      </w:r>
      <w:r w:rsidR="00514DDC" w:rsidRPr="008D4618">
        <w:rPr>
          <w:i w:val="0"/>
          <w:sz w:val="24"/>
          <w:szCs w:val="24"/>
        </w:rPr>
        <w:t xml:space="preserve"> </w:t>
      </w:r>
      <w:r w:rsidR="00514DDC" w:rsidRPr="008D4618">
        <w:rPr>
          <w:b/>
          <w:i w:val="0"/>
          <w:sz w:val="24"/>
          <w:szCs w:val="24"/>
        </w:rPr>
        <w:t>)</w:t>
      </w:r>
      <w:r w:rsidR="00514DDC" w:rsidRPr="008D4618">
        <w:rPr>
          <w:i w:val="0"/>
          <w:sz w:val="24"/>
          <w:szCs w:val="24"/>
        </w:rPr>
        <w:t xml:space="preserve"> Proportion of 6_POA_2 that was </w:t>
      </w:r>
      <w:r w:rsidR="00514DDC" w:rsidRPr="008D4618">
        <w:rPr>
          <w:sz w:val="24"/>
          <w:szCs w:val="24"/>
        </w:rPr>
        <w:t>cckb</w:t>
      </w:r>
      <w:r w:rsidR="00514DDC" w:rsidRPr="008D4618">
        <w:rPr>
          <w:i w:val="0"/>
          <w:sz w:val="24"/>
          <w:szCs w:val="24"/>
        </w:rPr>
        <w:t xml:space="preserve">+ by phase. </w:t>
      </w:r>
      <w:r w:rsidR="00514DDC" w:rsidRPr="008D4618">
        <w:rPr>
          <w:b/>
          <w:i w:val="0"/>
          <w:sz w:val="24"/>
          <w:szCs w:val="24"/>
        </w:rPr>
        <w:t xml:space="preserve">g) </w:t>
      </w:r>
      <w:r w:rsidR="00514DDC" w:rsidRPr="008D4618">
        <w:rPr>
          <w:i w:val="0"/>
          <w:sz w:val="24"/>
          <w:szCs w:val="24"/>
        </w:rPr>
        <w:t xml:space="preserve">CytoTRACE score by </w:t>
      </w:r>
      <w:r w:rsidR="00514DDC" w:rsidRPr="008D4618">
        <w:rPr>
          <w:sz w:val="24"/>
          <w:szCs w:val="24"/>
        </w:rPr>
        <w:t>cckb+</w:t>
      </w:r>
      <w:r w:rsidR="00514DDC" w:rsidRPr="008D4618">
        <w:rPr>
          <w:i w:val="0"/>
          <w:sz w:val="24"/>
          <w:szCs w:val="24"/>
        </w:rPr>
        <w:t xml:space="preserve"> presence</w:t>
      </w:r>
      <w:r w:rsidR="006C4077" w:rsidRPr="008D4618">
        <w:rPr>
          <w:i w:val="0"/>
          <w:sz w:val="24"/>
          <w:szCs w:val="24"/>
        </w:rPr>
        <w:t xml:space="preserve">. </w:t>
      </w:r>
      <w:r w:rsidR="001378A1" w:rsidRPr="008D4618">
        <w:rPr>
          <w:i w:val="0"/>
          <w:sz w:val="24"/>
          <w:szCs w:val="24"/>
        </w:rPr>
        <w:t xml:space="preserve">In </w:t>
      </w:r>
      <w:r w:rsidR="001378A1" w:rsidRPr="008D4618">
        <w:rPr>
          <w:b/>
          <w:i w:val="0"/>
          <w:sz w:val="24"/>
          <w:szCs w:val="24"/>
        </w:rPr>
        <w:t>c,</w:t>
      </w:r>
      <w:r w:rsidR="004F5052" w:rsidRPr="008D4618">
        <w:rPr>
          <w:b/>
          <w:i w:val="0"/>
          <w:sz w:val="24"/>
          <w:szCs w:val="24"/>
        </w:rPr>
        <w:t xml:space="preserve"> d, </w:t>
      </w:r>
      <w:r w:rsidR="001378A1" w:rsidRPr="008D4618">
        <w:rPr>
          <w:b/>
          <w:i w:val="0"/>
          <w:sz w:val="24"/>
          <w:szCs w:val="24"/>
        </w:rPr>
        <w:t>g,</w:t>
      </w:r>
      <w:r w:rsidR="004F5052" w:rsidRPr="008D4618">
        <w:rPr>
          <w:b/>
          <w:i w:val="0"/>
          <w:sz w:val="24"/>
          <w:szCs w:val="24"/>
        </w:rPr>
        <w:t xml:space="preserve"> f</w:t>
      </w:r>
      <w:r w:rsidR="001378A1" w:rsidRPr="008D4618">
        <w:rPr>
          <w:b/>
          <w:i w:val="0"/>
          <w:sz w:val="24"/>
          <w:szCs w:val="24"/>
        </w:rPr>
        <w:t>,</w:t>
      </w:r>
      <w:r w:rsidR="001378A1" w:rsidRPr="008D4618">
        <w:rPr>
          <w:i w:val="0"/>
          <w:sz w:val="24"/>
          <w:szCs w:val="24"/>
        </w:rPr>
        <w:t xml:space="preserve">“*” indicates </w:t>
      </w:r>
      <w:r w:rsidR="001378A1" w:rsidRPr="008D4618">
        <w:rPr>
          <w:sz w:val="24"/>
          <w:szCs w:val="24"/>
        </w:rPr>
        <w:t>p</w:t>
      </w:r>
      <w:r w:rsidR="001378A1" w:rsidRPr="008D4618">
        <w:rPr>
          <w:i w:val="0"/>
          <w:sz w:val="24"/>
          <w:szCs w:val="24"/>
        </w:rPr>
        <w:t xml:space="preserve"> &lt; 0.05, “**” indicates </w:t>
      </w:r>
      <w:r w:rsidR="001378A1" w:rsidRPr="008D4618">
        <w:rPr>
          <w:sz w:val="24"/>
          <w:szCs w:val="24"/>
        </w:rPr>
        <w:t xml:space="preserve">p &lt; </w:t>
      </w:r>
      <w:r w:rsidR="001378A1" w:rsidRPr="008D4618">
        <w:rPr>
          <w:i w:val="0"/>
          <w:sz w:val="24"/>
          <w:szCs w:val="24"/>
        </w:rPr>
        <w:t>0.01</w:t>
      </w:r>
      <w:r w:rsidR="001378A1" w:rsidRPr="008D4618">
        <w:rPr>
          <w:sz w:val="24"/>
          <w:szCs w:val="24"/>
        </w:rPr>
        <w:t xml:space="preserve">, </w:t>
      </w:r>
      <w:r w:rsidR="001378A1" w:rsidRPr="008D4618">
        <w:rPr>
          <w:i w:val="0"/>
          <w:sz w:val="24"/>
          <w:szCs w:val="24"/>
        </w:rPr>
        <w:t xml:space="preserve">and “***” indicates </w:t>
      </w:r>
      <w:r w:rsidR="001378A1" w:rsidRPr="008D4618">
        <w:rPr>
          <w:sz w:val="24"/>
          <w:szCs w:val="24"/>
        </w:rPr>
        <w:t>p &lt;</w:t>
      </w:r>
      <w:r w:rsidR="001378A1" w:rsidRPr="008D4618">
        <w:rPr>
          <w:i w:val="0"/>
          <w:sz w:val="24"/>
          <w:szCs w:val="24"/>
        </w:rPr>
        <w:t xml:space="preserve"> 0.001. Pairwise comparisons are only shown for males, intermediates, and females. </w:t>
      </w:r>
      <w:r w:rsidR="004F5052" w:rsidRPr="008D4618">
        <w:rPr>
          <w:i w:val="0"/>
          <w:sz w:val="24"/>
          <w:szCs w:val="24"/>
        </w:rPr>
        <w:t xml:space="preserve">In </w:t>
      </w:r>
      <w:r w:rsidR="004F5052" w:rsidRPr="008D4618">
        <w:rPr>
          <w:b/>
          <w:i w:val="0"/>
          <w:sz w:val="24"/>
          <w:szCs w:val="24"/>
        </w:rPr>
        <w:t>c, d, g</w:t>
      </w:r>
      <w:r w:rsidR="001378A1" w:rsidRPr="008D4618">
        <w:rPr>
          <w:i w:val="0"/>
          <w:sz w:val="24"/>
          <w:szCs w:val="24"/>
        </w:rPr>
        <w:t xml:space="preserve"> Boxes indicate median, first quartile, and third quartile and whiskers indicate 1.5 x IQR. </w:t>
      </w:r>
      <w:r w:rsidR="00094FA1" w:rsidRPr="008D4618">
        <w:rPr>
          <w:i w:val="0"/>
          <w:sz w:val="24"/>
          <w:szCs w:val="24"/>
        </w:rPr>
        <w:t xml:space="preserve">Note, all </w:t>
      </w:r>
      <w:r w:rsidR="00094FA1" w:rsidRPr="008D4618">
        <w:rPr>
          <w:i w:val="0"/>
          <w:sz w:val="24"/>
          <w:szCs w:val="24"/>
        </w:rPr>
        <w:lastRenderedPageBreak/>
        <w:t>analyses of CytoTRACE score wer</w:t>
      </w:r>
      <w:r w:rsidR="004F43E3" w:rsidRPr="008D4618">
        <w:rPr>
          <w:i w:val="0"/>
          <w:sz w:val="24"/>
          <w:szCs w:val="24"/>
        </w:rPr>
        <w:t>e of the specification lmer(CytoTRACE ~ nCount_RNA+(</w:t>
      </w:r>
      <w:r w:rsidR="004D0AC2" w:rsidRPr="008D4618">
        <w:rPr>
          <w:i w:val="0"/>
          <w:sz w:val="24"/>
          <w:szCs w:val="24"/>
        </w:rPr>
        <w:t>phase*</w:t>
      </w:r>
      <w:r w:rsidR="00A1514D" w:rsidRPr="008D4618">
        <w:rPr>
          <w:i w:val="0"/>
          <w:sz w:val="24"/>
          <w:szCs w:val="24"/>
        </w:rPr>
        <w:t xml:space="preserve">gene presence) + (1|individual)) to control for </w:t>
      </w:r>
      <w:r w:rsidR="008C5A09" w:rsidRPr="008D4618">
        <w:rPr>
          <w:i w:val="0"/>
          <w:sz w:val="24"/>
          <w:szCs w:val="24"/>
        </w:rPr>
        <w:t>the increased likelih</w:t>
      </w:r>
      <w:r w:rsidR="00764709" w:rsidRPr="008D4618">
        <w:rPr>
          <w:i w:val="0"/>
          <w:sz w:val="24"/>
          <w:szCs w:val="24"/>
        </w:rPr>
        <w:t xml:space="preserve">ood of detecting a gene in a cell with </w:t>
      </w:r>
      <w:r w:rsidR="008D4618" w:rsidRPr="008D4618">
        <w:rPr>
          <w:i w:val="0"/>
          <w:iCs w:val="0"/>
          <w:sz w:val="24"/>
          <w:szCs w:val="24"/>
        </w:rPr>
        <w:t>a larger library size which is related to the CytoTRACE score.</w:t>
      </w:r>
      <w:r w:rsidR="001378A1" w:rsidRPr="008D4618">
        <w:rPr>
          <w:i w:val="0"/>
          <w:sz w:val="24"/>
          <w:szCs w:val="24"/>
        </w:rPr>
        <w:t xml:space="preserve"> In</w:t>
      </w:r>
      <w:r w:rsidR="004F5052" w:rsidRPr="008D4618">
        <w:rPr>
          <w:b/>
          <w:i w:val="0"/>
          <w:sz w:val="24"/>
          <w:szCs w:val="24"/>
        </w:rPr>
        <w:t xml:space="preserve"> e </w:t>
      </w:r>
      <w:r w:rsidR="004F5052" w:rsidRPr="008D4618">
        <w:rPr>
          <w:i w:val="0"/>
          <w:sz w:val="24"/>
          <w:szCs w:val="24"/>
        </w:rPr>
        <w:t xml:space="preserve">and </w:t>
      </w:r>
      <w:r w:rsidR="00506D83" w:rsidRPr="008D4618">
        <w:rPr>
          <w:b/>
          <w:i w:val="0"/>
          <w:sz w:val="24"/>
          <w:szCs w:val="24"/>
        </w:rPr>
        <w:t>f</w:t>
      </w:r>
      <w:r w:rsidR="00506D83" w:rsidRPr="008D4618">
        <w:rPr>
          <w:i w:val="0"/>
          <w:sz w:val="24"/>
          <w:szCs w:val="24"/>
        </w:rPr>
        <w:t xml:space="preserve">, error bars indicate the standard error of the mean. </w:t>
      </w:r>
    </w:p>
    <w:p w14:paraId="7AC34E4A" w14:textId="77777777" w:rsidR="00124211" w:rsidRDefault="00124211" w:rsidP="00124211"/>
    <w:p w14:paraId="4C0ED7D4" w14:textId="29E2DD23" w:rsidR="00124211" w:rsidRDefault="00124211" w:rsidP="00124211">
      <w:pPr>
        <w:pStyle w:val="Heading1"/>
      </w:pPr>
      <w:r>
        <w:t>Discussion</w:t>
      </w:r>
    </w:p>
    <w:p w14:paraId="0B1977FD" w14:textId="26E8D491" w:rsidR="0097357B" w:rsidRDefault="0097357B" w:rsidP="0097357B">
      <w:pPr>
        <w:pStyle w:val="Heading1"/>
        <w:numPr>
          <w:ilvl w:val="0"/>
          <w:numId w:val="4"/>
        </w:numPr>
      </w:pPr>
      <w:r>
        <w:t>Neurogenesis leads to remodeling of the preoptic area, addition of cckb cells but not gnrh1 cells, these cells then lead to FSH release and drive the remodeling of the gonads</w:t>
      </w:r>
    </w:p>
    <w:p w14:paraId="657A9D44" w14:textId="75B22EC2" w:rsidR="006D529D" w:rsidRPr="00DD4CE2" w:rsidRDefault="006D529D" w:rsidP="006D529D">
      <w:pPr>
        <w:pStyle w:val="ListParagraph"/>
        <w:numPr>
          <w:ilvl w:val="0"/>
          <w:numId w:val="4"/>
        </w:numPr>
        <w:rPr>
          <w:b/>
        </w:rPr>
      </w:pPr>
      <w:r w:rsidRPr="00DD4CE2">
        <w:rPr>
          <w:b/>
        </w:rPr>
        <w:t xml:space="preserve">Neurogenesis changes bias from 0 to 6 during the intermediate-female transition, I hypothesize 0 is driving feeding behavior and that early in sex change, the priority for the intermediate is to eat and gain body mass, and that after 6 months (when </w:t>
      </w:r>
      <w:r w:rsidR="00B0448D" w:rsidRPr="00DD4CE2">
        <w:rPr>
          <w:b/>
          <w:bCs/>
        </w:rPr>
        <w:t>intermediates</w:t>
      </w:r>
      <w:r w:rsidRPr="00DD4CE2">
        <w:rPr>
          <w:b/>
        </w:rPr>
        <w:t xml:space="preserve"> are about the same size as females), it can then prioritize gonadal sex change driven by 6</w:t>
      </w:r>
    </w:p>
    <w:p w14:paraId="30C7ED81" w14:textId="25EB9368" w:rsidR="0097357B" w:rsidRPr="0097357B" w:rsidRDefault="0097357B" w:rsidP="0097357B">
      <w:pPr>
        <w:pStyle w:val="ListParagraph"/>
        <w:numPr>
          <w:ilvl w:val="0"/>
          <w:numId w:val="4"/>
        </w:numPr>
      </w:pPr>
      <w:r>
        <w:rPr>
          <w:b/>
          <w:bCs/>
        </w:rPr>
        <w:t>E2 downregulation is necessary for neurogenesis to occur, this is likely a POA specific phenomenon</w:t>
      </w:r>
    </w:p>
    <w:p w14:paraId="7CE44814" w14:textId="5BE3D5E7" w:rsidR="00124211" w:rsidRDefault="00124211" w:rsidP="00124211">
      <w:pPr>
        <w:pStyle w:val="Heading1"/>
        <w:numPr>
          <w:ilvl w:val="0"/>
          <w:numId w:val="4"/>
        </w:numPr>
      </w:pPr>
      <w:commentRangeStart w:id="14"/>
      <w:commentRangeStart w:id="15"/>
      <w:r>
        <w:t xml:space="preserve">The Neurogenic Lineage is the Predominant </w:t>
      </w:r>
      <w:r w:rsidRPr="00FB714F">
        <w:rPr>
          <w:i/>
          <w:iCs/>
        </w:rPr>
        <w:t>cyp19a1b</w:t>
      </w:r>
      <w:r>
        <w:t>+ Population</w:t>
      </w:r>
      <w:commentRangeEnd w:id="14"/>
      <w:r>
        <w:rPr>
          <w:rStyle w:val="CommentReference"/>
          <w:sz w:val="24"/>
          <w:szCs w:val="30"/>
        </w:rPr>
        <w:commentReference w:id="14"/>
      </w:r>
      <w:commentRangeEnd w:id="15"/>
      <w:r w:rsidR="007D1641">
        <w:rPr>
          <w:rStyle w:val="CommentReference"/>
          <w:sz w:val="24"/>
          <w:szCs w:val="30"/>
        </w:rPr>
        <w:commentReference w:id="15"/>
      </w:r>
    </w:p>
    <w:p w14:paraId="23F922D1" w14:textId="2C0BE04D" w:rsidR="0097357B" w:rsidRPr="0097357B" w:rsidRDefault="0097357B" w:rsidP="0097357B">
      <w:pPr>
        <w:pStyle w:val="ListParagraph"/>
        <w:numPr>
          <w:ilvl w:val="0"/>
          <w:numId w:val="4"/>
        </w:numPr>
      </w:pPr>
      <w:r>
        <w:rPr>
          <w:b/>
          <w:bCs/>
        </w:rPr>
        <w:t>Changes in pituitary regulation occur after 6-mos during the intermediate-female transition</w:t>
      </w:r>
    </w:p>
    <w:p w14:paraId="16FFCA0C" w14:textId="77777777" w:rsidR="000C65E9" w:rsidRDefault="000C65E9" w:rsidP="000C65E9">
      <w:pPr>
        <w:rPr>
          <w:b/>
          <w:bCs/>
        </w:rPr>
      </w:pPr>
    </w:p>
    <w:p w14:paraId="39DD1CEC" w14:textId="39B87115" w:rsidR="000C65E9" w:rsidRDefault="000C65E9" w:rsidP="000C65E9">
      <w:pPr>
        <w:rPr>
          <w:b/>
          <w:bCs/>
        </w:rPr>
      </w:pPr>
      <w:r>
        <w:rPr>
          <w:b/>
          <w:bCs/>
        </w:rPr>
        <w:t>Some side stories I’d like to clear up</w:t>
      </w:r>
    </w:p>
    <w:p w14:paraId="19CA2301" w14:textId="17C23460" w:rsidR="000C65E9" w:rsidRDefault="000C65E9" w:rsidP="000C65E9">
      <w:pPr>
        <w:pStyle w:val="ListParagraph"/>
        <w:numPr>
          <w:ilvl w:val="0"/>
          <w:numId w:val="2"/>
        </w:numPr>
        <w:rPr>
          <w:b/>
          <w:bCs/>
        </w:rPr>
      </w:pPr>
      <w:r>
        <w:rPr>
          <w:b/>
          <w:bCs/>
        </w:rPr>
        <w:t xml:space="preserve">What drives all of the other DEGs in 6, surely its not </w:t>
      </w:r>
      <w:r w:rsidR="00E8477B">
        <w:rPr>
          <w:b/>
          <w:bCs/>
        </w:rPr>
        <w:t>all neurogenesis right</w:t>
      </w:r>
      <w:r w:rsidR="00D20759">
        <w:rPr>
          <w:b/>
          <w:bCs/>
        </w:rPr>
        <w:t xml:space="preserve"> </w:t>
      </w:r>
    </w:p>
    <w:p w14:paraId="0657BFE1" w14:textId="40473C4D" w:rsidR="001E4F11" w:rsidRPr="00013C33" w:rsidRDefault="001E4F11" w:rsidP="001E4F11">
      <w:pPr>
        <w:rPr>
          <w:b/>
          <w:bCs/>
          <w:u w:val="single"/>
        </w:rPr>
      </w:pPr>
      <w:r w:rsidRPr="00013C33">
        <w:rPr>
          <w:b/>
          <w:bCs/>
          <w:u w:val="single"/>
        </w:rPr>
        <w:t>How does that signal get to the radial glia</w:t>
      </w:r>
    </w:p>
    <w:p w14:paraId="50B77677" w14:textId="4C134DB4" w:rsidR="00D20759" w:rsidRPr="00D20759" w:rsidRDefault="00D20759" w:rsidP="00D20759">
      <w:pPr>
        <w:pStyle w:val="ListParagraph"/>
        <w:numPr>
          <w:ilvl w:val="0"/>
          <w:numId w:val="2"/>
        </w:numPr>
        <w:rPr>
          <w:b/>
          <w:bCs/>
          <w:u w:val="single"/>
        </w:rPr>
      </w:pPr>
      <w:r>
        <w:rPr>
          <w:b/>
          <w:bCs/>
          <w:u w:val="single"/>
        </w:rPr>
        <w:t>This one I wish I could figure out</w:t>
      </w:r>
    </w:p>
    <w:p w14:paraId="4796434F" w14:textId="4CC2D448" w:rsidR="002F24C9" w:rsidRDefault="002F24C9" w:rsidP="002F24C9">
      <w:pPr>
        <w:rPr>
          <w:b/>
          <w:bCs/>
        </w:rPr>
      </w:pPr>
      <w:r>
        <w:rPr>
          <w:b/>
          <w:bCs/>
        </w:rPr>
        <w:t>Where the ATAC data could play a role</w:t>
      </w:r>
    </w:p>
    <w:p w14:paraId="3C9A31C2" w14:textId="4DC87ABA" w:rsidR="002F24C9" w:rsidRDefault="002F24C9" w:rsidP="002F24C9">
      <w:pPr>
        <w:pStyle w:val="ListParagraph"/>
        <w:numPr>
          <w:ilvl w:val="0"/>
          <w:numId w:val="2"/>
        </w:numPr>
        <w:rPr>
          <w:b/>
          <w:bCs/>
        </w:rPr>
      </w:pPr>
      <w:r>
        <w:rPr>
          <w:b/>
          <w:bCs/>
        </w:rPr>
        <w:t xml:space="preserve">Well first of all what is happening in the radial glia, I guess the prime story would be their </w:t>
      </w:r>
      <w:r w:rsidR="001E4F11">
        <w:rPr>
          <w:b/>
          <w:bCs/>
        </w:rPr>
        <w:t>epigenome has to be tightening up as they go from stem (loose) to proliferating (committed, restricted)</w:t>
      </w:r>
    </w:p>
    <w:p w14:paraId="10061FE7" w14:textId="77777777" w:rsidR="00DD4CE2" w:rsidRDefault="00DD4CE2" w:rsidP="00DD4CE2">
      <w:pPr>
        <w:ind w:left="60"/>
        <w:rPr>
          <w:b/>
          <w:bCs/>
        </w:rPr>
      </w:pPr>
      <w:r w:rsidRPr="00DD4CE2">
        <w:rPr>
          <w:b/>
          <w:bCs/>
        </w:rPr>
        <w:t>Is there any evidence for</w:t>
      </w:r>
      <w:r>
        <w:rPr>
          <w:b/>
          <w:bCs/>
        </w:rPr>
        <w:t xml:space="preserve"> my feeding hypothesis</w:t>
      </w:r>
      <w:r w:rsidRPr="00DD4CE2">
        <w:rPr>
          <w:b/>
          <w:bCs/>
        </w:rPr>
        <w:t xml:space="preserve"> in 0? </w:t>
      </w:r>
    </w:p>
    <w:p w14:paraId="44C386A1" w14:textId="2D59327B" w:rsidR="00DD4CE2" w:rsidRPr="00DD4CE2" w:rsidRDefault="00DD4CE2" w:rsidP="00DD4CE2">
      <w:pPr>
        <w:ind w:left="60"/>
        <w:rPr>
          <w:b/>
          <w:bCs/>
        </w:rPr>
      </w:pPr>
      <w:r w:rsidRPr="00DD4CE2">
        <w:rPr>
          <w:b/>
          <w:bCs/>
        </w:rPr>
        <w:t xml:space="preserve">I’d </w:t>
      </w:r>
      <w:r>
        <w:rPr>
          <w:b/>
          <w:bCs/>
        </w:rPr>
        <w:t xml:space="preserve">also </w:t>
      </w:r>
      <w:r w:rsidRPr="00DD4CE2">
        <w:rPr>
          <w:b/>
          <w:bCs/>
        </w:rPr>
        <w:t xml:space="preserve">love to know what is going on in 0 or microglia but I think </w:t>
      </w:r>
      <w:r>
        <w:rPr>
          <w:b/>
          <w:bCs/>
        </w:rPr>
        <w:t>these are</w:t>
      </w:r>
      <w:r w:rsidRPr="00DD4CE2">
        <w:rPr>
          <w:b/>
          <w:bCs/>
        </w:rPr>
        <w:t xml:space="preserve"> a bit beyond the scope maybe,</w:t>
      </w:r>
      <w:r>
        <w:rPr>
          <w:b/>
          <w:bCs/>
        </w:rPr>
        <w:t xml:space="preserve"> </w:t>
      </w:r>
      <w:r w:rsidRPr="00DD4CE2">
        <w:rPr>
          <w:b/>
          <w:bCs/>
        </w:rPr>
        <w:t>unless we want this paper to be insanely long</w:t>
      </w:r>
    </w:p>
    <w:p w14:paraId="74ED0AC8" w14:textId="77777777" w:rsidR="00DD4CE2" w:rsidRPr="00DD4CE2" w:rsidRDefault="00DD4CE2" w:rsidP="00DD4CE2">
      <w:pPr>
        <w:rPr>
          <w:b/>
          <w:bCs/>
        </w:rPr>
      </w:pPr>
    </w:p>
    <w:p w14:paraId="1E2274F7" w14:textId="622DFBA2" w:rsidR="001E4F11" w:rsidRDefault="00013C33" w:rsidP="00013C33">
      <w:pPr>
        <w:rPr>
          <w:b/>
          <w:bCs/>
        </w:rPr>
      </w:pPr>
      <w:r>
        <w:rPr>
          <w:b/>
          <w:bCs/>
        </w:rPr>
        <w:t>Future experiments</w:t>
      </w:r>
    </w:p>
    <w:p w14:paraId="4A6ACCD7" w14:textId="47EEEED1" w:rsidR="00013C33" w:rsidRDefault="00013C33" w:rsidP="00013C33">
      <w:pPr>
        <w:pStyle w:val="ListParagraph"/>
        <w:numPr>
          <w:ilvl w:val="0"/>
          <w:numId w:val="2"/>
        </w:numPr>
        <w:rPr>
          <w:b/>
          <w:bCs/>
        </w:rPr>
      </w:pPr>
      <w:r>
        <w:rPr>
          <w:b/>
          <w:bCs/>
        </w:rPr>
        <w:t>Morphological changes in the radial glia?</w:t>
      </w:r>
    </w:p>
    <w:p w14:paraId="4D9B1F3B" w14:textId="10904060" w:rsidR="00D20759" w:rsidRDefault="00093E20" w:rsidP="00013C33">
      <w:pPr>
        <w:pStyle w:val="ListParagraph"/>
        <w:numPr>
          <w:ilvl w:val="0"/>
          <w:numId w:val="2"/>
        </w:numPr>
        <w:rPr>
          <w:b/>
          <w:bCs/>
        </w:rPr>
      </w:pPr>
      <w:r>
        <w:rPr>
          <w:b/>
          <w:bCs/>
        </w:rPr>
        <w:t xml:space="preserve">Identity of proliferating neurons </w:t>
      </w:r>
    </w:p>
    <w:p w14:paraId="594EFC52" w14:textId="550717DB" w:rsidR="00DD4CE2" w:rsidRDefault="00DD4CE2" w:rsidP="00013C33">
      <w:pPr>
        <w:pStyle w:val="ListParagraph"/>
        <w:numPr>
          <w:ilvl w:val="0"/>
          <w:numId w:val="2"/>
        </w:numPr>
        <w:rPr>
          <w:b/>
          <w:bCs/>
        </w:rPr>
      </w:pPr>
      <w:r>
        <w:rPr>
          <w:b/>
          <w:bCs/>
        </w:rPr>
        <w:t>Devise an experiment to see how that signal gets to radial glia, feeding makes too much sense to me</w:t>
      </w:r>
    </w:p>
    <w:p w14:paraId="0661A68A" w14:textId="77777777" w:rsidR="002445F3" w:rsidRDefault="002445F3" w:rsidP="002445F3">
      <w:pPr>
        <w:rPr>
          <w:b/>
          <w:bCs/>
        </w:rPr>
      </w:pPr>
    </w:p>
    <w:p w14:paraId="3D836786" w14:textId="7B6C7440" w:rsidR="002445F3" w:rsidRDefault="002445F3" w:rsidP="002445F3">
      <w:pPr>
        <w:rPr>
          <w:b/>
          <w:bCs/>
        </w:rPr>
      </w:pPr>
      <w:r>
        <w:rPr>
          <w:b/>
          <w:bCs/>
        </w:rPr>
        <w:t>Cool findings to make a big deal about</w:t>
      </w:r>
    </w:p>
    <w:p w14:paraId="527CA367" w14:textId="30A0C36A" w:rsidR="002445F3" w:rsidRDefault="002445F3" w:rsidP="002445F3">
      <w:pPr>
        <w:pStyle w:val="ListParagraph"/>
        <w:numPr>
          <w:ilvl w:val="0"/>
          <w:numId w:val="2"/>
        </w:numPr>
        <w:rPr>
          <w:b/>
          <w:bCs/>
        </w:rPr>
      </w:pPr>
      <w:r>
        <w:rPr>
          <w:b/>
          <w:bCs/>
        </w:rPr>
        <w:t>NO ONE HAS SHOWN E2 DONWREGULATES DURING SEX CHANGE</w:t>
      </w:r>
    </w:p>
    <w:p w14:paraId="330ABFCE" w14:textId="5A19E4E0" w:rsidR="002445F3" w:rsidRDefault="002445F3" w:rsidP="002445F3">
      <w:pPr>
        <w:pStyle w:val="ListParagraph"/>
        <w:numPr>
          <w:ilvl w:val="0"/>
          <w:numId w:val="2"/>
        </w:numPr>
        <w:rPr>
          <w:b/>
          <w:bCs/>
        </w:rPr>
      </w:pPr>
      <w:r>
        <w:rPr>
          <w:b/>
          <w:bCs/>
        </w:rPr>
        <w:t>WE ADD TO THE CCKB PILE</w:t>
      </w:r>
    </w:p>
    <w:p w14:paraId="57030C93" w14:textId="7E11031E" w:rsidR="002445F3" w:rsidRDefault="0093084E" w:rsidP="002445F3">
      <w:pPr>
        <w:pStyle w:val="ListParagraph"/>
        <w:numPr>
          <w:ilvl w:val="0"/>
          <w:numId w:val="2"/>
        </w:numPr>
        <w:rPr>
          <w:b/>
          <w:bCs/>
        </w:rPr>
      </w:pPr>
      <w:r>
        <w:rPr>
          <w:b/>
          <w:bCs/>
        </w:rPr>
        <w:t xml:space="preserve">PROTANDRY IS </w:t>
      </w:r>
      <w:r w:rsidRPr="0093084E">
        <w:rPr>
          <w:b/>
          <w:bCs/>
          <w:i/>
          <w:iCs/>
          <w:u w:val="single"/>
        </w:rPr>
        <w:t>NOT</w:t>
      </w:r>
      <w:r>
        <w:rPr>
          <w:b/>
          <w:bCs/>
          <w:i/>
          <w:iCs/>
        </w:rPr>
        <w:t xml:space="preserve"> </w:t>
      </w:r>
      <w:r>
        <w:rPr>
          <w:b/>
          <w:bCs/>
        </w:rPr>
        <w:t>THE REVERSE OF PROTOGYNY</w:t>
      </w:r>
    </w:p>
    <w:p w14:paraId="6170948D" w14:textId="44A54913" w:rsidR="008D4618" w:rsidRDefault="008D4618">
      <w:pPr>
        <w:rPr>
          <w:b/>
          <w:bCs/>
        </w:rPr>
      </w:pPr>
      <w:r>
        <w:rPr>
          <w:b/>
          <w:bCs/>
        </w:rPr>
        <w:br w:type="page"/>
      </w:r>
    </w:p>
    <w:p w14:paraId="13F13FE9" w14:textId="28168F02" w:rsidR="008D4618" w:rsidRDefault="008D4618" w:rsidP="008D4618">
      <w:pPr>
        <w:rPr>
          <w:b/>
          <w:bCs/>
        </w:rPr>
      </w:pPr>
      <w:r>
        <w:rPr>
          <w:b/>
          <w:bCs/>
        </w:rPr>
        <w:lastRenderedPageBreak/>
        <w:t>References</w:t>
      </w:r>
    </w:p>
    <w:p w14:paraId="60BE6CFF" w14:textId="77777777" w:rsidR="00380D28" w:rsidRPr="00380D28" w:rsidRDefault="008D4618" w:rsidP="00380D28">
      <w:pPr>
        <w:pStyle w:val="Bibliography"/>
        <w:rPr>
          <w:rFonts w:cs="Times New Roman"/>
        </w:rPr>
      </w:pPr>
      <w:r>
        <w:rPr>
          <w:b/>
          <w:bCs/>
        </w:rPr>
        <w:fldChar w:fldCharType="begin"/>
      </w:r>
      <w:r w:rsidR="00380D28">
        <w:rPr>
          <w:b/>
          <w:bCs/>
        </w:rPr>
        <w:instrText xml:space="preserve"> ADDIN ZOTERO_BIBL {"uncited":[],"omitted":[],"custom":[]} CSL_BIBLIOGRAPHY </w:instrText>
      </w:r>
      <w:r>
        <w:rPr>
          <w:b/>
          <w:bCs/>
        </w:rPr>
        <w:fldChar w:fldCharType="separate"/>
      </w:r>
      <w:r w:rsidR="00380D28" w:rsidRPr="00380D28">
        <w:rPr>
          <w:rFonts w:cs="Times New Roman"/>
        </w:rPr>
        <w:t>1.</w:t>
      </w:r>
      <w:r w:rsidR="00380D28" w:rsidRPr="00380D28">
        <w:rPr>
          <w:rFonts w:cs="Times New Roman"/>
        </w:rPr>
        <w:tab/>
        <w:t xml:space="preserve">Parker, C. G., Lee, J. S., Histed, A. R., Craig, S. E. &amp; Rhodes, J. S. Stable and persistent male-like behavior during male-to-female sex change in the common clownfish Amphiprion ocellaris. </w:t>
      </w:r>
      <w:r w:rsidR="00380D28" w:rsidRPr="00380D28">
        <w:rPr>
          <w:rFonts w:cs="Times New Roman"/>
          <w:i/>
          <w:iCs/>
        </w:rPr>
        <w:t>Hormones and Behavior</w:t>
      </w:r>
      <w:r w:rsidR="00380D28" w:rsidRPr="00380D28">
        <w:rPr>
          <w:rFonts w:cs="Times New Roman"/>
        </w:rPr>
        <w:t xml:space="preserve"> </w:t>
      </w:r>
      <w:r w:rsidR="00380D28" w:rsidRPr="00380D28">
        <w:rPr>
          <w:rFonts w:cs="Times New Roman"/>
          <w:b/>
          <w:bCs/>
        </w:rPr>
        <w:t>145</w:t>
      </w:r>
      <w:r w:rsidR="00380D28" w:rsidRPr="00380D28">
        <w:rPr>
          <w:rFonts w:cs="Times New Roman"/>
        </w:rPr>
        <w:t>, 105239 (2022).</w:t>
      </w:r>
    </w:p>
    <w:p w14:paraId="0468638F" w14:textId="77777777" w:rsidR="00380D28" w:rsidRPr="00380D28" w:rsidRDefault="00380D28" w:rsidP="00380D28">
      <w:pPr>
        <w:pStyle w:val="Bibliography"/>
        <w:rPr>
          <w:rFonts w:cs="Times New Roman"/>
        </w:rPr>
      </w:pPr>
      <w:r w:rsidRPr="00380D28">
        <w:rPr>
          <w:rFonts w:cs="Times New Roman"/>
        </w:rPr>
        <w:t>2.</w:t>
      </w:r>
      <w:r w:rsidRPr="00380D28">
        <w:rPr>
          <w:rFonts w:cs="Times New Roman"/>
        </w:rPr>
        <w:tab/>
        <w:t xml:space="preserve">Phillips, E., DeAngelis, R., Gogola, J. V. &amp; Rhodes, J. S. Spontaneous alloparental care of unrelated offspring by non-breeding Amphiprion ocellaris in absence of the biological parents. </w:t>
      </w:r>
      <w:r w:rsidRPr="00380D28">
        <w:rPr>
          <w:rFonts w:cs="Times New Roman"/>
          <w:i/>
          <w:iCs/>
        </w:rPr>
        <w:t>Sci Rep</w:t>
      </w:r>
      <w:r w:rsidRPr="00380D28">
        <w:rPr>
          <w:rFonts w:cs="Times New Roman"/>
        </w:rPr>
        <w:t xml:space="preserve"> </w:t>
      </w:r>
      <w:r w:rsidRPr="00380D28">
        <w:rPr>
          <w:rFonts w:cs="Times New Roman"/>
          <w:b/>
          <w:bCs/>
        </w:rPr>
        <w:t>10</w:t>
      </w:r>
      <w:r w:rsidRPr="00380D28">
        <w:rPr>
          <w:rFonts w:cs="Times New Roman"/>
        </w:rPr>
        <w:t>, 4610 (2020).</w:t>
      </w:r>
    </w:p>
    <w:p w14:paraId="33C00E29" w14:textId="77777777" w:rsidR="00380D28" w:rsidRPr="00380D28" w:rsidRDefault="00380D28" w:rsidP="00380D28">
      <w:pPr>
        <w:pStyle w:val="Bibliography"/>
        <w:rPr>
          <w:rFonts w:cs="Times New Roman"/>
        </w:rPr>
      </w:pPr>
      <w:r w:rsidRPr="00380D28">
        <w:rPr>
          <w:rFonts w:cs="Times New Roman"/>
        </w:rPr>
        <w:t>3.</w:t>
      </w:r>
      <w:r w:rsidRPr="00380D28">
        <w:rPr>
          <w:rFonts w:cs="Times New Roman"/>
        </w:rPr>
        <w:tab/>
        <w:t xml:space="preserve">DeAngelis, R. &amp; Rhodes, J. S. Sex Differences in Steroid Hormones and Parental Effort across the Breeding Cycle in </w:t>
      </w:r>
      <w:r w:rsidRPr="00380D28">
        <w:rPr>
          <w:rFonts w:cs="Times New Roman"/>
          <w:i/>
          <w:iCs/>
        </w:rPr>
        <w:t>Amphiprion ocellaris</w:t>
      </w:r>
      <w:r w:rsidRPr="00380D28">
        <w:rPr>
          <w:rFonts w:cs="Times New Roman"/>
        </w:rPr>
        <w:t xml:space="preserve">. </w:t>
      </w:r>
      <w:r w:rsidRPr="00380D28">
        <w:rPr>
          <w:rFonts w:cs="Times New Roman"/>
          <w:i/>
          <w:iCs/>
        </w:rPr>
        <w:t>Copeia</w:t>
      </w:r>
      <w:r w:rsidRPr="00380D28">
        <w:rPr>
          <w:rFonts w:cs="Times New Roman"/>
        </w:rPr>
        <w:t xml:space="preserve"> </w:t>
      </w:r>
      <w:r w:rsidRPr="00380D28">
        <w:rPr>
          <w:rFonts w:cs="Times New Roman"/>
          <w:b/>
          <w:bCs/>
        </w:rPr>
        <w:t>104</w:t>
      </w:r>
      <w:r w:rsidRPr="00380D28">
        <w:rPr>
          <w:rFonts w:cs="Times New Roman"/>
        </w:rPr>
        <w:t>, 586–593 (2016).</w:t>
      </w:r>
    </w:p>
    <w:p w14:paraId="69EC10FC" w14:textId="77777777" w:rsidR="00380D28" w:rsidRPr="00380D28" w:rsidRDefault="00380D28" w:rsidP="00380D28">
      <w:pPr>
        <w:pStyle w:val="Bibliography"/>
        <w:rPr>
          <w:rFonts w:cs="Times New Roman"/>
        </w:rPr>
      </w:pPr>
      <w:r w:rsidRPr="00380D28">
        <w:rPr>
          <w:rFonts w:cs="Times New Roman"/>
        </w:rPr>
        <w:t>4.</w:t>
      </w:r>
      <w:r w:rsidRPr="00380D28">
        <w:rPr>
          <w:rFonts w:cs="Times New Roman"/>
        </w:rPr>
        <w:tab/>
        <w:t xml:space="preserve">DeAngelis, R., Dodd, L., Snyder, A. &amp; Rhodes, J. S. Dynamic regulation of brain aromatase and isotocin receptor gene expression depends on parenting status. </w:t>
      </w:r>
      <w:r w:rsidRPr="00380D28">
        <w:rPr>
          <w:rFonts w:cs="Times New Roman"/>
          <w:i/>
          <w:iCs/>
        </w:rPr>
        <w:t>Hormones and Behavior</w:t>
      </w:r>
      <w:r w:rsidRPr="00380D28">
        <w:rPr>
          <w:rFonts w:cs="Times New Roman"/>
        </w:rPr>
        <w:t xml:space="preserve"> </w:t>
      </w:r>
      <w:r w:rsidRPr="00380D28">
        <w:rPr>
          <w:rFonts w:cs="Times New Roman"/>
          <w:b/>
          <w:bCs/>
        </w:rPr>
        <w:t>103</w:t>
      </w:r>
      <w:r w:rsidRPr="00380D28">
        <w:rPr>
          <w:rFonts w:cs="Times New Roman"/>
        </w:rPr>
        <w:t>, 62–70 (2018).</w:t>
      </w:r>
    </w:p>
    <w:p w14:paraId="20548870" w14:textId="77777777" w:rsidR="00380D28" w:rsidRPr="00380D28" w:rsidRDefault="00380D28" w:rsidP="00380D28">
      <w:pPr>
        <w:pStyle w:val="Bibliography"/>
        <w:rPr>
          <w:rFonts w:cs="Times New Roman"/>
        </w:rPr>
      </w:pPr>
      <w:r w:rsidRPr="00380D28">
        <w:rPr>
          <w:rFonts w:cs="Times New Roman"/>
        </w:rPr>
        <w:t>5.</w:t>
      </w:r>
      <w:r w:rsidRPr="00380D28">
        <w:rPr>
          <w:rFonts w:cs="Times New Roman"/>
        </w:rPr>
        <w:tab/>
        <w:t xml:space="preserve">DeAngelis, R., Dodd, L. &amp; Rhodes, J. Nonapeptides mediate trade-offs in parental care strategy. </w:t>
      </w:r>
      <w:r w:rsidRPr="00380D28">
        <w:rPr>
          <w:rFonts w:cs="Times New Roman"/>
          <w:i/>
          <w:iCs/>
        </w:rPr>
        <w:t>Hormones and Behavior</w:t>
      </w:r>
      <w:r w:rsidRPr="00380D28">
        <w:rPr>
          <w:rFonts w:cs="Times New Roman"/>
        </w:rPr>
        <w:t xml:space="preserve"> </w:t>
      </w:r>
      <w:r w:rsidRPr="00380D28">
        <w:rPr>
          <w:rFonts w:cs="Times New Roman"/>
          <w:b/>
          <w:bCs/>
        </w:rPr>
        <w:t>121</w:t>
      </w:r>
      <w:r w:rsidRPr="00380D28">
        <w:rPr>
          <w:rFonts w:cs="Times New Roman"/>
        </w:rPr>
        <w:t>, 104717 (2020).</w:t>
      </w:r>
    </w:p>
    <w:p w14:paraId="6602F1F3" w14:textId="77777777" w:rsidR="00380D28" w:rsidRPr="00380D28" w:rsidRDefault="00380D28" w:rsidP="00380D28">
      <w:pPr>
        <w:pStyle w:val="Bibliography"/>
        <w:rPr>
          <w:rFonts w:cs="Times New Roman"/>
        </w:rPr>
      </w:pPr>
      <w:r w:rsidRPr="00380D28">
        <w:rPr>
          <w:rFonts w:cs="Times New Roman"/>
        </w:rPr>
        <w:t>6.</w:t>
      </w:r>
      <w:r w:rsidRPr="00380D28">
        <w:rPr>
          <w:rFonts w:cs="Times New Roman"/>
        </w:rPr>
        <w:tab/>
        <w:t xml:space="preserve">Graham, G. J., Wilton, I. M., Panczyk, E. K. &amp; Rhodes, J. S. Novel behavioural assays reveal sex-specific behavioural syndromes in anemonefish. </w:t>
      </w:r>
      <w:r w:rsidRPr="00380D28">
        <w:rPr>
          <w:rFonts w:cs="Times New Roman"/>
          <w:i/>
          <w:iCs/>
        </w:rPr>
        <w:t>J Fish Biol</w:t>
      </w:r>
      <w:r w:rsidRPr="00380D28">
        <w:rPr>
          <w:rFonts w:cs="Times New Roman"/>
        </w:rPr>
        <w:t xml:space="preserve"> </w:t>
      </w:r>
      <w:r w:rsidRPr="00380D28">
        <w:rPr>
          <w:rFonts w:cs="Times New Roman"/>
          <w:b/>
          <w:bCs/>
        </w:rPr>
        <w:t>106</w:t>
      </w:r>
      <w:r w:rsidRPr="00380D28">
        <w:rPr>
          <w:rFonts w:cs="Times New Roman"/>
        </w:rPr>
        <w:t>, 1845–1862 (2025).</w:t>
      </w:r>
    </w:p>
    <w:p w14:paraId="1A08D923" w14:textId="77777777" w:rsidR="00380D28" w:rsidRPr="00380D28" w:rsidRDefault="00380D28" w:rsidP="00380D28">
      <w:pPr>
        <w:pStyle w:val="Bibliography"/>
        <w:rPr>
          <w:rFonts w:cs="Times New Roman"/>
        </w:rPr>
      </w:pPr>
      <w:r w:rsidRPr="00380D28">
        <w:rPr>
          <w:rFonts w:cs="Times New Roman"/>
        </w:rPr>
        <w:t>7.</w:t>
      </w:r>
      <w:r w:rsidRPr="00380D28">
        <w:rPr>
          <w:rFonts w:cs="Times New Roman"/>
        </w:rPr>
        <w:tab/>
        <w:t xml:space="preserve">Parker, C. G. </w:t>
      </w:r>
      <w:r w:rsidRPr="00380D28">
        <w:rPr>
          <w:rFonts w:cs="Times New Roman"/>
          <w:i/>
          <w:iCs/>
        </w:rPr>
        <w:t>et al.</w:t>
      </w:r>
      <w:r w:rsidRPr="00380D28">
        <w:rPr>
          <w:rFonts w:cs="Times New Roman"/>
        </w:rPr>
        <w:t xml:space="preserve"> New cells added to the preoptic area during sex change in the common clownfish Amphiprion ocellaris. </w:t>
      </w:r>
      <w:r w:rsidRPr="00380D28">
        <w:rPr>
          <w:rFonts w:cs="Times New Roman"/>
          <w:i/>
          <w:iCs/>
        </w:rPr>
        <w:t>General and Comparative Endocrinology</w:t>
      </w:r>
      <w:r w:rsidRPr="00380D28">
        <w:rPr>
          <w:rFonts w:cs="Times New Roman"/>
        </w:rPr>
        <w:t xml:space="preserve"> </w:t>
      </w:r>
      <w:r w:rsidRPr="00380D28">
        <w:rPr>
          <w:rFonts w:cs="Times New Roman"/>
          <w:b/>
          <w:bCs/>
        </w:rPr>
        <w:t>333</w:t>
      </w:r>
      <w:r w:rsidRPr="00380D28">
        <w:rPr>
          <w:rFonts w:cs="Times New Roman"/>
        </w:rPr>
        <w:t>, 114185 (2023).</w:t>
      </w:r>
    </w:p>
    <w:p w14:paraId="607ECFBB" w14:textId="77777777" w:rsidR="00380D28" w:rsidRPr="00380D28" w:rsidRDefault="00380D28" w:rsidP="00380D28">
      <w:pPr>
        <w:pStyle w:val="Bibliography"/>
        <w:rPr>
          <w:rFonts w:cs="Times New Roman"/>
        </w:rPr>
      </w:pPr>
      <w:r w:rsidRPr="00380D28">
        <w:rPr>
          <w:rFonts w:cs="Times New Roman"/>
        </w:rPr>
        <w:t>8.</w:t>
      </w:r>
      <w:r w:rsidRPr="00380D28">
        <w:rPr>
          <w:rFonts w:cs="Times New Roman"/>
        </w:rPr>
        <w:tab/>
        <w:t xml:space="preserve">Parker, C. G. </w:t>
      </w:r>
      <w:r w:rsidRPr="00380D28">
        <w:rPr>
          <w:rFonts w:cs="Times New Roman"/>
          <w:i/>
          <w:iCs/>
        </w:rPr>
        <w:t>et al.</w:t>
      </w:r>
      <w:r w:rsidRPr="00380D28">
        <w:rPr>
          <w:rFonts w:cs="Times New Roman"/>
        </w:rPr>
        <w:t xml:space="preserve"> Adult sex change leads to extensive forebrain reorganization in clownfish. </w:t>
      </w:r>
      <w:r w:rsidRPr="00380D28">
        <w:rPr>
          <w:rFonts w:cs="Times New Roman"/>
          <w:i/>
          <w:iCs/>
        </w:rPr>
        <w:t>Biol Sex Differ</w:t>
      </w:r>
      <w:r w:rsidRPr="00380D28">
        <w:rPr>
          <w:rFonts w:cs="Times New Roman"/>
        </w:rPr>
        <w:t xml:space="preserve"> </w:t>
      </w:r>
      <w:r w:rsidRPr="00380D28">
        <w:rPr>
          <w:rFonts w:cs="Times New Roman"/>
          <w:b/>
          <w:bCs/>
        </w:rPr>
        <w:t>15</w:t>
      </w:r>
      <w:r w:rsidRPr="00380D28">
        <w:rPr>
          <w:rFonts w:cs="Times New Roman"/>
        </w:rPr>
        <w:t>, 58 (2024).</w:t>
      </w:r>
    </w:p>
    <w:p w14:paraId="7BF425BA" w14:textId="77777777" w:rsidR="00380D28" w:rsidRPr="00380D28" w:rsidRDefault="00380D28" w:rsidP="00380D28">
      <w:pPr>
        <w:pStyle w:val="Bibliography"/>
        <w:rPr>
          <w:rFonts w:cs="Times New Roman"/>
        </w:rPr>
      </w:pPr>
      <w:r w:rsidRPr="00380D28">
        <w:rPr>
          <w:rFonts w:cs="Times New Roman"/>
        </w:rPr>
        <w:t>9.</w:t>
      </w:r>
      <w:r w:rsidRPr="00380D28">
        <w:rPr>
          <w:rFonts w:cs="Times New Roman"/>
        </w:rPr>
        <w:tab/>
        <w:t xml:space="preserve">Casas, L. </w:t>
      </w:r>
      <w:r w:rsidRPr="00380D28">
        <w:rPr>
          <w:rFonts w:cs="Times New Roman"/>
          <w:i/>
          <w:iCs/>
        </w:rPr>
        <w:t>et al.</w:t>
      </w:r>
      <w:r w:rsidRPr="00380D28">
        <w:rPr>
          <w:rFonts w:cs="Times New Roman"/>
        </w:rPr>
        <w:t xml:space="preserve"> Sex Change in Clownfish: Molecular Insights from Transcriptome Analysis. </w:t>
      </w:r>
      <w:r w:rsidRPr="00380D28">
        <w:rPr>
          <w:rFonts w:cs="Times New Roman"/>
          <w:i/>
          <w:iCs/>
        </w:rPr>
        <w:t>Sci Rep</w:t>
      </w:r>
      <w:r w:rsidRPr="00380D28">
        <w:rPr>
          <w:rFonts w:cs="Times New Roman"/>
        </w:rPr>
        <w:t xml:space="preserve"> </w:t>
      </w:r>
      <w:r w:rsidRPr="00380D28">
        <w:rPr>
          <w:rFonts w:cs="Times New Roman"/>
          <w:b/>
          <w:bCs/>
        </w:rPr>
        <w:t>6</w:t>
      </w:r>
      <w:r w:rsidRPr="00380D28">
        <w:rPr>
          <w:rFonts w:cs="Times New Roman"/>
        </w:rPr>
        <w:t>, 35461 (2016).</w:t>
      </w:r>
    </w:p>
    <w:p w14:paraId="605846E1" w14:textId="77777777" w:rsidR="00380D28" w:rsidRPr="00380D28" w:rsidRDefault="00380D28" w:rsidP="00380D28">
      <w:pPr>
        <w:pStyle w:val="Bibliography"/>
        <w:rPr>
          <w:rFonts w:cs="Times New Roman"/>
        </w:rPr>
      </w:pPr>
      <w:r w:rsidRPr="00380D28">
        <w:rPr>
          <w:rFonts w:cs="Times New Roman"/>
        </w:rPr>
        <w:lastRenderedPageBreak/>
        <w:t>10.</w:t>
      </w:r>
      <w:r w:rsidRPr="00380D28">
        <w:rPr>
          <w:rFonts w:cs="Times New Roman"/>
        </w:rPr>
        <w:tab/>
        <w:t xml:space="preserve">Prim, J. H. </w:t>
      </w:r>
      <w:r w:rsidRPr="00380D28">
        <w:rPr>
          <w:rFonts w:cs="Times New Roman"/>
          <w:i/>
          <w:iCs/>
        </w:rPr>
        <w:t>et al.</w:t>
      </w:r>
      <w:r w:rsidRPr="00380D28">
        <w:rPr>
          <w:rFonts w:cs="Times New Roman"/>
        </w:rPr>
        <w:t xml:space="preserve"> Estrogenic signaling and sociosexual behavior in wild sex-changing bluehead wrasses, Thalassoma bifasciatum. </w:t>
      </w:r>
      <w:r w:rsidRPr="00380D28">
        <w:rPr>
          <w:rFonts w:cs="Times New Roman"/>
          <w:i/>
          <w:iCs/>
        </w:rPr>
        <w:t>Journal of Experimental Zoology Part A: Ecological and Integrative Physiology</w:t>
      </w:r>
      <w:r w:rsidRPr="00380D28">
        <w:rPr>
          <w:rFonts w:cs="Times New Roman"/>
        </w:rPr>
        <w:t xml:space="preserve"> </w:t>
      </w:r>
      <w:r w:rsidRPr="00380D28">
        <w:rPr>
          <w:rFonts w:cs="Times New Roman"/>
          <w:b/>
          <w:bCs/>
        </w:rPr>
        <w:t>337</w:t>
      </w:r>
      <w:r w:rsidRPr="00380D28">
        <w:rPr>
          <w:rFonts w:cs="Times New Roman"/>
        </w:rPr>
        <w:t>, 24–34 (2022).</w:t>
      </w:r>
    </w:p>
    <w:p w14:paraId="35A41EC0" w14:textId="77777777" w:rsidR="00380D28" w:rsidRPr="00380D28" w:rsidRDefault="00380D28" w:rsidP="00380D28">
      <w:pPr>
        <w:pStyle w:val="Bibliography"/>
        <w:rPr>
          <w:rFonts w:cs="Times New Roman"/>
        </w:rPr>
      </w:pPr>
      <w:r w:rsidRPr="00380D28">
        <w:rPr>
          <w:rFonts w:cs="Times New Roman"/>
        </w:rPr>
        <w:t>11.</w:t>
      </w:r>
      <w:r w:rsidRPr="00380D28">
        <w:rPr>
          <w:rFonts w:cs="Times New Roman"/>
        </w:rPr>
        <w:tab/>
        <w:t xml:space="preserve">Todd, E. V. </w:t>
      </w:r>
      <w:r w:rsidRPr="00380D28">
        <w:rPr>
          <w:rFonts w:cs="Times New Roman"/>
          <w:i/>
          <w:iCs/>
        </w:rPr>
        <w:t>et al.</w:t>
      </w:r>
      <w:r w:rsidRPr="00380D28">
        <w:rPr>
          <w:rFonts w:cs="Times New Roman"/>
        </w:rPr>
        <w:t xml:space="preserve"> Female Mimicry by Sneaker Males Has a Transcriptomic Signature in Both the Brain and the Gonad in a Sex-Changing Fish. </w:t>
      </w:r>
      <w:r w:rsidRPr="00380D28">
        <w:rPr>
          <w:rFonts w:cs="Times New Roman"/>
          <w:i/>
          <w:iCs/>
        </w:rPr>
        <w:t>Molecular Biology and Evolution</w:t>
      </w:r>
      <w:r w:rsidRPr="00380D28">
        <w:rPr>
          <w:rFonts w:cs="Times New Roman"/>
        </w:rPr>
        <w:t xml:space="preserve"> </w:t>
      </w:r>
      <w:r w:rsidRPr="00380D28">
        <w:rPr>
          <w:rFonts w:cs="Times New Roman"/>
          <w:b/>
          <w:bCs/>
        </w:rPr>
        <w:t>35</w:t>
      </w:r>
      <w:r w:rsidRPr="00380D28">
        <w:rPr>
          <w:rFonts w:cs="Times New Roman"/>
        </w:rPr>
        <w:t>, 225–241 (2018).</w:t>
      </w:r>
    </w:p>
    <w:p w14:paraId="743C6CA3" w14:textId="77777777" w:rsidR="00380D28" w:rsidRPr="00380D28" w:rsidRDefault="00380D28" w:rsidP="00380D28">
      <w:pPr>
        <w:pStyle w:val="Bibliography"/>
        <w:rPr>
          <w:rFonts w:cs="Times New Roman"/>
        </w:rPr>
      </w:pPr>
      <w:r w:rsidRPr="00380D28">
        <w:rPr>
          <w:rFonts w:cs="Times New Roman"/>
        </w:rPr>
        <w:t>12.</w:t>
      </w:r>
      <w:r w:rsidRPr="00380D28">
        <w:rPr>
          <w:rFonts w:cs="Times New Roman"/>
        </w:rPr>
        <w:tab/>
        <w:t xml:space="preserve">Liu, H. </w:t>
      </w:r>
      <w:r w:rsidRPr="00380D28">
        <w:rPr>
          <w:rFonts w:cs="Times New Roman"/>
          <w:i/>
          <w:iCs/>
        </w:rPr>
        <w:t>et al.</w:t>
      </w:r>
      <w:r w:rsidRPr="00380D28">
        <w:rPr>
          <w:rFonts w:cs="Times New Roman"/>
        </w:rPr>
        <w:t xml:space="preserve"> Large-scale transcriptome sequencing reveals novel expression patterns for key sex-related genes in a sex-changing fish. </w:t>
      </w:r>
      <w:r w:rsidRPr="00380D28">
        <w:rPr>
          <w:rFonts w:cs="Times New Roman"/>
          <w:i/>
          <w:iCs/>
        </w:rPr>
        <w:t>Biology of Sex Differences</w:t>
      </w:r>
      <w:r w:rsidRPr="00380D28">
        <w:rPr>
          <w:rFonts w:cs="Times New Roman"/>
        </w:rPr>
        <w:t xml:space="preserve"> </w:t>
      </w:r>
      <w:r w:rsidRPr="00380D28">
        <w:rPr>
          <w:rFonts w:cs="Times New Roman"/>
          <w:b/>
          <w:bCs/>
        </w:rPr>
        <w:t>6</w:t>
      </w:r>
      <w:r w:rsidRPr="00380D28">
        <w:rPr>
          <w:rFonts w:cs="Times New Roman"/>
        </w:rPr>
        <w:t>, 26 (2015).</w:t>
      </w:r>
    </w:p>
    <w:p w14:paraId="4D208E98" w14:textId="77777777" w:rsidR="00380D28" w:rsidRPr="00380D28" w:rsidRDefault="00380D28" w:rsidP="00380D28">
      <w:pPr>
        <w:pStyle w:val="Bibliography"/>
        <w:rPr>
          <w:rFonts w:cs="Times New Roman"/>
        </w:rPr>
      </w:pPr>
      <w:r w:rsidRPr="00380D28">
        <w:rPr>
          <w:rFonts w:cs="Times New Roman"/>
        </w:rPr>
        <w:t>13.</w:t>
      </w:r>
      <w:r w:rsidRPr="00380D28">
        <w:rPr>
          <w:rFonts w:cs="Times New Roman"/>
        </w:rPr>
        <w:tab/>
        <w:t xml:space="preserve">Graham, G. J. &amp; Rhodes, J. S. Plasticity of brain sexual dimorphism as revealed by sex changing fish. </w:t>
      </w:r>
      <w:r w:rsidRPr="00380D28">
        <w:rPr>
          <w:rFonts w:cs="Times New Roman"/>
          <w:i/>
          <w:iCs/>
        </w:rPr>
        <w:t>Current Opinion in Neurobiology</w:t>
      </w:r>
      <w:r w:rsidRPr="00380D28">
        <w:rPr>
          <w:rFonts w:cs="Times New Roman"/>
        </w:rPr>
        <w:t xml:space="preserve"> </w:t>
      </w:r>
      <w:r w:rsidRPr="00380D28">
        <w:rPr>
          <w:rFonts w:cs="Times New Roman"/>
          <w:b/>
          <w:bCs/>
        </w:rPr>
        <w:t>94</w:t>
      </w:r>
      <w:r w:rsidRPr="00380D28">
        <w:rPr>
          <w:rFonts w:cs="Times New Roman"/>
        </w:rPr>
        <w:t>, 103094 (2025).</w:t>
      </w:r>
    </w:p>
    <w:p w14:paraId="750B2DEA" w14:textId="77777777" w:rsidR="00380D28" w:rsidRPr="00380D28" w:rsidRDefault="00380D28" w:rsidP="00380D28">
      <w:pPr>
        <w:pStyle w:val="Bibliography"/>
        <w:rPr>
          <w:rFonts w:cs="Times New Roman"/>
        </w:rPr>
      </w:pPr>
      <w:r w:rsidRPr="00380D28">
        <w:rPr>
          <w:rFonts w:cs="Times New Roman"/>
        </w:rPr>
        <w:t>14.</w:t>
      </w:r>
      <w:r w:rsidRPr="00380D28">
        <w:rPr>
          <w:rFonts w:cs="Times New Roman"/>
        </w:rPr>
        <w:tab/>
        <w:t xml:space="preserve">Lorenzi, V., Earley, R. L. &amp; Grober, M. S. Differential Responses of Brain, Gonad and Muscle Steroid Levels to Changes in Social Status and Sex in a Sequential and Bidirectional Hermaphroditic Fish. </w:t>
      </w:r>
      <w:r w:rsidRPr="00380D28">
        <w:rPr>
          <w:rFonts w:cs="Times New Roman"/>
          <w:i/>
          <w:iCs/>
        </w:rPr>
        <w:t>PLOS ONE</w:t>
      </w:r>
      <w:r w:rsidRPr="00380D28">
        <w:rPr>
          <w:rFonts w:cs="Times New Roman"/>
        </w:rPr>
        <w:t xml:space="preserve"> </w:t>
      </w:r>
      <w:r w:rsidRPr="00380D28">
        <w:rPr>
          <w:rFonts w:cs="Times New Roman"/>
          <w:b/>
          <w:bCs/>
        </w:rPr>
        <w:t>7</w:t>
      </w:r>
      <w:r w:rsidRPr="00380D28">
        <w:rPr>
          <w:rFonts w:cs="Times New Roman"/>
        </w:rPr>
        <w:t>, e51158 (2012).</w:t>
      </w:r>
    </w:p>
    <w:p w14:paraId="48ED5BE6" w14:textId="77777777" w:rsidR="00380D28" w:rsidRPr="00380D28" w:rsidRDefault="00380D28" w:rsidP="00380D28">
      <w:pPr>
        <w:pStyle w:val="Bibliography"/>
        <w:rPr>
          <w:rFonts w:cs="Times New Roman"/>
        </w:rPr>
      </w:pPr>
      <w:r w:rsidRPr="00380D28">
        <w:rPr>
          <w:rFonts w:cs="Times New Roman"/>
        </w:rPr>
        <w:t>15.</w:t>
      </w:r>
      <w:r w:rsidRPr="00380D28">
        <w:rPr>
          <w:rFonts w:cs="Times New Roman"/>
        </w:rPr>
        <w:tab/>
        <w:t xml:space="preserve">White, K. J., Rivas, M. G. &amp; Pradhan, D. S. Sex differences in aggressive intensities and brain steroids during status resolution in a sex changing fish, </w:t>
      </w:r>
      <w:r w:rsidRPr="00380D28">
        <w:rPr>
          <w:rFonts w:cs="Times New Roman"/>
          <w:i/>
          <w:iCs/>
        </w:rPr>
        <w:t>Lythrypnus dalli</w:t>
      </w:r>
      <w:r w:rsidRPr="00380D28">
        <w:rPr>
          <w:rFonts w:cs="Times New Roman"/>
        </w:rPr>
        <w:t xml:space="preserve">. </w:t>
      </w:r>
      <w:r w:rsidRPr="00380D28">
        <w:rPr>
          <w:rFonts w:cs="Times New Roman"/>
          <w:i/>
          <w:iCs/>
        </w:rPr>
        <w:t>Hormones and Behavior</w:t>
      </w:r>
      <w:r w:rsidRPr="00380D28">
        <w:rPr>
          <w:rFonts w:cs="Times New Roman"/>
        </w:rPr>
        <w:t xml:space="preserve"> </w:t>
      </w:r>
      <w:r w:rsidRPr="00380D28">
        <w:rPr>
          <w:rFonts w:cs="Times New Roman"/>
          <w:b/>
          <w:bCs/>
        </w:rPr>
        <w:t>153</w:t>
      </w:r>
      <w:r w:rsidRPr="00380D28">
        <w:rPr>
          <w:rFonts w:cs="Times New Roman"/>
        </w:rPr>
        <w:t>, 105373 (2023).</w:t>
      </w:r>
    </w:p>
    <w:p w14:paraId="54EB63FD" w14:textId="77777777" w:rsidR="00380D28" w:rsidRPr="00380D28" w:rsidRDefault="00380D28" w:rsidP="00380D28">
      <w:pPr>
        <w:pStyle w:val="Bibliography"/>
        <w:rPr>
          <w:rFonts w:cs="Times New Roman"/>
        </w:rPr>
      </w:pPr>
      <w:r w:rsidRPr="00380D28">
        <w:rPr>
          <w:rFonts w:cs="Times New Roman"/>
        </w:rPr>
        <w:t>16.</w:t>
      </w:r>
      <w:r w:rsidRPr="00380D28">
        <w:rPr>
          <w:rFonts w:cs="Times New Roman"/>
        </w:rPr>
        <w:tab/>
        <w:t xml:space="preserve">Diotel, N. </w:t>
      </w:r>
      <w:r w:rsidRPr="00380D28">
        <w:rPr>
          <w:rFonts w:cs="Times New Roman"/>
          <w:i/>
          <w:iCs/>
        </w:rPr>
        <w:t>et al.</w:t>
      </w:r>
      <w:r w:rsidRPr="00380D28">
        <w:rPr>
          <w:rFonts w:cs="Times New Roman"/>
        </w:rPr>
        <w:t xml:space="preserve"> Steroid Transport, Local Synthesis, and Signaling within the Brain: Roles in Neurogenesis, Neuroprotection, and Sexual Behaviors. </w:t>
      </w:r>
      <w:r w:rsidRPr="00380D28">
        <w:rPr>
          <w:rFonts w:cs="Times New Roman"/>
          <w:i/>
          <w:iCs/>
        </w:rPr>
        <w:t>Front Neurosci</w:t>
      </w:r>
      <w:r w:rsidRPr="00380D28">
        <w:rPr>
          <w:rFonts w:cs="Times New Roman"/>
        </w:rPr>
        <w:t xml:space="preserve"> </w:t>
      </w:r>
      <w:r w:rsidRPr="00380D28">
        <w:rPr>
          <w:rFonts w:cs="Times New Roman"/>
          <w:b/>
          <w:bCs/>
        </w:rPr>
        <w:t>12</w:t>
      </w:r>
      <w:r w:rsidRPr="00380D28">
        <w:rPr>
          <w:rFonts w:cs="Times New Roman"/>
        </w:rPr>
        <w:t>, 84 (2018).</w:t>
      </w:r>
    </w:p>
    <w:p w14:paraId="6567CE27" w14:textId="77777777" w:rsidR="00380D28" w:rsidRPr="00380D28" w:rsidRDefault="00380D28" w:rsidP="00380D28">
      <w:pPr>
        <w:pStyle w:val="Bibliography"/>
        <w:rPr>
          <w:rFonts w:cs="Times New Roman"/>
        </w:rPr>
      </w:pPr>
      <w:r w:rsidRPr="00380D28">
        <w:rPr>
          <w:rFonts w:cs="Times New Roman"/>
        </w:rPr>
        <w:t>17.</w:t>
      </w:r>
      <w:r w:rsidRPr="00380D28">
        <w:rPr>
          <w:rFonts w:cs="Times New Roman"/>
        </w:rPr>
        <w:tab/>
        <w:t xml:space="preserve">Diotel, N. </w:t>
      </w:r>
      <w:r w:rsidRPr="00380D28">
        <w:rPr>
          <w:rFonts w:cs="Times New Roman"/>
          <w:i/>
          <w:iCs/>
        </w:rPr>
        <w:t>et al.</w:t>
      </w:r>
      <w:r w:rsidRPr="00380D28">
        <w:rPr>
          <w:rFonts w:cs="Times New Roman"/>
        </w:rPr>
        <w:t xml:space="preserve"> Effects of estradiol in adult neurogenesis and brain repair in zebrafish. </w:t>
      </w:r>
      <w:r w:rsidRPr="00380D28">
        <w:rPr>
          <w:rFonts w:cs="Times New Roman"/>
          <w:i/>
          <w:iCs/>
        </w:rPr>
        <w:t>Hormones and Behavior</w:t>
      </w:r>
      <w:r w:rsidRPr="00380D28">
        <w:rPr>
          <w:rFonts w:cs="Times New Roman"/>
        </w:rPr>
        <w:t xml:space="preserve"> </w:t>
      </w:r>
      <w:r w:rsidRPr="00380D28">
        <w:rPr>
          <w:rFonts w:cs="Times New Roman"/>
          <w:b/>
          <w:bCs/>
        </w:rPr>
        <w:t>63</w:t>
      </w:r>
      <w:r w:rsidRPr="00380D28">
        <w:rPr>
          <w:rFonts w:cs="Times New Roman"/>
        </w:rPr>
        <w:t>, 193–207 (2013).</w:t>
      </w:r>
    </w:p>
    <w:p w14:paraId="5A5CA7ED" w14:textId="77777777" w:rsidR="00380D28" w:rsidRPr="00380D28" w:rsidRDefault="00380D28" w:rsidP="00380D28">
      <w:pPr>
        <w:pStyle w:val="Bibliography"/>
        <w:rPr>
          <w:rFonts w:cs="Times New Roman"/>
        </w:rPr>
      </w:pPr>
      <w:r w:rsidRPr="00380D28">
        <w:rPr>
          <w:rFonts w:cs="Times New Roman"/>
        </w:rPr>
        <w:t>18.</w:t>
      </w:r>
      <w:r w:rsidRPr="00380D28">
        <w:rPr>
          <w:rFonts w:cs="Times New Roman"/>
        </w:rPr>
        <w:tab/>
        <w:t xml:space="preserve">Pellegrini, E. </w:t>
      </w:r>
      <w:r w:rsidRPr="00380D28">
        <w:rPr>
          <w:rFonts w:cs="Times New Roman"/>
          <w:i/>
          <w:iCs/>
        </w:rPr>
        <w:t>et al.</w:t>
      </w:r>
      <w:r w:rsidRPr="00380D28">
        <w:rPr>
          <w:rFonts w:cs="Times New Roman"/>
        </w:rPr>
        <w:t xml:space="preserve"> Steroid modulation of neurogenesis: Focus on radial glial cells in zebrafish. </w:t>
      </w:r>
      <w:r w:rsidRPr="00380D28">
        <w:rPr>
          <w:rFonts w:cs="Times New Roman"/>
          <w:i/>
          <w:iCs/>
        </w:rPr>
        <w:t>The Journal of Steroid Biochemistry and Molecular Biology</w:t>
      </w:r>
      <w:r w:rsidRPr="00380D28">
        <w:rPr>
          <w:rFonts w:cs="Times New Roman"/>
        </w:rPr>
        <w:t xml:space="preserve"> </w:t>
      </w:r>
      <w:r w:rsidRPr="00380D28">
        <w:rPr>
          <w:rFonts w:cs="Times New Roman"/>
          <w:b/>
          <w:bCs/>
        </w:rPr>
        <w:t>160</w:t>
      </w:r>
      <w:r w:rsidRPr="00380D28">
        <w:rPr>
          <w:rFonts w:cs="Times New Roman"/>
        </w:rPr>
        <w:t>, 27–36 (2016).</w:t>
      </w:r>
    </w:p>
    <w:p w14:paraId="2FA30F4F" w14:textId="77777777" w:rsidR="00380D28" w:rsidRPr="00380D28" w:rsidRDefault="00380D28" w:rsidP="00380D28">
      <w:pPr>
        <w:pStyle w:val="Bibliography"/>
        <w:rPr>
          <w:rFonts w:cs="Times New Roman"/>
        </w:rPr>
      </w:pPr>
      <w:r w:rsidRPr="00380D28">
        <w:rPr>
          <w:rFonts w:cs="Times New Roman"/>
        </w:rPr>
        <w:lastRenderedPageBreak/>
        <w:t>19.</w:t>
      </w:r>
      <w:r w:rsidRPr="00380D28">
        <w:rPr>
          <w:rFonts w:cs="Times New Roman"/>
        </w:rPr>
        <w:tab/>
        <w:t xml:space="preserve">Garcia-Segura, L. M., Méndez, P., Arevalo, M. A. &amp; Azcoitia, I. Neuroestradiol and neuronal development: Not an exclusive male tale anymore. </w:t>
      </w:r>
      <w:r w:rsidRPr="00380D28">
        <w:rPr>
          <w:rFonts w:cs="Times New Roman"/>
          <w:i/>
          <w:iCs/>
        </w:rPr>
        <w:t>Frontiers in Neuroendocrinology</w:t>
      </w:r>
      <w:r w:rsidRPr="00380D28">
        <w:rPr>
          <w:rFonts w:cs="Times New Roman"/>
        </w:rPr>
        <w:t xml:space="preserve"> </w:t>
      </w:r>
      <w:r w:rsidRPr="00380D28">
        <w:rPr>
          <w:rFonts w:cs="Times New Roman"/>
          <w:b/>
          <w:bCs/>
        </w:rPr>
        <w:t>71</w:t>
      </w:r>
      <w:r w:rsidRPr="00380D28">
        <w:rPr>
          <w:rFonts w:cs="Times New Roman"/>
        </w:rPr>
        <w:t>, 101102 (2023).</w:t>
      </w:r>
    </w:p>
    <w:p w14:paraId="1D8F05DE" w14:textId="77777777" w:rsidR="00380D28" w:rsidRPr="00380D28" w:rsidRDefault="00380D28" w:rsidP="00380D28">
      <w:pPr>
        <w:pStyle w:val="Bibliography"/>
        <w:rPr>
          <w:rFonts w:cs="Times New Roman"/>
        </w:rPr>
      </w:pPr>
      <w:r w:rsidRPr="00380D28">
        <w:rPr>
          <w:rFonts w:cs="Times New Roman"/>
        </w:rPr>
        <w:t>20.</w:t>
      </w:r>
      <w:r w:rsidRPr="00380D28">
        <w:rPr>
          <w:rFonts w:cs="Times New Roman"/>
        </w:rPr>
        <w:tab/>
        <w:t xml:space="preserve">McCarthy, M. M., Nugent, B. M. &amp; Lenz, K. M. Neuroimmunology and neuroepigenetics in the establishment of sex differences in the brain. </w:t>
      </w:r>
      <w:r w:rsidRPr="00380D28">
        <w:rPr>
          <w:rFonts w:cs="Times New Roman"/>
          <w:i/>
          <w:iCs/>
        </w:rPr>
        <w:t>Nat Rev Neurosci</w:t>
      </w:r>
      <w:r w:rsidRPr="00380D28">
        <w:rPr>
          <w:rFonts w:cs="Times New Roman"/>
        </w:rPr>
        <w:t xml:space="preserve"> </w:t>
      </w:r>
      <w:r w:rsidRPr="00380D28">
        <w:rPr>
          <w:rFonts w:cs="Times New Roman"/>
          <w:b/>
          <w:bCs/>
        </w:rPr>
        <w:t>18</w:t>
      </w:r>
      <w:r w:rsidRPr="00380D28">
        <w:rPr>
          <w:rFonts w:cs="Times New Roman"/>
        </w:rPr>
        <w:t>, 471–484 (2017).</w:t>
      </w:r>
    </w:p>
    <w:p w14:paraId="12E0EA05" w14:textId="77777777" w:rsidR="00380D28" w:rsidRPr="00380D28" w:rsidRDefault="00380D28" w:rsidP="00380D28">
      <w:pPr>
        <w:pStyle w:val="Bibliography"/>
        <w:rPr>
          <w:rFonts w:cs="Times New Roman"/>
        </w:rPr>
      </w:pPr>
      <w:r w:rsidRPr="00380D28">
        <w:rPr>
          <w:rFonts w:cs="Times New Roman"/>
        </w:rPr>
        <w:t>21.</w:t>
      </w:r>
      <w:r w:rsidRPr="00380D28">
        <w:rPr>
          <w:rFonts w:cs="Times New Roman"/>
        </w:rPr>
        <w:tab/>
        <w:t xml:space="preserve">Briscoe, J. </w:t>
      </w:r>
      <w:r w:rsidRPr="00380D28">
        <w:rPr>
          <w:rFonts w:cs="Times New Roman"/>
          <w:i/>
          <w:iCs/>
        </w:rPr>
        <w:t>et al.</w:t>
      </w:r>
      <w:r w:rsidRPr="00380D28">
        <w:rPr>
          <w:rFonts w:cs="Times New Roman"/>
        </w:rPr>
        <w:t xml:space="preserve"> Homeobox gene Nkx2.2 and specification of neuronal identity by graded Sonic hedgehog signalling. </w:t>
      </w:r>
      <w:r w:rsidRPr="00380D28">
        <w:rPr>
          <w:rFonts w:cs="Times New Roman"/>
          <w:i/>
          <w:iCs/>
        </w:rPr>
        <w:t>Nature</w:t>
      </w:r>
      <w:r w:rsidRPr="00380D28">
        <w:rPr>
          <w:rFonts w:cs="Times New Roman"/>
        </w:rPr>
        <w:t xml:space="preserve"> </w:t>
      </w:r>
      <w:r w:rsidRPr="00380D28">
        <w:rPr>
          <w:rFonts w:cs="Times New Roman"/>
          <w:b/>
          <w:bCs/>
        </w:rPr>
        <w:t>398</w:t>
      </w:r>
      <w:r w:rsidRPr="00380D28">
        <w:rPr>
          <w:rFonts w:cs="Times New Roman"/>
        </w:rPr>
        <w:t>, 622–627 (1999).</w:t>
      </w:r>
    </w:p>
    <w:p w14:paraId="597E8986" w14:textId="77777777" w:rsidR="00380D28" w:rsidRPr="00380D28" w:rsidRDefault="00380D28" w:rsidP="00380D28">
      <w:pPr>
        <w:pStyle w:val="Bibliography"/>
        <w:rPr>
          <w:rFonts w:cs="Times New Roman"/>
        </w:rPr>
      </w:pPr>
      <w:r w:rsidRPr="00380D28">
        <w:rPr>
          <w:rFonts w:cs="Times New Roman"/>
        </w:rPr>
        <w:t>22.</w:t>
      </w:r>
      <w:r w:rsidRPr="00380D28">
        <w:rPr>
          <w:rFonts w:cs="Times New Roman"/>
        </w:rPr>
        <w:tab/>
        <w:t xml:space="preserve">Gribble, S. L., Nikolaus, O. B. &amp; Dorsky, R. I. Regulation and function of Dbx genes in the zebrafish spinal cord. </w:t>
      </w:r>
      <w:r w:rsidRPr="00380D28">
        <w:rPr>
          <w:rFonts w:cs="Times New Roman"/>
          <w:i/>
          <w:iCs/>
        </w:rPr>
        <w:t>Developmental Dynamics</w:t>
      </w:r>
      <w:r w:rsidRPr="00380D28">
        <w:rPr>
          <w:rFonts w:cs="Times New Roman"/>
        </w:rPr>
        <w:t xml:space="preserve"> </w:t>
      </w:r>
      <w:r w:rsidRPr="00380D28">
        <w:rPr>
          <w:rFonts w:cs="Times New Roman"/>
          <w:b/>
          <w:bCs/>
        </w:rPr>
        <w:t>236</w:t>
      </w:r>
      <w:r w:rsidRPr="00380D28">
        <w:rPr>
          <w:rFonts w:cs="Times New Roman"/>
        </w:rPr>
        <w:t>, 3472–3483 (2007).</w:t>
      </w:r>
    </w:p>
    <w:p w14:paraId="666EACFF" w14:textId="77777777" w:rsidR="00380D28" w:rsidRPr="00380D28" w:rsidRDefault="00380D28" w:rsidP="00380D28">
      <w:pPr>
        <w:pStyle w:val="Bibliography"/>
        <w:rPr>
          <w:rFonts w:cs="Times New Roman"/>
        </w:rPr>
      </w:pPr>
      <w:r w:rsidRPr="00380D28">
        <w:rPr>
          <w:rFonts w:cs="Times New Roman"/>
        </w:rPr>
        <w:t>23.</w:t>
      </w:r>
      <w:r w:rsidRPr="00380D28">
        <w:rPr>
          <w:rFonts w:cs="Times New Roman"/>
        </w:rPr>
        <w:tab/>
        <w:t xml:space="preserve">Pierani, A. </w:t>
      </w:r>
      <w:r w:rsidRPr="00380D28">
        <w:rPr>
          <w:rFonts w:cs="Times New Roman"/>
          <w:i/>
          <w:iCs/>
        </w:rPr>
        <w:t>et al.</w:t>
      </w:r>
      <w:r w:rsidRPr="00380D28">
        <w:rPr>
          <w:rFonts w:cs="Times New Roman"/>
        </w:rPr>
        <w:t xml:space="preserve"> Control of Interneuron Fate in the Developing Spinal Cord by the Progenitor Homeodomain Protein Dbx1. </w:t>
      </w:r>
      <w:r w:rsidRPr="00380D28">
        <w:rPr>
          <w:rFonts w:cs="Times New Roman"/>
          <w:i/>
          <w:iCs/>
        </w:rPr>
        <w:t>Neuron</w:t>
      </w:r>
      <w:r w:rsidRPr="00380D28">
        <w:rPr>
          <w:rFonts w:cs="Times New Roman"/>
        </w:rPr>
        <w:t xml:space="preserve"> </w:t>
      </w:r>
      <w:r w:rsidRPr="00380D28">
        <w:rPr>
          <w:rFonts w:cs="Times New Roman"/>
          <w:b/>
          <w:bCs/>
        </w:rPr>
        <w:t>29</w:t>
      </w:r>
      <w:r w:rsidRPr="00380D28">
        <w:rPr>
          <w:rFonts w:cs="Times New Roman"/>
        </w:rPr>
        <w:t>, 367–384 (2001).</w:t>
      </w:r>
    </w:p>
    <w:p w14:paraId="3EEFB23D" w14:textId="77777777" w:rsidR="00380D28" w:rsidRPr="00380D28" w:rsidRDefault="00380D28" w:rsidP="00380D28">
      <w:pPr>
        <w:pStyle w:val="Bibliography"/>
        <w:rPr>
          <w:rFonts w:cs="Times New Roman"/>
        </w:rPr>
      </w:pPr>
      <w:r w:rsidRPr="00380D28">
        <w:rPr>
          <w:rFonts w:cs="Times New Roman"/>
        </w:rPr>
        <w:t>24.</w:t>
      </w:r>
      <w:r w:rsidRPr="00380D28">
        <w:rPr>
          <w:rFonts w:cs="Times New Roman"/>
        </w:rPr>
        <w:tab/>
        <w:t xml:space="preserve">Dean, B. J., Erdogan, B., Gamse, J. T. &amp; Wu, S.-Y. Dbx1b defines the dorsal habenular progenitor domain in the zebrafish epithalamus. </w:t>
      </w:r>
      <w:r w:rsidRPr="00380D28">
        <w:rPr>
          <w:rFonts w:cs="Times New Roman"/>
          <w:i/>
          <w:iCs/>
        </w:rPr>
        <w:t>Neural Dev</w:t>
      </w:r>
      <w:r w:rsidRPr="00380D28">
        <w:rPr>
          <w:rFonts w:cs="Times New Roman"/>
        </w:rPr>
        <w:t xml:space="preserve"> </w:t>
      </w:r>
      <w:r w:rsidRPr="00380D28">
        <w:rPr>
          <w:rFonts w:cs="Times New Roman"/>
          <w:b/>
          <w:bCs/>
        </w:rPr>
        <w:t>9</w:t>
      </w:r>
      <w:r w:rsidRPr="00380D28">
        <w:rPr>
          <w:rFonts w:cs="Times New Roman"/>
        </w:rPr>
        <w:t>, 20 (2014).</w:t>
      </w:r>
    </w:p>
    <w:p w14:paraId="0C95B4D1" w14:textId="77777777" w:rsidR="00380D28" w:rsidRPr="00380D28" w:rsidRDefault="00380D28" w:rsidP="00380D28">
      <w:pPr>
        <w:pStyle w:val="Bibliography"/>
        <w:rPr>
          <w:rFonts w:cs="Times New Roman"/>
        </w:rPr>
      </w:pPr>
      <w:r w:rsidRPr="00380D28">
        <w:rPr>
          <w:rFonts w:cs="Times New Roman"/>
        </w:rPr>
        <w:t>25.</w:t>
      </w:r>
      <w:r w:rsidRPr="00380D28">
        <w:rPr>
          <w:rFonts w:cs="Times New Roman"/>
        </w:rPr>
        <w:tab/>
        <w:t xml:space="preserve">Hui, C. &amp; Angers, S. Gli Proteins in Development and Disease. </w:t>
      </w:r>
      <w:r w:rsidRPr="00380D28">
        <w:rPr>
          <w:rFonts w:cs="Times New Roman"/>
          <w:i/>
          <w:iCs/>
        </w:rPr>
        <w:t>Annual Review of Cell and Developmental Biology</w:t>
      </w:r>
      <w:r w:rsidRPr="00380D28">
        <w:rPr>
          <w:rFonts w:cs="Times New Roman"/>
        </w:rPr>
        <w:t xml:space="preserve"> </w:t>
      </w:r>
      <w:r w:rsidRPr="00380D28">
        <w:rPr>
          <w:rFonts w:cs="Times New Roman"/>
          <w:b/>
          <w:bCs/>
        </w:rPr>
        <w:t>27</w:t>
      </w:r>
      <w:r w:rsidRPr="00380D28">
        <w:rPr>
          <w:rFonts w:cs="Times New Roman"/>
        </w:rPr>
        <w:t>, 513–537 (2011).</w:t>
      </w:r>
    </w:p>
    <w:p w14:paraId="6646638E" w14:textId="77777777" w:rsidR="00380D28" w:rsidRPr="00380D28" w:rsidRDefault="00380D28" w:rsidP="00380D28">
      <w:pPr>
        <w:pStyle w:val="Bibliography"/>
        <w:rPr>
          <w:rFonts w:cs="Times New Roman"/>
        </w:rPr>
      </w:pPr>
      <w:r w:rsidRPr="00380D28">
        <w:rPr>
          <w:rFonts w:cs="Times New Roman"/>
        </w:rPr>
        <w:t>26.</w:t>
      </w:r>
      <w:r w:rsidRPr="00380D28">
        <w:rPr>
          <w:rFonts w:cs="Times New Roman"/>
        </w:rPr>
        <w:tab/>
        <w:t xml:space="preserve">Alfano, C., Magrinelli, E., Harb, K. &amp; Studer, M. The nuclear receptors COUP-TF: a long-lasting experience in forebrain assembly. </w:t>
      </w:r>
      <w:r w:rsidRPr="00380D28">
        <w:rPr>
          <w:rFonts w:cs="Times New Roman"/>
          <w:i/>
          <w:iCs/>
        </w:rPr>
        <w:t>Cell Mol Life Sci</w:t>
      </w:r>
      <w:r w:rsidRPr="00380D28">
        <w:rPr>
          <w:rFonts w:cs="Times New Roman"/>
        </w:rPr>
        <w:t xml:space="preserve"> </w:t>
      </w:r>
      <w:r w:rsidRPr="00380D28">
        <w:rPr>
          <w:rFonts w:cs="Times New Roman"/>
          <w:b/>
          <w:bCs/>
        </w:rPr>
        <w:t>71</w:t>
      </w:r>
      <w:r w:rsidRPr="00380D28">
        <w:rPr>
          <w:rFonts w:cs="Times New Roman"/>
        </w:rPr>
        <w:t>, 43–62 (2013).</w:t>
      </w:r>
    </w:p>
    <w:p w14:paraId="3566302E" w14:textId="77777777" w:rsidR="00380D28" w:rsidRPr="00380D28" w:rsidRDefault="00380D28" w:rsidP="00380D28">
      <w:pPr>
        <w:pStyle w:val="Bibliography"/>
        <w:rPr>
          <w:rFonts w:cs="Times New Roman"/>
        </w:rPr>
      </w:pPr>
      <w:r w:rsidRPr="00380D28">
        <w:rPr>
          <w:rFonts w:cs="Times New Roman"/>
        </w:rPr>
        <w:t>27.</w:t>
      </w:r>
      <w:r w:rsidRPr="00380D28">
        <w:rPr>
          <w:rFonts w:cs="Times New Roman"/>
        </w:rPr>
        <w:tab/>
        <w:t xml:space="preserve">Alzu’bi, A. </w:t>
      </w:r>
      <w:r w:rsidRPr="00380D28">
        <w:rPr>
          <w:rFonts w:cs="Times New Roman"/>
          <w:i/>
          <w:iCs/>
        </w:rPr>
        <w:t>et al.</w:t>
      </w:r>
      <w:r w:rsidRPr="00380D28">
        <w:rPr>
          <w:rFonts w:cs="Times New Roman"/>
        </w:rPr>
        <w:t xml:space="preserve"> The Transcription Factors COUP-TFI and COUP-TFII have Distinct Roles in Arealisation and GABAergic Interneuron Specification in the Early Human Fetal Telencephalon. </w:t>
      </w:r>
      <w:r w:rsidRPr="00380D28">
        <w:rPr>
          <w:rFonts w:cs="Times New Roman"/>
          <w:i/>
          <w:iCs/>
        </w:rPr>
        <w:t>Cereb Cortex</w:t>
      </w:r>
      <w:r w:rsidRPr="00380D28">
        <w:rPr>
          <w:rFonts w:cs="Times New Roman"/>
        </w:rPr>
        <w:t xml:space="preserve"> </w:t>
      </w:r>
      <w:r w:rsidRPr="00380D28">
        <w:rPr>
          <w:rFonts w:cs="Times New Roman"/>
          <w:b/>
          <w:bCs/>
        </w:rPr>
        <w:t>27</w:t>
      </w:r>
      <w:r w:rsidRPr="00380D28">
        <w:rPr>
          <w:rFonts w:cs="Times New Roman"/>
        </w:rPr>
        <w:t>, 4971–4987 (2017).</w:t>
      </w:r>
    </w:p>
    <w:p w14:paraId="2C531646" w14:textId="77777777" w:rsidR="00380D28" w:rsidRPr="00380D28" w:rsidRDefault="00380D28" w:rsidP="00380D28">
      <w:pPr>
        <w:pStyle w:val="Bibliography"/>
        <w:rPr>
          <w:rFonts w:cs="Times New Roman"/>
        </w:rPr>
      </w:pPr>
      <w:r w:rsidRPr="00380D28">
        <w:rPr>
          <w:rFonts w:cs="Times New Roman"/>
        </w:rPr>
        <w:t>28.</w:t>
      </w:r>
      <w:r w:rsidRPr="00380D28">
        <w:rPr>
          <w:rFonts w:cs="Times New Roman"/>
        </w:rPr>
        <w:tab/>
        <w:t xml:space="preserve">Kanatani, S. </w:t>
      </w:r>
      <w:r w:rsidRPr="00380D28">
        <w:rPr>
          <w:rFonts w:cs="Times New Roman"/>
          <w:i/>
          <w:iCs/>
        </w:rPr>
        <w:t>et al.</w:t>
      </w:r>
      <w:r w:rsidRPr="00380D28">
        <w:rPr>
          <w:rFonts w:cs="Times New Roman"/>
        </w:rPr>
        <w:t xml:space="preserve"> The COUP-TFII/Neuropilin-2 is a molecular switch steering diencephalon-derived GABAergic neurons in the developing mouse brain. </w:t>
      </w:r>
      <w:r w:rsidRPr="00380D28">
        <w:rPr>
          <w:rFonts w:cs="Times New Roman"/>
          <w:i/>
          <w:iCs/>
        </w:rPr>
        <w:t>Proceedings of the National Academy of Sciences</w:t>
      </w:r>
      <w:r w:rsidRPr="00380D28">
        <w:rPr>
          <w:rFonts w:cs="Times New Roman"/>
        </w:rPr>
        <w:t xml:space="preserve"> </w:t>
      </w:r>
      <w:r w:rsidRPr="00380D28">
        <w:rPr>
          <w:rFonts w:cs="Times New Roman"/>
          <w:b/>
          <w:bCs/>
        </w:rPr>
        <w:t>112</w:t>
      </w:r>
      <w:r w:rsidRPr="00380D28">
        <w:rPr>
          <w:rFonts w:cs="Times New Roman"/>
        </w:rPr>
        <w:t>, E4985–E4994 (2015).</w:t>
      </w:r>
    </w:p>
    <w:p w14:paraId="0A8A52CD" w14:textId="77777777" w:rsidR="00380D28" w:rsidRPr="00380D28" w:rsidRDefault="00380D28" w:rsidP="00380D28">
      <w:pPr>
        <w:pStyle w:val="Bibliography"/>
        <w:rPr>
          <w:rFonts w:cs="Times New Roman"/>
        </w:rPr>
      </w:pPr>
      <w:r w:rsidRPr="00380D28">
        <w:rPr>
          <w:rFonts w:cs="Times New Roman"/>
        </w:rPr>
        <w:lastRenderedPageBreak/>
        <w:t>29.</w:t>
      </w:r>
      <w:r w:rsidRPr="00380D28">
        <w:rPr>
          <w:rFonts w:cs="Times New Roman"/>
        </w:rPr>
        <w:tab/>
        <w:t xml:space="preserve">Devanna, P., Middelbeek, J. &amp; Vernes, S. C. FOXP2 drives neuronal differentiation by interacting with retinoic acid signaling pathways. </w:t>
      </w:r>
      <w:r w:rsidRPr="00380D28">
        <w:rPr>
          <w:rFonts w:cs="Times New Roman"/>
          <w:i/>
          <w:iCs/>
        </w:rPr>
        <w:t>Front Cell Neurosci</w:t>
      </w:r>
      <w:r w:rsidRPr="00380D28">
        <w:rPr>
          <w:rFonts w:cs="Times New Roman"/>
        </w:rPr>
        <w:t xml:space="preserve"> </w:t>
      </w:r>
      <w:r w:rsidRPr="00380D28">
        <w:rPr>
          <w:rFonts w:cs="Times New Roman"/>
          <w:b/>
          <w:bCs/>
        </w:rPr>
        <w:t>8</w:t>
      </w:r>
      <w:r w:rsidRPr="00380D28">
        <w:rPr>
          <w:rFonts w:cs="Times New Roman"/>
        </w:rPr>
        <w:t>, 305 (2014).</w:t>
      </w:r>
    </w:p>
    <w:p w14:paraId="77972E01" w14:textId="77777777" w:rsidR="00380D28" w:rsidRPr="00380D28" w:rsidRDefault="00380D28" w:rsidP="00380D28">
      <w:pPr>
        <w:pStyle w:val="Bibliography"/>
        <w:rPr>
          <w:rFonts w:cs="Times New Roman"/>
        </w:rPr>
      </w:pPr>
      <w:r w:rsidRPr="00380D28">
        <w:rPr>
          <w:rFonts w:cs="Times New Roman"/>
        </w:rPr>
        <w:t>30.</w:t>
      </w:r>
      <w:r w:rsidRPr="00380D28">
        <w:rPr>
          <w:rFonts w:cs="Times New Roman"/>
        </w:rPr>
        <w:tab/>
        <w:t xml:space="preserve">Co, M., Anderson, A. G. &amp; Konopka, G. FOXP transcription factors in vertebrate brain development, function, and disorders. </w:t>
      </w:r>
      <w:r w:rsidRPr="00380D28">
        <w:rPr>
          <w:rFonts w:cs="Times New Roman"/>
          <w:i/>
          <w:iCs/>
        </w:rPr>
        <w:t>WIREs Developmental Biology</w:t>
      </w:r>
      <w:r w:rsidRPr="00380D28">
        <w:rPr>
          <w:rFonts w:cs="Times New Roman"/>
        </w:rPr>
        <w:t xml:space="preserve"> </w:t>
      </w:r>
      <w:r w:rsidRPr="00380D28">
        <w:rPr>
          <w:rFonts w:cs="Times New Roman"/>
          <w:b/>
          <w:bCs/>
        </w:rPr>
        <w:t>9</w:t>
      </w:r>
      <w:r w:rsidRPr="00380D28">
        <w:rPr>
          <w:rFonts w:cs="Times New Roman"/>
        </w:rPr>
        <w:t>, e375 (2020).</w:t>
      </w:r>
    </w:p>
    <w:p w14:paraId="7DCCCAA7" w14:textId="77777777" w:rsidR="00380D28" w:rsidRPr="00380D28" w:rsidRDefault="00380D28" w:rsidP="00380D28">
      <w:pPr>
        <w:pStyle w:val="Bibliography"/>
        <w:rPr>
          <w:rFonts w:cs="Times New Roman"/>
        </w:rPr>
      </w:pPr>
      <w:r w:rsidRPr="00380D28">
        <w:rPr>
          <w:rFonts w:cs="Times New Roman"/>
        </w:rPr>
        <w:t>31.</w:t>
      </w:r>
      <w:r w:rsidRPr="00380D28">
        <w:rPr>
          <w:rFonts w:cs="Times New Roman"/>
        </w:rPr>
        <w:tab/>
        <w:t xml:space="preserve">Reiprich, S. &amp; Wegner, M. From CNS stem cells to neurons and glia: Sox for everyone. </w:t>
      </w:r>
      <w:r w:rsidRPr="00380D28">
        <w:rPr>
          <w:rFonts w:cs="Times New Roman"/>
          <w:i/>
          <w:iCs/>
        </w:rPr>
        <w:t>Cell Tissue Res</w:t>
      </w:r>
      <w:r w:rsidRPr="00380D28">
        <w:rPr>
          <w:rFonts w:cs="Times New Roman"/>
        </w:rPr>
        <w:t xml:space="preserve"> </w:t>
      </w:r>
      <w:r w:rsidRPr="00380D28">
        <w:rPr>
          <w:rFonts w:cs="Times New Roman"/>
          <w:b/>
          <w:bCs/>
        </w:rPr>
        <w:t>359</w:t>
      </w:r>
      <w:r w:rsidRPr="00380D28">
        <w:rPr>
          <w:rFonts w:cs="Times New Roman"/>
        </w:rPr>
        <w:t>, 111–124 (2015).</w:t>
      </w:r>
    </w:p>
    <w:p w14:paraId="34877742" w14:textId="77777777" w:rsidR="00380D28" w:rsidRPr="00380D28" w:rsidRDefault="00380D28" w:rsidP="00380D28">
      <w:pPr>
        <w:pStyle w:val="Bibliography"/>
        <w:rPr>
          <w:rFonts w:cs="Times New Roman"/>
        </w:rPr>
      </w:pPr>
      <w:r w:rsidRPr="00380D28">
        <w:rPr>
          <w:rFonts w:cs="Times New Roman"/>
        </w:rPr>
        <w:t>32.</w:t>
      </w:r>
      <w:r w:rsidRPr="00380D28">
        <w:rPr>
          <w:rFonts w:cs="Times New Roman"/>
        </w:rPr>
        <w:tab/>
        <w:t xml:space="preserve">Gulati, G. S. </w:t>
      </w:r>
      <w:r w:rsidRPr="00380D28">
        <w:rPr>
          <w:rFonts w:cs="Times New Roman"/>
          <w:i/>
          <w:iCs/>
        </w:rPr>
        <w:t>et al.</w:t>
      </w:r>
      <w:r w:rsidRPr="00380D28">
        <w:rPr>
          <w:rFonts w:cs="Times New Roman"/>
        </w:rPr>
        <w:t xml:space="preserve"> Single-cell transcriptional diversity is a hallmark of developmental potential. </w:t>
      </w:r>
      <w:r w:rsidRPr="00380D28">
        <w:rPr>
          <w:rFonts w:cs="Times New Roman"/>
          <w:i/>
          <w:iCs/>
        </w:rPr>
        <w:t>Science</w:t>
      </w:r>
      <w:r w:rsidRPr="00380D28">
        <w:rPr>
          <w:rFonts w:cs="Times New Roman"/>
        </w:rPr>
        <w:t xml:space="preserve"> </w:t>
      </w:r>
      <w:r w:rsidRPr="00380D28">
        <w:rPr>
          <w:rFonts w:cs="Times New Roman"/>
          <w:b/>
          <w:bCs/>
        </w:rPr>
        <w:t>367</w:t>
      </w:r>
      <w:r w:rsidRPr="00380D28">
        <w:rPr>
          <w:rFonts w:cs="Times New Roman"/>
        </w:rPr>
        <w:t>, 405–411 (2020).</w:t>
      </w:r>
    </w:p>
    <w:p w14:paraId="4BF6EBED" w14:textId="77777777" w:rsidR="00380D28" w:rsidRPr="00380D28" w:rsidRDefault="00380D28" w:rsidP="00380D28">
      <w:pPr>
        <w:pStyle w:val="Bibliography"/>
        <w:rPr>
          <w:rFonts w:cs="Times New Roman"/>
        </w:rPr>
      </w:pPr>
      <w:r w:rsidRPr="00380D28">
        <w:rPr>
          <w:rFonts w:cs="Times New Roman"/>
        </w:rPr>
        <w:t>33.</w:t>
      </w:r>
      <w:r w:rsidRPr="00380D28">
        <w:rPr>
          <w:rFonts w:cs="Times New Roman"/>
        </w:rPr>
        <w:tab/>
        <w:t xml:space="preserve">Street, K. </w:t>
      </w:r>
      <w:r w:rsidRPr="00380D28">
        <w:rPr>
          <w:rFonts w:cs="Times New Roman"/>
          <w:i/>
          <w:iCs/>
        </w:rPr>
        <w:t>et al.</w:t>
      </w:r>
      <w:r w:rsidRPr="00380D28">
        <w:rPr>
          <w:rFonts w:cs="Times New Roman"/>
        </w:rPr>
        <w:t xml:space="preserve"> Slingshot: cell lineage and pseudotime inference for single-cell transcriptomics. </w:t>
      </w:r>
      <w:r w:rsidRPr="00380D28">
        <w:rPr>
          <w:rFonts w:cs="Times New Roman"/>
          <w:i/>
          <w:iCs/>
        </w:rPr>
        <w:t>BMC Genomics</w:t>
      </w:r>
      <w:r w:rsidRPr="00380D28">
        <w:rPr>
          <w:rFonts w:cs="Times New Roman"/>
        </w:rPr>
        <w:t xml:space="preserve"> </w:t>
      </w:r>
      <w:r w:rsidRPr="00380D28">
        <w:rPr>
          <w:rFonts w:cs="Times New Roman"/>
          <w:b/>
          <w:bCs/>
        </w:rPr>
        <w:t>19</w:t>
      </w:r>
      <w:r w:rsidRPr="00380D28">
        <w:rPr>
          <w:rFonts w:cs="Times New Roman"/>
        </w:rPr>
        <w:t>, 477 (2018).</w:t>
      </w:r>
    </w:p>
    <w:p w14:paraId="5AC5D1D7" w14:textId="77777777" w:rsidR="00380D28" w:rsidRPr="00380D28" w:rsidRDefault="00380D28" w:rsidP="00380D28">
      <w:pPr>
        <w:pStyle w:val="Bibliography"/>
        <w:rPr>
          <w:rFonts w:cs="Times New Roman"/>
        </w:rPr>
      </w:pPr>
      <w:r w:rsidRPr="00380D28">
        <w:rPr>
          <w:rFonts w:cs="Times New Roman"/>
        </w:rPr>
        <w:t>34.</w:t>
      </w:r>
      <w:r w:rsidRPr="00380D28">
        <w:rPr>
          <w:rFonts w:cs="Times New Roman"/>
        </w:rPr>
        <w:tab/>
        <w:t xml:space="preserve">Zeppilli, S. </w:t>
      </w:r>
      <w:r w:rsidRPr="00380D28">
        <w:rPr>
          <w:rFonts w:cs="Times New Roman"/>
          <w:i/>
          <w:iCs/>
        </w:rPr>
        <w:t>et al.</w:t>
      </w:r>
      <w:r w:rsidRPr="00380D28">
        <w:rPr>
          <w:rFonts w:cs="Times New Roman"/>
        </w:rPr>
        <w:t xml:space="preserve"> Single-cell genomics of the mouse olfactory cortex reveals contrasts with neocortex and ancestral signatures of cell type evolution. </w:t>
      </w:r>
      <w:r w:rsidRPr="00380D28">
        <w:rPr>
          <w:rFonts w:cs="Times New Roman"/>
          <w:i/>
          <w:iCs/>
        </w:rPr>
        <w:t>Nat Neurosci</w:t>
      </w:r>
      <w:r w:rsidRPr="00380D28">
        <w:rPr>
          <w:rFonts w:cs="Times New Roman"/>
        </w:rPr>
        <w:t xml:space="preserve"> 1–12 (2025) doi:10.1038/s41593-025-01924-3.</w:t>
      </w:r>
    </w:p>
    <w:p w14:paraId="721010C6" w14:textId="77777777" w:rsidR="00380D28" w:rsidRPr="00380D28" w:rsidRDefault="00380D28" w:rsidP="00380D28">
      <w:pPr>
        <w:pStyle w:val="Bibliography"/>
        <w:rPr>
          <w:rFonts w:cs="Times New Roman"/>
        </w:rPr>
      </w:pPr>
      <w:r w:rsidRPr="00380D28">
        <w:rPr>
          <w:rFonts w:cs="Times New Roman"/>
        </w:rPr>
        <w:t>35.</w:t>
      </w:r>
      <w:r w:rsidRPr="00380D28">
        <w:rPr>
          <w:rFonts w:cs="Times New Roman"/>
        </w:rPr>
        <w:tab/>
        <w:t xml:space="preserve">Baig, D. N., Yanagawa, T. &amp; Tabuchi, K. Distortion of the normal function of synaptic cell adhesion molecules by genetic variants as a risk for autism spectrum disorders. </w:t>
      </w:r>
      <w:r w:rsidRPr="00380D28">
        <w:rPr>
          <w:rFonts w:cs="Times New Roman"/>
          <w:i/>
          <w:iCs/>
        </w:rPr>
        <w:t>Brain Research Bulletin</w:t>
      </w:r>
      <w:r w:rsidRPr="00380D28">
        <w:rPr>
          <w:rFonts w:cs="Times New Roman"/>
        </w:rPr>
        <w:t xml:space="preserve"> </w:t>
      </w:r>
      <w:r w:rsidRPr="00380D28">
        <w:rPr>
          <w:rFonts w:cs="Times New Roman"/>
          <w:b/>
          <w:bCs/>
        </w:rPr>
        <w:t>129</w:t>
      </w:r>
      <w:r w:rsidRPr="00380D28">
        <w:rPr>
          <w:rFonts w:cs="Times New Roman"/>
        </w:rPr>
        <w:t>, 82–90 (2017).</w:t>
      </w:r>
    </w:p>
    <w:p w14:paraId="6D607CCE" w14:textId="77777777" w:rsidR="00380D28" w:rsidRPr="00380D28" w:rsidRDefault="00380D28" w:rsidP="00380D28">
      <w:pPr>
        <w:pStyle w:val="Bibliography"/>
        <w:rPr>
          <w:rFonts w:cs="Times New Roman"/>
        </w:rPr>
      </w:pPr>
      <w:r w:rsidRPr="00380D28">
        <w:rPr>
          <w:rFonts w:cs="Times New Roman"/>
        </w:rPr>
        <w:t>36.</w:t>
      </w:r>
      <w:r w:rsidRPr="00380D28">
        <w:rPr>
          <w:rFonts w:cs="Times New Roman"/>
        </w:rPr>
        <w:tab/>
        <w:t xml:space="preserve">Chatterjee, M., Schild, D. &amp; Teunissen, C. E. Contactins in the central nervous system: role in health and disease. </w:t>
      </w:r>
      <w:r w:rsidRPr="00380D28">
        <w:rPr>
          <w:rFonts w:cs="Times New Roman"/>
          <w:i/>
          <w:iCs/>
        </w:rPr>
        <w:t>Neural Regeneration Research</w:t>
      </w:r>
      <w:r w:rsidRPr="00380D28">
        <w:rPr>
          <w:rFonts w:cs="Times New Roman"/>
        </w:rPr>
        <w:t xml:space="preserve"> </w:t>
      </w:r>
      <w:r w:rsidRPr="00380D28">
        <w:rPr>
          <w:rFonts w:cs="Times New Roman"/>
          <w:b/>
          <w:bCs/>
        </w:rPr>
        <w:t>14</w:t>
      </w:r>
      <w:r w:rsidRPr="00380D28">
        <w:rPr>
          <w:rFonts w:cs="Times New Roman"/>
        </w:rPr>
        <w:t>, 206 (2019).</w:t>
      </w:r>
    </w:p>
    <w:p w14:paraId="29A0D4DC" w14:textId="77777777" w:rsidR="00380D28" w:rsidRPr="00380D28" w:rsidRDefault="00380D28" w:rsidP="00380D28">
      <w:pPr>
        <w:pStyle w:val="Bibliography"/>
        <w:rPr>
          <w:rFonts w:cs="Times New Roman"/>
        </w:rPr>
      </w:pPr>
      <w:r w:rsidRPr="00380D28">
        <w:rPr>
          <w:rFonts w:cs="Times New Roman"/>
        </w:rPr>
        <w:t>37.</w:t>
      </w:r>
      <w:r w:rsidRPr="00380D28">
        <w:rPr>
          <w:rFonts w:cs="Times New Roman"/>
        </w:rPr>
        <w:tab/>
        <w:t xml:space="preserve">Arikkath, J. &amp; Reichardt, L. F. Cadherins and catenins at synapses: roles in synaptogenesis and synaptic plasticity. </w:t>
      </w:r>
      <w:r w:rsidRPr="00380D28">
        <w:rPr>
          <w:rFonts w:cs="Times New Roman"/>
          <w:i/>
          <w:iCs/>
        </w:rPr>
        <w:t>Trends in Neurosciences</w:t>
      </w:r>
      <w:r w:rsidRPr="00380D28">
        <w:rPr>
          <w:rFonts w:cs="Times New Roman"/>
        </w:rPr>
        <w:t xml:space="preserve"> </w:t>
      </w:r>
      <w:r w:rsidRPr="00380D28">
        <w:rPr>
          <w:rFonts w:cs="Times New Roman"/>
          <w:b/>
          <w:bCs/>
        </w:rPr>
        <w:t>31</w:t>
      </w:r>
      <w:r w:rsidRPr="00380D28">
        <w:rPr>
          <w:rFonts w:cs="Times New Roman"/>
        </w:rPr>
        <w:t>, 487–494 (2008).</w:t>
      </w:r>
    </w:p>
    <w:p w14:paraId="1A12D6AA" w14:textId="77777777" w:rsidR="00380D28" w:rsidRPr="00380D28" w:rsidRDefault="00380D28" w:rsidP="00380D28">
      <w:pPr>
        <w:pStyle w:val="Bibliography"/>
        <w:rPr>
          <w:rFonts w:cs="Times New Roman"/>
        </w:rPr>
      </w:pPr>
      <w:r w:rsidRPr="00380D28">
        <w:rPr>
          <w:rFonts w:cs="Times New Roman"/>
        </w:rPr>
        <w:t>38.</w:t>
      </w:r>
      <w:r w:rsidRPr="00380D28">
        <w:rPr>
          <w:rFonts w:cs="Times New Roman"/>
        </w:rPr>
        <w:tab/>
        <w:t xml:space="preserve">Essner, J. J., Chen, E. &amp; Ekker, S. C. Syndecan-2. </w:t>
      </w:r>
      <w:r w:rsidRPr="00380D28">
        <w:rPr>
          <w:rFonts w:cs="Times New Roman"/>
          <w:i/>
          <w:iCs/>
        </w:rPr>
        <w:t>The International Journal of Biochemistry &amp; Cell Biology</w:t>
      </w:r>
      <w:r w:rsidRPr="00380D28">
        <w:rPr>
          <w:rFonts w:cs="Times New Roman"/>
        </w:rPr>
        <w:t xml:space="preserve"> </w:t>
      </w:r>
      <w:r w:rsidRPr="00380D28">
        <w:rPr>
          <w:rFonts w:cs="Times New Roman"/>
          <w:b/>
          <w:bCs/>
        </w:rPr>
        <w:t>38</w:t>
      </w:r>
      <w:r w:rsidRPr="00380D28">
        <w:rPr>
          <w:rFonts w:cs="Times New Roman"/>
        </w:rPr>
        <w:t>, 152–156 (2006).</w:t>
      </w:r>
    </w:p>
    <w:p w14:paraId="5FC1E9F5" w14:textId="77777777" w:rsidR="00380D28" w:rsidRPr="00380D28" w:rsidRDefault="00380D28" w:rsidP="00380D28">
      <w:pPr>
        <w:pStyle w:val="Bibliography"/>
        <w:rPr>
          <w:rFonts w:cs="Times New Roman"/>
        </w:rPr>
      </w:pPr>
      <w:r w:rsidRPr="00380D28">
        <w:rPr>
          <w:rFonts w:cs="Times New Roman"/>
        </w:rPr>
        <w:lastRenderedPageBreak/>
        <w:t>39.</w:t>
      </w:r>
      <w:r w:rsidRPr="00380D28">
        <w:rPr>
          <w:rFonts w:cs="Times New Roman"/>
        </w:rPr>
        <w:tab/>
        <w:t xml:space="preserve">Pacheco, B., Malmström, A. &amp; Maccarana, M. Two Dermatan Sulfate Epimerases Form Iduronic Acid Domains in Dermatan Sulfate *. </w:t>
      </w:r>
      <w:r w:rsidRPr="00380D28">
        <w:rPr>
          <w:rFonts w:cs="Times New Roman"/>
          <w:i/>
          <w:iCs/>
        </w:rPr>
        <w:t>Journal of Biological Chemistry</w:t>
      </w:r>
      <w:r w:rsidRPr="00380D28">
        <w:rPr>
          <w:rFonts w:cs="Times New Roman"/>
        </w:rPr>
        <w:t xml:space="preserve"> </w:t>
      </w:r>
      <w:r w:rsidRPr="00380D28">
        <w:rPr>
          <w:rFonts w:cs="Times New Roman"/>
          <w:b/>
          <w:bCs/>
        </w:rPr>
        <w:t>284</w:t>
      </w:r>
      <w:r w:rsidRPr="00380D28">
        <w:rPr>
          <w:rFonts w:cs="Times New Roman"/>
        </w:rPr>
        <w:t>, 9788–9795 (2009).</w:t>
      </w:r>
    </w:p>
    <w:p w14:paraId="2D3950AB" w14:textId="77777777" w:rsidR="00380D28" w:rsidRPr="00380D28" w:rsidRDefault="00380D28" w:rsidP="00380D28">
      <w:pPr>
        <w:pStyle w:val="Bibliography"/>
        <w:rPr>
          <w:rFonts w:cs="Times New Roman"/>
        </w:rPr>
      </w:pPr>
      <w:r w:rsidRPr="00380D28">
        <w:rPr>
          <w:rFonts w:cs="Times New Roman"/>
        </w:rPr>
        <w:t>40.</w:t>
      </w:r>
      <w:r w:rsidRPr="00380D28">
        <w:rPr>
          <w:rFonts w:cs="Times New Roman"/>
        </w:rPr>
        <w:tab/>
        <w:t xml:space="preserve">Thelin, M. A. </w:t>
      </w:r>
      <w:r w:rsidRPr="00380D28">
        <w:rPr>
          <w:rFonts w:cs="Times New Roman"/>
          <w:i/>
          <w:iCs/>
        </w:rPr>
        <w:t>et al.</w:t>
      </w:r>
      <w:r w:rsidRPr="00380D28">
        <w:rPr>
          <w:rFonts w:cs="Times New Roman"/>
        </w:rPr>
        <w:t xml:space="preserve"> Biological functions of iduronic acid in chondroitin/dermatan sulfate. </w:t>
      </w:r>
      <w:r w:rsidRPr="00380D28">
        <w:rPr>
          <w:rFonts w:cs="Times New Roman"/>
          <w:i/>
          <w:iCs/>
        </w:rPr>
        <w:t>The FEBS Journal</w:t>
      </w:r>
      <w:r w:rsidRPr="00380D28">
        <w:rPr>
          <w:rFonts w:cs="Times New Roman"/>
        </w:rPr>
        <w:t xml:space="preserve"> </w:t>
      </w:r>
      <w:r w:rsidRPr="00380D28">
        <w:rPr>
          <w:rFonts w:cs="Times New Roman"/>
          <w:b/>
          <w:bCs/>
        </w:rPr>
        <w:t>280</w:t>
      </w:r>
      <w:r w:rsidRPr="00380D28">
        <w:rPr>
          <w:rFonts w:cs="Times New Roman"/>
        </w:rPr>
        <w:t>, 2431–2446 (2013).</w:t>
      </w:r>
    </w:p>
    <w:p w14:paraId="0AD882D8" w14:textId="77777777" w:rsidR="00380D28" w:rsidRPr="00380D28" w:rsidRDefault="00380D28" w:rsidP="00380D28">
      <w:pPr>
        <w:pStyle w:val="Bibliography"/>
        <w:rPr>
          <w:rFonts w:cs="Times New Roman"/>
        </w:rPr>
      </w:pPr>
      <w:r w:rsidRPr="00380D28">
        <w:rPr>
          <w:rFonts w:cs="Times New Roman"/>
        </w:rPr>
        <w:t>41.</w:t>
      </w:r>
      <w:r w:rsidRPr="00380D28">
        <w:rPr>
          <w:rFonts w:cs="Times New Roman"/>
        </w:rPr>
        <w:tab/>
        <w:t xml:space="preserve">Frischknecht, R. &amp; Seidenbecher, C. I. Brevican: A key proteoglycan in the perisynaptic extracellular matrix of the brain. </w:t>
      </w:r>
      <w:r w:rsidRPr="00380D28">
        <w:rPr>
          <w:rFonts w:cs="Times New Roman"/>
          <w:i/>
          <w:iCs/>
        </w:rPr>
        <w:t>The International Journal of Biochemistry &amp; Cell Biology</w:t>
      </w:r>
      <w:r w:rsidRPr="00380D28">
        <w:rPr>
          <w:rFonts w:cs="Times New Roman"/>
        </w:rPr>
        <w:t xml:space="preserve"> </w:t>
      </w:r>
      <w:r w:rsidRPr="00380D28">
        <w:rPr>
          <w:rFonts w:cs="Times New Roman"/>
          <w:b/>
          <w:bCs/>
        </w:rPr>
        <w:t>44</w:t>
      </w:r>
      <w:r w:rsidRPr="00380D28">
        <w:rPr>
          <w:rFonts w:cs="Times New Roman"/>
        </w:rPr>
        <w:t>, 1051–1054 (2012).</w:t>
      </w:r>
    </w:p>
    <w:p w14:paraId="2F206054" w14:textId="77777777" w:rsidR="00380D28" w:rsidRPr="00380D28" w:rsidRDefault="00380D28" w:rsidP="00380D28">
      <w:pPr>
        <w:pStyle w:val="Bibliography"/>
        <w:rPr>
          <w:rFonts w:cs="Times New Roman"/>
        </w:rPr>
      </w:pPr>
      <w:r w:rsidRPr="00380D28">
        <w:rPr>
          <w:rFonts w:cs="Times New Roman"/>
        </w:rPr>
        <w:t>42.</w:t>
      </w:r>
      <w:r w:rsidRPr="00380D28">
        <w:rPr>
          <w:rFonts w:cs="Times New Roman"/>
        </w:rPr>
        <w:tab/>
        <w:t xml:space="preserve">Sorg, B. A. </w:t>
      </w:r>
      <w:r w:rsidRPr="00380D28">
        <w:rPr>
          <w:rFonts w:cs="Times New Roman"/>
          <w:i/>
          <w:iCs/>
        </w:rPr>
        <w:t>et al.</w:t>
      </w:r>
      <w:r w:rsidRPr="00380D28">
        <w:rPr>
          <w:rFonts w:cs="Times New Roman"/>
        </w:rPr>
        <w:t xml:space="preserve"> Casting a Wide Net: Role of Perineuronal Nets in Neural Plasticity. </w:t>
      </w:r>
      <w:r w:rsidRPr="00380D28">
        <w:rPr>
          <w:rFonts w:cs="Times New Roman"/>
          <w:i/>
          <w:iCs/>
        </w:rPr>
        <w:t>J. Neurosci.</w:t>
      </w:r>
      <w:r w:rsidRPr="00380D28">
        <w:rPr>
          <w:rFonts w:cs="Times New Roman"/>
        </w:rPr>
        <w:t xml:space="preserve"> </w:t>
      </w:r>
      <w:r w:rsidRPr="00380D28">
        <w:rPr>
          <w:rFonts w:cs="Times New Roman"/>
          <w:b/>
          <w:bCs/>
        </w:rPr>
        <w:t>36</w:t>
      </w:r>
      <w:r w:rsidRPr="00380D28">
        <w:rPr>
          <w:rFonts w:cs="Times New Roman"/>
        </w:rPr>
        <w:t>, 11459–11468 (2016).</w:t>
      </w:r>
    </w:p>
    <w:p w14:paraId="081C316A" w14:textId="77777777" w:rsidR="00380D28" w:rsidRPr="00380D28" w:rsidRDefault="00380D28" w:rsidP="00380D28">
      <w:pPr>
        <w:pStyle w:val="Bibliography"/>
        <w:rPr>
          <w:rFonts w:cs="Times New Roman"/>
        </w:rPr>
      </w:pPr>
      <w:r w:rsidRPr="00380D28">
        <w:rPr>
          <w:rFonts w:cs="Times New Roman"/>
        </w:rPr>
        <w:t>43.</w:t>
      </w:r>
      <w:r w:rsidRPr="00380D28">
        <w:rPr>
          <w:rFonts w:cs="Times New Roman"/>
        </w:rPr>
        <w:tab/>
        <w:t xml:space="preserve">Cohen, L. H. </w:t>
      </w:r>
      <w:r w:rsidRPr="00380D28">
        <w:rPr>
          <w:rFonts w:cs="Times New Roman"/>
          <w:i/>
          <w:iCs/>
        </w:rPr>
        <w:t>et al.</w:t>
      </w:r>
      <w:r w:rsidRPr="00380D28">
        <w:rPr>
          <w:rFonts w:cs="Times New Roman"/>
        </w:rPr>
        <w:t xml:space="preserve"> The satiety hormone cholecystokinin gates reproduction in fish by controlling gonadotropin secretion. </w:t>
      </w:r>
      <w:r w:rsidRPr="00380D28">
        <w:rPr>
          <w:rFonts w:cs="Times New Roman"/>
          <w:i/>
          <w:iCs/>
        </w:rPr>
        <w:t>eLife</w:t>
      </w:r>
      <w:r w:rsidRPr="00380D28">
        <w:rPr>
          <w:rFonts w:cs="Times New Roman"/>
        </w:rPr>
        <w:t xml:space="preserve"> </w:t>
      </w:r>
      <w:r w:rsidRPr="00380D28">
        <w:rPr>
          <w:rFonts w:cs="Times New Roman"/>
          <w:b/>
          <w:bCs/>
        </w:rPr>
        <w:t>13</w:t>
      </w:r>
      <w:r w:rsidRPr="00380D28">
        <w:rPr>
          <w:rFonts w:cs="Times New Roman"/>
        </w:rPr>
        <w:t>, (2024).</w:t>
      </w:r>
    </w:p>
    <w:p w14:paraId="3CA05A24" w14:textId="77777777" w:rsidR="00380D28" w:rsidRPr="00380D28" w:rsidRDefault="00380D28" w:rsidP="00380D28">
      <w:pPr>
        <w:pStyle w:val="Bibliography"/>
        <w:rPr>
          <w:rFonts w:cs="Times New Roman"/>
        </w:rPr>
      </w:pPr>
      <w:r w:rsidRPr="00380D28">
        <w:rPr>
          <w:rFonts w:cs="Times New Roman"/>
        </w:rPr>
        <w:t>44.</w:t>
      </w:r>
      <w:r w:rsidRPr="00380D28">
        <w:rPr>
          <w:rFonts w:cs="Times New Roman"/>
        </w:rPr>
        <w:tab/>
        <w:t xml:space="preserve">Uehara, S. K. </w:t>
      </w:r>
      <w:r w:rsidRPr="00380D28">
        <w:rPr>
          <w:rFonts w:cs="Times New Roman"/>
          <w:i/>
          <w:iCs/>
        </w:rPr>
        <w:t>et al.</w:t>
      </w:r>
      <w:r w:rsidRPr="00380D28">
        <w:rPr>
          <w:rFonts w:cs="Times New Roman"/>
        </w:rPr>
        <w:t xml:space="preserve"> Identification of the FSH-RH as the other gonadotropin-releasing hormone. </w:t>
      </w:r>
      <w:r w:rsidRPr="00380D28">
        <w:rPr>
          <w:rFonts w:cs="Times New Roman"/>
          <w:i/>
          <w:iCs/>
        </w:rPr>
        <w:t>Nat Commun</w:t>
      </w:r>
      <w:r w:rsidRPr="00380D28">
        <w:rPr>
          <w:rFonts w:cs="Times New Roman"/>
        </w:rPr>
        <w:t xml:space="preserve"> </w:t>
      </w:r>
      <w:r w:rsidRPr="00380D28">
        <w:rPr>
          <w:rFonts w:cs="Times New Roman"/>
          <w:b/>
          <w:bCs/>
        </w:rPr>
        <w:t>15</w:t>
      </w:r>
      <w:r w:rsidRPr="00380D28">
        <w:rPr>
          <w:rFonts w:cs="Times New Roman"/>
        </w:rPr>
        <w:t>, 5342 (2024).</w:t>
      </w:r>
    </w:p>
    <w:p w14:paraId="34412813" w14:textId="4A6581A2" w:rsidR="002445F3" w:rsidRPr="002445F3" w:rsidRDefault="008D4618" w:rsidP="00434F3C">
      <w:pPr>
        <w:pStyle w:val="Bibliography"/>
        <w:rPr>
          <w:b/>
          <w:bCs/>
        </w:rPr>
      </w:pPr>
      <w:r>
        <w:rPr>
          <w:b/>
          <w:bCs/>
        </w:rPr>
        <w:fldChar w:fldCharType="end"/>
      </w:r>
    </w:p>
    <w:sectPr w:rsidR="002445F3" w:rsidRPr="002445F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raham, Gabriel J." w:date="2026-03-15T22:56:00Z" w:initials="GGJ">
    <w:p w14:paraId="652F9447" w14:textId="77777777" w:rsidR="004727CA" w:rsidRDefault="004727CA" w:rsidP="004727CA">
      <w:r>
        <w:rPr>
          <w:rStyle w:val="CommentReference"/>
        </w:rPr>
        <w:annotationRef/>
      </w:r>
      <w:r>
        <w:rPr>
          <w:sz w:val="20"/>
          <w:szCs w:val="20"/>
        </w:rPr>
        <w:t>Would like to fold in DARs into this analysis once you get those data</w:t>
      </w:r>
    </w:p>
  </w:comment>
  <w:comment w:id="1" w:author="Graham, Gabriel J." w:date="2026-03-05T21:42:00Z" w:initials="GGJ">
    <w:p w14:paraId="54278624" w14:textId="77777777" w:rsidR="00483FE0" w:rsidRDefault="00483FE0" w:rsidP="00483FE0">
      <w:r>
        <w:rPr>
          <w:rStyle w:val="CommentReference"/>
        </w:rPr>
        <w:annotationRef/>
      </w:r>
      <w:r>
        <w:rPr>
          <w:sz w:val="20"/>
          <w:szCs w:val="20"/>
        </w:rPr>
        <w:t>I wonder if its worth it to try to combine this with the changes in cell type being asynchronous</w:t>
      </w:r>
    </w:p>
  </w:comment>
  <w:comment w:id="2" w:author="Graham, Gabriel J." w:date="2026-02-25T21:32:00Z" w:initials="GGJ">
    <w:p w14:paraId="3E9B5186" w14:textId="77777777" w:rsidR="00D339C1" w:rsidRDefault="008125C2" w:rsidP="00D339C1">
      <w:r>
        <w:rPr>
          <w:rStyle w:val="CommentReference"/>
        </w:rPr>
        <w:annotationRef/>
      </w:r>
      <w:r w:rsidR="00D339C1">
        <w:rPr>
          <w:sz w:val="20"/>
          <w:szCs w:val="20"/>
        </w:rPr>
        <w:t xml:space="preserve">ATAC: show that chromatin accessibility at ERE sites is decreased in intermediates </w:t>
      </w:r>
    </w:p>
    <w:p w14:paraId="679358BF" w14:textId="77777777" w:rsidR="00D339C1" w:rsidRDefault="00D339C1" w:rsidP="00D339C1"/>
    <w:p w14:paraId="3F292F89" w14:textId="77777777" w:rsidR="00D339C1" w:rsidRDefault="00D339C1" w:rsidP="00D339C1">
      <w:r>
        <w:rPr>
          <w:sz w:val="20"/>
          <w:szCs w:val="20"/>
        </w:rPr>
        <w:t>Make a GRN and Calculate the regulon activity scores (AUC) for ESR-related transcription factors</w:t>
      </w:r>
    </w:p>
  </w:comment>
  <w:comment w:id="4" w:author="Graham, Gabriel J." w:date="2026-03-01T20:26:00Z" w:initials="GGJ">
    <w:p w14:paraId="223BE525" w14:textId="77777777" w:rsidR="000F2F4E" w:rsidRDefault="00FE0307" w:rsidP="000F2F4E">
      <w:r>
        <w:rPr>
          <w:rStyle w:val="CommentReference"/>
        </w:rPr>
        <w:annotationRef/>
      </w:r>
      <w:r w:rsidR="000F2F4E">
        <w:rPr>
          <w:sz w:val="20"/>
          <w:szCs w:val="20"/>
        </w:rPr>
        <w:t>if intermediates have largely the same levels of 11KT and E2 as males, then this implies a decrease in dominants. Do you think we can say this confidently</w:t>
      </w:r>
    </w:p>
  </w:comment>
  <w:comment w:id="5" w:author="Graham, Gabriel J." w:date="2026-03-05T21:45:00Z" w:initials="GGJ">
    <w:p w14:paraId="2306BC13" w14:textId="48C62DE8" w:rsidR="00FF2987" w:rsidRDefault="00FF2987" w:rsidP="00FF2987">
      <w:r>
        <w:rPr>
          <w:rStyle w:val="CommentReference"/>
        </w:rPr>
        <w:annotationRef/>
      </w:r>
      <w:r>
        <w:rPr>
          <w:color w:val="262626"/>
          <w:sz w:val="20"/>
          <w:szCs w:val="20"/>
          <w:highlight w:val="darkYellow"/>
        </w:rPr>
        <w:t>here, I would like to see what ATAC’s input is on this opinion, is the cyp19a1b promoter or ERE containing genes differentially accessible in males and females. Does the accessibility in intermediates agree</w:t>
      </w:r>
      <w:r>
        <w:rPr>
          <w:color w:val="262626"/>
          <w:sz w:val="20"/>
          <w:szCs w:val="20"/>
        </w:rPr>
        <w:t xml:space="preserve"> </w:t>
      </w:r>
    </w:p>
  </w:comment>
  <w:comment w:id="3" w:author="Graham, Gabriel J." w:date="2026-03-15T14:52:00Z" w:initials="GG">
    <w:p w14:paraId="71A25195" w14:textId="77777777" w:rsidR="006140B1" w:rsidRDefault="006140B1" w:rsidP="006140B1">
      <w:pPr>
        <w:pStyle w:val="CommentText"/>
      </w:pPr>
      <w:r>
        <w:rPr>
          <w:rStyle w:val="CommentReference"/>
        </w:rPr>
        <w:annotationRef/>
      </w:r>
      <w:r>
        <w:t>This should be discussion maybe?</w:t>
      </w:r>
    </w:p>
  </w:comment>
  <w:comment w:id="6" w:author="Graham, Gabriel J." w:date="2026-03-08T13:01:00Z" w:initials="GG">
    <w:p w14:paraId="71F5FE85" w14:textId="77777777" w:rsidR="00B67514" w:rsidRDefault="00664986" w:rsidP="00B67514">
      <w:r>
        <w:rPr>
          <w:rStyle w:val="CommentReference"/>
        </w:rPr>
        <w:annotationRef/>
      </w:r>
      <w:r w:rsidR="00B67514">
        <w:rPr>
          <w:sz w:val="20"/>
          <w:szCs w:val="20"/>
        </w:rPr>
        <w:t>Not super confident about my 1_4 classification, but for the purposes of the paper does it even matter?</w:t>
      </w:r>
    </w:p>
  </w:comment>
  <w:comment w:id="7" w:author="Graham, Gabriel J." w:date="2026-04-09T12:07:00Z" w:initials="GGJ">
    <w:p w14:paraId="68F98C84" w14:textId="77777777" w:rsidR="00EE17C0" w:rsidRDefault="00EE17C0" w:rsidP="00EE17C0">
      <w:r>
        <w:rPr>
          <w:rStyle w:val="CommentReference"/>
        </w:rPr>
        <w:annotationRef/>
      </w:r>
      <w:r>
        <w:rPr>
          <w:sz w:val="20"/>
          <w:szCs w:val="20"/>
        </w:rPr>
        <w:t>I think would be good to point out cluster 9 expresses makers like mex3a that are signs of immaturity</w:t>
      </w:r>
    </w:p>
  </w:comment>
  <w:comment w:id="8" w:author="Graham, Gabriel J." w:date="2026-03-05T22:13:00Z" w:initials="GGJ">
    <w:p w14:paraId="1791B5AF" w14:textId="77777777" w:rsidR="008C0FC4" w:rsidRDefault="008C0FC4" w:rsidP="008C0FC4">
      <w:r>
        <w:rPr>
          <w:rStyle w:val="CommentReference"/>
        </w:rPr>
        <w:annotationRef/>
      </w:r>
      <w:r>
        <w:rPr>
          <w:sz w:val="20"/>
          <w:szCs w:val="20"/>
        </w:rPr>
        <w:t>Interestingly, 0 decreases in females while 6 increases in males, so it may be the case that 0 cells are just dying or something</w:t>
      </w:r>
    </w:p>
  </w:comment>
  <w:comment w:id="9" w:author="Graham, Gabriel J." w:date="2026-03-10T12:04:00Z" w:initials="GGJ">
    <w:p w14:paraId="6CB75CDB" w14:textId="77777777" w:rsidR="00EB6C42" w:rsidRDefault="00EB6C42" w:rsidP="00EB6C42">
      <w:r>
        <w:rPr>
          <w:rStyle w:val="CommentReference"/>
        </w:rPr>
        <w:annotationRef/>
      </w:r>
      <w:r>
        <w:rPr>
          <w:sz w:val="20"/>
          <w:szCs w:val="20"/>
        </w:rPr>
        <w:t>This section feels very skinny but Im not sure what else to add, I wanted to make this point because this is the only cluster where esr2b is a deg but it doesnt feel integrated</w:t>
      </w:r>
    </w:p>
  </w:comment>
  <w:comment w:id="10" w:author="Graham, Gabriel J." w:date="2026-03-15T15:16:00Z" w:initials="GG">
    <w:p w14:paraId="2006E0E0" w14:textId="77777777" w:rsidR="008E218F" w:rsidRDefault="008E218F" w:rsidP="008E218F">
      <w:pPr>
        <w:pStyle w:val="CommentText"/>
      </w:pPr>
      <w:r>
        <w:rPr>
          <w:rStyle w:val="CommentReference"/>
        </w:rPr>
        <w:annotationRef/>
      </w:r>
      <w:r>
        <w:t>Maybe ATAC data could shed more light on what is happening in 9</w:t>
      </w:r>
    </w:p>
  </w:comment>
  <w:comment w:id="11" w:author="Graham, Gabriel J." w:date="2026-04-08T22:27:00Z" w:initials="GGJ">
    <w:p w14:paraId="636C5D8B" w14:textId="77777777" w:rsidR="00591D01" w:rsidRDefault="00591D01" w:rsidP="00591D01">
      <w:r>
        <w:rPr>
          <w:rStyle w:val="CommentReference"/>
        </w:rPr>
        <w:annotationRef/>
      </w:r>
      <w:r>
        <w:rPr>
          <w:sz w:val="20"/>
          <w:szCs w:val="20"/>
        </w:rPr>
        <w:t>would like to use scenic transcription factor network here</w:t>
      </w:r>
    </w:p>
  </w:comment>
  <w:comment w:id="12" w:author="Graham, Gabriel J." w:date="2026-03-15T23:17:00Z" w:initials="GGJ">
    <w:p w14:paraId="5719B5D8" w14:textId="77777777" w:rsidR="00EC540D" w:rsidRDefault="00EC540D" w:rsidP="00EC540D">
      <w:r>
        <w:rPr>
          <w:rStyle w:val="CommentReference"/>
        </w:rPr>
        <w:annotationRef/>
      </w:r>
      <w:r>
        <w:rPr>
          <w:sz w:val="20"/>
          <w:szCs w:val="20"/>
        </w:rPr>
        <w:t xml:space="preserve">Should probably be supplemental </w:t>
      </w:r>
    </w:p>
  </w:comment>
  <w:comment w:id="13" w:author="Graham, Gabriel J." w:date="2026-03-15T17:36:00Z" w:initials="GG">
    <w:p w14:paraId="1318EB56" w14:textId="705972D3" w:rsidR="00531D45" w:rsidRDefault="00531D45" w:rsidP="00531D45">
      <w:pPr>
        <w:pStyle w:val="CommentText"/>
      </w:pPr>
      <w:r>
        <w:rPr>
          <w:rStyle w:val="CommentReference"/>
        </w:rPr>
        <w:annotationRef/>
      </w:r>
      <w:r>
        <w:rPr>
          <w:color w:val="000000"/>
        </w:rPr>
        <w:t>Not sure what you want to do with this section, I think there should be a better overarching conclusion though I don’t know what it is. There are no changes in IEG expression</w:t>
      </w:r>
    </w:p>
  </w:comment>
  <w:comment w:id="14" w:author="Graham, Gabriel J." w:date="2026-03-05T23:24:00Z" w:initials="GGJ">
    <w:p w14:paraId="44F01834" w14:textId="77777777" w:rsidR="00124211" w:rsidRDefault="00124211" w:rsidP="00B85900">
      <w:r>
        <w:rPr>
          <w:rStyle w:val="CommentReference"/>
        </w:rPr>
        <w:annotationRef/>
      </w:r>
      <w:r>
        <w:rPr>
          <w:sz w:val="20"/>
          <w:szCs w:val="20"/>
        </w:rPr>
        <w:t>It this enough for a full section? It is an important point that I don think has been fully appreciated, but it is not fully novel I don’t think, it just hasn’t been appreciated. It feels very tacked on and kind of beside the point of the paper?</w:t>
      </w:r>
    </w:p>
  </w:comment>
  <w:comment w:id="15" w:author="Graham, Gabriel J." w:date="2026-03-10T12:22:00Z" w:initials="GGJ">
    <w:p w14:paraId="49DD5A2F" w14:textId="77777777" w:rsidR="00124211" w:rsidRDefault="00124211" w:rsidP="007D1641">
      <w:r>
        <w:rPr>
          <w:rStyle w:val="CommentReference"/>
        </w:rPr>
        <w:annotationRef/>
      </w:r>
      <w:r>
        <w:rPr>
          <w:sz w:val="20"/>
          <w:szCs w:val="20"/>
        </w:rPr>
        <w:t xml:space="preserve">Also I guess my analysis is probably the wrong approach (I should just look at markers) so maybe just scratch this whole section and point to a dotplot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2F9447" w15:done="0"/>
  <w15:commentEx w15:paraId="54278624" w15:done="0"/>
  <w15:commentEx w15:paraId="3F292F89" w15:done="0"/>
  <w15:commentEx w15:paraId="223BE525" w15:done="0"/>
  <w15:commentEx w15:paraId="2306BC13" w15:done="0"/>
  <w15:commentEx w15:paraId="71A25195" w15:done="0"/>
  <w15:commentEx w15:paraId="71F5FE85" w15:done="0"/>
  <w15:commentEx w15:paraId="68F98C84" w15:done="0"/>
  <w15:commentEx w15:paraId="1791B5AF" w15:done="0"/>
  <w15:commentEx w15:paraId="6CB75CDB" w15:done="0"/>
  <w15:commentEx w15:paraId="2006E0E0" w15:paraIdParent="6CB75CDB" w15:done="0"/>
  <w15:commentEx w15:paraId="636C5D8B" w15:paraIdParent="6CB75CDB" w15:done="0"/>
  <w15:commentEx w15:paraId="5719B5D8" w15:done="0"/>
  <w15:commentEx w15:paraId="1318EB56" w15:done="0"/>
  <w15:commentEx w15:paraId="44F01834" w15:done="0"/>
  <w15:commentEx w15:paraId="49DD5A2F" w15:paraIdParent="44F018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C13BD4" w16cex:dateUtc="2026-03-16T02:56:00Z"/>
  <w16cex:commentExtensible w16cex:durableId="3F7843E7" w16cex:dateUtc="2026-03-06T02:42:00Z"/>
  <w16cex:commentExtensible w16cex:durableId="08EA1548" w16cex:dateUtc="2026-02-26T02:32:00Z"/>
  <w16cex:commentExtensible w16cex:durableId="4B2A7357" w16cex:dateUtc="2026-03-02T01:26:00Z"/>
  <w16cex:commentExtensible w16cex:durableId="1CCC0D8C" w16cex:dateUtc="2026-03-06T02:45:00Z"/>
  <w16cex:commentExtensible w16cex:durableId="783FDDB1" w16cex:dateUtc="2026-03-15T18:52:00Z"/>
  <w16cex:commentExtensible w16cex:durableId="4D1EA01F" w16cex:dateUtc="2026-03-08T17:01:00Z"/>
  <w16cex:commentExtensible w16cex:durableId="064E85C3" w16cex:dateUtc="2026-04-09T16:07:00Z"/>
  <w16cex:commentExtensible w16cex:durableId="17354422" w16cex:dateUtc="2026-03-06T03:13:00Z"/>
  <w16cex:commentExtensible w16cex:durableId="41286254" w16cex:dateUtc="2026-03-10T16:04:00Z"/>
  <w16cex:commentExtensible w16cex:durableId="1621C868" w16cex:dateUtc="2026-03-15T19:16:00Z"/>
  <w16cex:commentExtensible w16cex:durableId="693EEB10" w16cex:dateUtc="2026-04-09T02:27:00Z"/>
  <w16cex:commentExtensible w16cex:durableId="663F2F51" w16cex:dateUtc="2026-03-16T03:17:00Z"/>
  <w16cex:commentExtensible w16cex:durableId="0BD750C4" w16cex:dateUtc="2026-03-15T21:36:00Z"/>
  <w16cex:commentExtensible w16cex:durableId="6441F1F1" w16cex:dateUtc="2026-03-06T04:24:00Z"/>
  <w16cex:commentExtensible w16cex:durableId="23123840" w16cex:dateUtc="2026-03-10T16: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2F9447" w16cid:durableId="7CC13BD4"/>
  <w16cid:commentId w16cid:paraId="54278624" w16cid:durableId="3F7843E7"/>
  <w16cid:commentId w16cid:paraId="3F292F89" w16cid:durableId="08EA1548"/>
  <w16cid:commentId w16cid:paraId="223BE525" w16cid:durableId="4B2A7357"/>
  <w16cid:commentId w16cid:paraId="2306BC13" w16cid:durableId="1CCC0D8C"/>
  <w16cid:commentId w16cid:paraId="71A25195" w16cid:durableId="783FDDB1"/>
  <w16cid:commentId w16cid:paraId="71F5FE85" w16cid:durableId="4D1EA01F"/>
  <w16cid:commentId w16cid:paraId="68F98C84" w16cid:durableId="064E85C3"/>
  <w16cid:commentId w16cid:paraId="1791B5AF" w16cid:durableId="17354422"/>
  <w16cid:commentId w16cid:paraId="6CB75CDB" w16cid:durableId="41286254"/>
  <w16cid:commentId w16cid:paraId="2006E0E0" w16cid:durableId="1621C868"/>
  <w16cid:commentId w16cid:paraId="636C5D8B" w16cid:durableId="693EEB10"/>
  <w16cid:commentId w16cid:paraId="5719B5D8" w16cid:durableId="663F2F51"/>
  <w16cid:commentId w16cid:paraId="1318EB56" w16cid:durableId="0BD750C4"/>
  <w16cid:commentId w16cid:paraId="44F01834" w16cid:durableId="6441F1F1"/>
  <w16cid:commentId w16cid:paraId="49DD5A2F" w16cid:durableId="231238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0B502" w14:textId="77777777" w:rsidR="00BB2056" w:rsidRDefault="00BB2056" w:rsidP="00906BC6">
      <w:r>
        <w:separator/>
      </w:r>
    </w:p>
  </w:endnote>
  <w:endnote w:type="continuationSeparator" w:id="0">
    <w:p w14:paraId="350B18EB" w14:textId="77777777" w:rsidR="00BB2056" w:rsidRDefault="00BB2056" w:rsidP="00906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87E0F" w14:textId="77777777" w:rsidR="00BB2056" w:rsidRDefault="00BB2056" w:rsidP="00906BC6">
      <w:r>
        <w:separator/>
      </w:r>
    </w:p>
  </w:footnote>
  <w:footnote w:type="continuationSeparator" w:id="0">
    <w:p w14:paraId="336FCD7F" w14:textId="77777777" w:rsidR="00BB2056" w:rsidRDefault="00BB2056" w:rsidP="00906B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0663C"/>
    <w:multiLevelType w:val="hybridMultilevel"/>
    <w:tmpl w:val="824658D2"/>
    <w:lvl w:ilvl="0" w:tplc="D74ADD8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3F3BAE"/>
    <w:multiLevelType w:val="hybridMultilevel"/>
    <w:tmpl w:val="2550C8A4"/>
    <w:lvl w:ilvl="0" w:tplc="02EA0B62">
      <w:start w:val="2"/>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74442713"/>
    <w:multiLevelType w:val="hybridMultilevel"/>
    <w:tmpl w:val="FC060E64"/>
    <w:lvl w:ilvl="0" w:tplc="97621368">
      <w:start w:val="1"/>
      <w:numFmt w:val="bullet"/>
      <w:lvlText w:val=""/>
      <w:lvlJc w:val="left"/>
      <w:pPr>
        <w:ind w:left="720" w:hanging="360"/>
      </w:pPr>
      <w:rPr>
        <w:rFonts w:ascii="Symbol" w:eastAsiaTheme="minorHAnsi" w:hAnsi="Symbol"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B002BC"/>
    <w:multiLevelType w:val="hybridMultilevel"/>
    <w:tmpl w:val="56124152"/>
    <w:lvl w:ilvl="0" w:tplc="46A47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8348">
    <w:abstractNumId w:val="2"/>
  </w:num>
  <w:num w:numId="2" w16cid:durableId="449131336">
    <w:abstractNumId w:val="1"/>
  </w:num>
  <w:num w:numId="3" w16cid:durableId="1247038209">
    <w:abstractNumId w:val="3"/>
  </w:num>
  <w:num w:numId="4" w16cid:durableId="43806632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aham, Gabriel J.">
    <w15:presenceInfo w15:providerId="AD" w15:userId="S::gjg2134@cumc.columbia.edu::d04249e3-dddd-46f1-a69e-ff52b65309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EF1"/>
    <w:rsid w:val="0000292D"/>
    <w:rsid w:val="0000304B"/>
    <w:rsid w:val="00005198"/>
    <w:rsid w:val="00005E54"/>
    <w:rsid w:val="000062B6"/>
    <w:rsid w:val="0001073C"/>
    <w:rsid w:val="0001088B"/>
    <w:rsid w:val="000112C7"/>
    <w:rsid w:val="00013C33"/>
    <w:rsid w:val="00015392"/>
    <w:rsid w:val="000155E6"/>
    <w:rsid w:val="00021BBE"/>
    <w:rsid w:val="00022496"/>
    <w:rsid w:val="00022EFF"/>
    <w:rsid w:val="000231B3"/>
    <w:rsid w:val="0002416D"/>
    <w:rsid w:val="00024DE5"/>
    <w:rsid w:val="0002602F"/>
    <w:rsid w:val="00026CD8"/>
    <w:rsid w:val="0002723B"/>
    <w:rsid w:val="00027F33"/>
    <w:rsid w:val="0003002C"/>
    <w:rsid w:val="0004585F"/>
    <w:rsid w:val="00046637"/>
    <w:rsid w:val="00046EEE"/>
    <w:rsid w:val="00047984"/>
    <w:rsid w:val="0005035B"/>
    <w:rsid w:val="00052B64"/>
    <w:rsid w:val="00055AD9"/>
    <w:rsid w:val="00060A7F"/>
    <w:rsid w:val="00064B2C"/>
    <w:rsid w:val="00065482"/>
    <w:rsid w:val="000662C5"/>
    <w:rsid w:val="000662F7"/>
    <w:rsid w:val="000668A5"/>
    <w:rsid w:val="0006768C"/>
    <w:rsid w:val="00070000"/>
    <w:rsid w:val="00070DB5"/>
    <w:rsid w:val="00074E31"/>
    <w:rsid w:val="000757A5"/>
    <w:rsid w:val="00076CB1"/>
    <w:rsid w:val="000820D0"/>
    <w:rsid w:val="000824EE"/>
    <w:rsid w:val="000829BA"/>
    <w:rsid w:val="00082CA9"/>
    <w:rsid w:val="0008472A"/>
    <w:rsid w:val="00085B88"/>
    <w:rsid w:val="00086432"/>
    <w:rsid w:val="000867AC"/>
    <w:rsid w:val="00087D89"/>
    <w:rsid w:val="00087EE3"/>
    <w:rsid w:val="00087F60"/>
    <w:rsid w:val="0009059B"/>
    <w:rsid w:val="0009077B"/>
    <w:rsid w:val="0009171C"/>
    <w:rsid w:val="00093E20"/>
    <w:rsid w:val="00094F59"/>
    <w:rsid w:val="00094FA1"/>
    <w:rsid w:val="00095372"/>
    <w:rsid w:val="0009551F"/>
    <w:rsid w:val="000A1C93"/>
    <w:rsid w:val="000A2DE3"/>
    <w:rsid w:val="000A40F9"/>
    <w:rsid w:val="000A4D82"/>
    <w:rsid w:val="000A6641"/>
    <w:rsid w:val="000A6749"/>
    <w:rsid w:val="000B0309"/>
    <w:rsid w:val="000B0DA3"/>
    <w:rsid w:val="000B1E4B"/>
    <w:rsid w:val="000B3BBF"/>
    <w:rsid w:val="000B5D9F"/>
    <w:rsid w:val="000B74BE"/>
    <w:rsid w:val="000B7742"/>
    <w:rsid w:val="000C03A3"/>
    <w:rsid w:val="000C20A6"/>
    <w:rsid w:val="000C3A9B"/>
    <w:rsid w:val="000C3B04"/>
    <w:rsid w:val="000C510E"/>
    <w:rsid w:val="000C65E9"/>
    <w:rsid w:val="000C7647"/>
    <w:rsid w:val="000C7FDC"/>
    <w:rsid w:val="000D0A32"/>
    <w:rsid w:val="000D501C"/>
    <w:rsid w:val="000D70D3"/>
    <w:rsid w:val="000E0F40"/>
    <w:rsid w:val="000F2F4E"/>
    <w:rsid w:val="000F42D9"/>
    <w:rsid w:val="000F4AF7"/>
    <w:rsid w:val="000F74D2"/>
    <w:rsid w:val="001002D6"/>
    <w:rsid w:val="001017B2"/>
    <w:rsid w:val="00101D7F"/>
    <w:rsid w:val="00102314"/>
    <w:rsid w:val="00102C8F"/>
    <w:rsid w:val="0010740F"/>
    <w:rsid w:val="00107B77"/>
    <w:rsid w:val="00107D01"/>
    <w:rsid w:val="00107DC2"/>
    <w:rsid w:val="00107EFC"/>
    <w:rsid w:val="00112ED9"/>
    <w:rsid w:val="00112F81"/>
    <w:rsid w:val="0011316A"/>
    <w:rsid w:val="001148C2"/>
    <w:rsid w:val="00114E39"/>
    <w:rsid w:val="00115F35"/>
    <w:rsid w:val="00115FF4"/>
    <w:rsid w:val="0011634F"/>
    <w:rsid w:val="0012047A"/>
    <w:rsid w:val="001209A9"/>
    <w:rsid w:val="0012108B"/>
    <w:rsid w:val="001213B1"/>
    <w:rsid w:val="00124211"/>
    <w:rsid w:val="00125632"/>
    <w:rsid w:val="0012609F"/>
    <w:rsid w:val="00131BFD"/>
    <w:rsid w:val="0013241F"/>
    <w:rsid w:val="00132B90"/>
    <w:rsid w:val="001332B5"/>
    <w:rsid w:val="00133B7E"/>
    <w:rsid w:val="00135753"/>
    <w:rsid w:val="001378A1"/>
    <w:rsid w:val="001405D2"/>
    <w:rsid w:val="001405DC"/>
    <w:rsid w:val="00140826"/>
    <w:rsid w:val="00141B63"/>
    <w:rsid w:val="001433EB"/>
    <w:rsid w:val="001475A1"/>
    <w:rsid w:val="00152354"/>
    <w:rsid w:val="001523DC"/>
    <w:rsid w:val="00152602"/>
    <w:rsid w:val="0015277A"/>
    <w:rsid w:val="00152987"/>
    <w:rsid w:val="00153B61"/>
    <w:rsid w:val="001541F0"/>
    <w:rsid w:val="0015431E"/>
    <w:rsid w:val="00154FA8"/>
    <w:rsid w:val="00161437"/>
    <w:rsid w:val="001634E1"/>
    <w:rsid w:val="001636A4"/>
    <w:rsid w:val="00163817"/>
    <w:rsid w:val="001639A0"/>
    <w:rsid w:val="0016444B"/>
    <w:rsid w:val="00164916"/>
    <w:rsid w:val="00165472"/>
    <w:rsid w:val="00167539"/>
    <w:rsid w:val="00171BD0"/>
    <w:rsid w:val="00172459"/>
    <w:rsid w:val="00173622"/>
    <w:rsid w:val="00173987"/>
    <w:rsid w:val="00174760"/>
    <w:rsid w:val="001750F9"/>
    <w:rsid w:val="001763CE"/>
    <w:rsid w:val="00177117"/>
    <w:rsid w:val="0018423A"/>
    <w:rsid w:val="0018473B"/>
    <w:rsid w:val="0018586C"/>
    <w:rsid w:val="00185A1D"/>
    <w:rsid w:val="00192F0A"/>
    <w:rsid w:val="001942A8"/>
    <w:rsid w:val="00195856"/>
    <w:rsid w:val="00196F86"/>
    <w:rsid w:val="001A2DEE"/>
    <w:rsid w:val="001A3926"/>
    <w:rsid w:val="001A3E5F"/>
    <w:rsid w:val="001A5B2B"/>
    <w:rsid w:val="001A6584"/>
    <w:rsid w:val="001A66B9"/>
    <w:rsid w:val="001B0D03"/>
    <w:rsid w:val="001B20B7"/>
    <w:rsid w:val="001B232C"/>
    <w:rsid w:val="001B44F6"/>
    <w:rsid w:val="001C12E7"/>
    <w:rsid w:val="001C2B0D"/>
    <w:rsid w:val="001C5267"/>
    <w:rsid w:val="001C535D"/>
    <w:rsid w:val="001D42CB"/>
    <w:rsid w:val="001D5FEC"/>
    <w:rsid w:val="001D6108"/>
    <w:rsid w:val="001D7721"/>
    <w:rsid w:val="001E0214"/>
    <w:rsid w:val="001E2BA0"/>
    <w:rsid w:val="001E4F11"/>
    <w:rsid w:val="001E59C2"/>
    <w:rsid w:val="001E5D51"/>
    <w:rsid w:val="001E66F4"/>
    <w:rsid w:val="001F07C6"/>
    <w:rsid w:val="001F1124"/>
    <w:rsid w:val="001F1449"/>
    <w:rsid w:val="001F558B"/>
    <w:rsid w:val="001F664E"/>
    <w:rsid w:val="001F6F0A"/>
    <w:rsid w:val="001F76A4"/>
    <w:rsid w:val="001F76A6"/>
    <w:rsid w:val="001F7D02"/>
    <w:rsid w:val="00200769"/>
    <w:rsid w:val="00200C78"/>
    <w:rsid w:val="00202F2A"/>
    <w:rsid w:val="0020389D"/>
    <w:rsid w:val="00203A06"/>
    <w:rsid w:val="00204D19"/>
    <w:rsid w:val="00210B87"/>
    <w:rsid w:val="00210E04"/>
    <w:rsid w:val="002139FC"/>
    <w:rsid w:val="0021691A"/>
    <w:rsid w:val="0021758B"/>
    <w:rsid w:val="002177A8"/>
    <w:rsid w:val="0022400E"/>
    <w:rsid w:val="0022418B"/>
    <w:rsid w:val="00224947"/>
    <w:rsid w:val="00226270"/>
    <w:rsid w:val="002278A8"/>
    <w:rsid w:val="0023077B"/>
    <w:rsid w:val="00230D1B"/>
    <w:rsid w:val="0023184D"/>
    <w:rsid w:val="00232DE5"/>
    <w:rsid w:val="00233F75"/>
    <w:rsid w:val="00235A8F"/>
    <w:rsid w:val="002365D7"/>
    <w:rsid w:val="00241968"/>
    <w:rsid w:val="00241A56"/>
    <w:rsid w:val="00242A81"/>
    <w:rsid w:val="002445F3"/>
    <w:rsid w:val="00244615"/>
    <w:rsid w:val="00244BB9"/>
    <w:rsid w:val="00244FCB"/>
    <w:rsid w:val="00246A39"/>
    <w:rsid w:val="00246C40"/>
    <w:rsid w:val="00247E7C"/>
    <w:rsid w:val="00251754"/>
    <w:rsid w:val="00252602"/>
    <w:rsid w:val="0025570B"/>
    <w:rsid w:val="0025571A"/>
    <w:rsid w:val="00255B3A"/>
    <w:rsid w:val="002575C2"/>
    <w:rsid w:val="002613B6"/>
    <w:rsid w:val="00264FEA"/>
    <w:rsid w:val="00265565"/>
    <w:rsid w:val="00267EB1"/>
    <w:rsid w:val="00272012"/>
    <w:rsid w:val="00274436"/>
    <w:rsid w:val="00275E6B"/>
    <w:rsid w:val="0028210B"/>
    <w:rsid w:val="002827C0"/>
    <w:rsid w:val="00283302"/>
    <w:rsid w:val="00283C97"/>
    <w:rsid w:val="0028418D"/>
    <w:rsid w:val="00284F06"/>
    <w:rsid w:val="002865BF"/>
    <w:rsid w:val="00294730"/>
    <w:rsid w:val="00295FB4"/>
    <w:rsid w:val="0029678B"/>
    <w:rsid w:val="002973F7"/>
    <w:rsid w:val="002A05C1"/>
    <w:rsid w:val="002A2906"/>
    <w:rsid w:val="002A4663"/>
    <w:rsid w:val="002A5AC8"/>
    <w:rsid w:val="002A77DC"/>
    <w:rsid w:val="002A7C2E"/>
    <w:rsid w:val="002B0016"/>
    <w:rsid w:val="002B2ECE"/>
    <w:rsid w:val="002C06BF"/>
    <w:rsid w:val="002C172F"/>
    <w:rsid w:val="002C37C5"/>
    <w:rsid w:val="002C38B0"/>
    <w:rsid w:val="002C3ECD"/>
    <w:rsid w:val="002C6D1A"/>
    <w:rsid w:val="002C7D4B"/>
    <w:rsid w:val="002D1E85"/>
    <w:rsid w:val="002D24E4"/>
    <w:rsid w:val="002D2A45"/>
    <w:rsid w:val="002D32B9"/>
    <w:rsid w:val="002D3464"/>
    <w:rsid w:val="002D43B6"/>
    <w:rsid w:val="002D579B"/>
    <w:rsid w:val="002D5DA1"/>
    <w:rsid w:val="002E29FC"/>
    <w:rsid w:val="002E3DAF"/>
    <w:rsid w:val="002E4F30"/>
    <w:rsid w:val="002E7098"/>
    <w:rsid w:val="002F1053"/>
    <w:rsid w:val="002F24C9"/>
    <w:rsid w:val="002F407C"/>
    <w:rsid w:val="002F4AAF"/>
    <w:rsid w:val="002F4CA2"/>
    <w:rsid w:val="002F79C8"/>
    <w:rsid w:val="0030003C"/>
    <w:rsid w:val="00300728"/>
    <w:rsid w:val="00301572"/>
    <w:rsid w:val="0030182F"/>
    <w:rsid w:val="00302B26"/>
    <w:rsid w:val="00303054"/>
    <w:rsid w:val="00307367"/>
    <w:rsid w:val="00310D67"/>
    <w:rsid w:val="00311BE8"/>
    <w:rsid w:val="00312B96"/>
    <w:rsid w:val="00315910"/>
    <w:rsid w:val="00317B57"/>
    <w:rsid w:val="0032029E"/>
    <w:rsid w:val="0032090A"/>
    <w:rsid w:val="00321519"/>
    <w:rsid w:val="00321B45"/>
    <w:rsid w:val="00321F34"/>
    <w:rsid w:val="003250DD"/>
    <w:rsid w:val="0033003B"/>
    <w:rsid w:val="0033591C"/>
    <w:rsid w:val="0034018A"/>
    <w:rsid w:val="00340B0D"/>
    <w:rsid w:val="00341B0A"/>
    <w:rsid w:val="0034303E"/>
    <w:rsid w:val="0034327B"/>
    <w:rsid w:val="00344F2A"/>
    <w:rsid w:val="00345B2D"/>
    <w:rsid w:val="00350464"/>
    <w:rsid w:val="00351904"/>
    <w:rsid w:val="00352D37"/>
    <w:rsid w:val="00354295"/>
    <w:rsid w:val="003571B4"/>
    <w:rsid w:val="00357D0A"/>
    <w:rsid w:val="00357D87"/>
    <w:rsid w:val="00360CF2"/>
    <w:rsid w:val="00361280"/>
    <w:rsid w:val="00362F5A"/>
    <w:rsid w:val="00363992"/>
    <w:rsid w:val="00364636"/>
    <w:rsid w:val="003655D9"/>
    <w:rsid w:val="0037120F"/>
    <w:rsid w:val="0037190D"/>
    <w:rsid w:val="00373882"/>
    <w:rsid w:val="00373FDB"/>
    <w:rsid w:val="00376856"/>
    <w:rsid w:val="00376C9A"/>
    <w:rsid w:val="00380D28"/>
    <w:rsid w:val="00382AA3"/>
    <w:rsid w:val="00384A32"/>
    <w:rsid w:val="00384AE0"/>
    <w:rsid w:val="00385B76"/>
    <w:rsid w:val="00385D96"/>
    <w:rsid w:val="00385DA0"/>
    <w:rsid w:val="00387F18"/>
    <w:rsid w:val="00391638"/>
    <w:rsid w:val="00393DD9"/>
    <w:rsid w:val="00395F6F"/>
    <w:rsid w:val="00396D03"/>
    <w:rsid w:val="0039716D"/>
    <w:rsid w:val="003A269F"/>
    <w:rsid w:val="003A4C9F"/>
    <w:rsid w:val="003A4E2C"/>
    <w:rsid w:val="003A5459"/>
    <w:rsid w:val="003A6FF1"/>
    <w:rsid w:val="003B1DF0"/>
    <w:rsid w:val="003B24FB"/>
    <w:rsid w:val="003B2628"/>
    <w:rsid w:val="003B2BD3"/>
    <w:rsid w:val="003B38A7"/>
    <w:rsid w:val="003B3B43"/>
    <w:rsid w:val="003B3D56"/>
    <w:rsid w:val="003B7F66"/>
    <w:rsid w:val="003C030B"/>
    <w:rsid w:val="003C0BC0"/>
    <w:rsid w:val="003C0F40"/>
    <w:rsid w:val="003C156B"/>
    <w:rsid w:val="003C4A8D"/>
    <w:rsid w:val="003C5D97"/>
    <w:rsid w:val="003C6CC2"/>
    <w:rsid w:val="003C7249"/>
    <w:rsid w:val="003C7E90"/>
    <w:rsid w:val="003D0B8C"/>
    <w:rsid w:val="003D0C78"/>
    <w:rsid w:val="003D215A"/>
    <w:rsid w:val="003D6609"/>
    <w:rsid w:val="003D6976"/>
    <w:rsid w:val="003E0A47"/>
    <w:rsid w:val="003E11C1"/>
    <w:rsid w:val="003E12BD"/>
    <w:rsid w:val="003E3F11"/>
    <w:rsid w:val="003E4003"/>
    <w:rsid w:val="003E7709"/>
    <w:rsid w:val="003F1300"/>
    <w:rsid w:val="003F17BF"/>
    <w:rsid w:val="003F1BE6"/>
    <w:rsid w:val="003F7F31"/>
    <w:rsid w:val="00400C95"/>
    <w:rsid w:val="00403D07"/>
    <w:rsid w:val="00404EDC"/>
    <w:rsid w:val="00406324"/>
    <w:rsid w:val="004066D7"/>
    <w:rsid w:val="0040689E"/>
    <w:rsid w:val="00406C62"/>
    <w:rsid w:val="004100AC"/>
    <w:rsid w:val="004109B1"/>
    <w:rsid w:val="00412A40"/>
    <w:rsid w:val="00414ABE"/>
    <w:rsid w:val="00416579"/>
    <w:rsid w:val="00417FDD"/>
    <w:rsid w:val="00420EDC"/>
    <w:rsid w:val="00422483"/>
    <w:rsid w:val="00423CD9"/>
    <w:rsid w:val="00427DA9"/>
    <w:rsid w:val="00432ABE"/>
    <w:rsid w:val="00434F3C"/>
    <w:rsid w:val="00437612"/>
    <w:rsid w:val="0044306A"/>
    <w:rsid w:val="00447CCF"/>
    <w:rsid w:val="0045015D"/>
    <w:rsid w:val="004531A1"/>
    <w:rsid w:val="00453368"/>
    <w:rsid w:val="004537CF"/>
    <w:rsid w:val="00455E45"/>
    <w:rsid w:val="00456092"/>
    <w:rsid w:val="004630D8"/>
    <w:rsid w:val="004641F5"/>
    <w:rsid w:val="00471325"/>
    <w:rsid w:val="004727CA"/>
    <w:rsid w:val="00474D34"/>
    <w:rsid w:val="0047503F"/>
    <w:rsid w:val="0047626D"/>
    <w:rsid w:val="004764E1"/>
    <w:rsid w:val="004809F4"/>
    <w:rsid w:val="004834B4"/>
    <w:rsid w:val="00483FE0"/>
    <w:rsid w:val="004852DD"/>
    <w:rsid w:val="00486DFD"/>
    <w:rsid w:val="0049319A"/>
    <w:rsid w:val="004934BA"/>
    <w:rsid w:val="00497B47"/>
    <w:rsid w:val="004A16AD"/>
    <w:rsid w:val="004A339A"/>
    <w:rsid w:val="004A3CA8"/>
    <w:rsid w:val="004A4968"/>
    <w:rsid w:val="004A684D"/>
    <w:rsid w:val="004A74B6"/>
    <w:rsid w:val="004B005A"/>
    <w:rsid w:val="004B0DD4"/>
    <w:rsid w:val="004B132D"/>
    <w:rsid w:val="004B164F"/>
    <w:rsid w:val="004B22B8"/>
    <w:rsid w:val="004B386B"/>
    <w:rsid w:val="004B5DA0"/>
    <w:rsid w:val="004C03C5"/>
    <w:rsid w:val="004C1EEF"/>
    <w:rsid w:val="004C3B3D"/>
    <w:rsid w:val="004C3D9D"/>
    <w:rsid w:val="004D0AC2"/>
    <w:rsid w:val="004D0ECF"/>
    <w:rsid w:val="004E25B8"/>
    <w:rsid w:val="004E4852"/>
    <w:rsid w:val="004F126E"/>
    <w:rsid w:val="004F1980"/>
    <w:rsid w:val="004F1B43"/>
    <w:rsid w:val="004F2F43"/>
    <w:rsid w:val="004F3AD3"/>
    <w:rsid w:val="004F43E3"/>
    <w:rsid w:val="004F453A"/>
    <w:rsid w:val="004F5052"/>
    <w:rsid w:val="004F6DB3"/>
    <w:rsid w:val="004F7BCD"/>
    <w:rsid w:val="0050116E"/>
    <w:rsid w:val="0050206D"/>
    <w:rsid w:val="00506D83"/>
    <w:rsid w:val="00506FE4"/>
    <w:rsid w:val="00507B6B"/>
    <w:rsid w:val="00510B42"/>
    <w:rsid w:val="00512277"/>
    <w:rsid w:val="00512AF7"/>
    <w:rsid w:val="00513E98"/>
    <w:rsid w:val="00514A70"/>
    <w:rsid w:val="00514B65"/>
    <w:rsid w:val="00514DDC"/>
    <w:rsid w:val="00514ECF"/>
    <w:rsid w:val="005158FE"/>
    <w:rsid w:val="0051685F"/>
    <w:rsid w:val="00517EF4"/>
    <w:rsid w:val="00520C2D"/>
    <w:rsid w:val="00520DB0"/>
    <w:rsid w:val="00521050"/>
    <w:rsid w:val="0052113C"/>
    <w:rsid w:val="00523C6C"/>
    <w:rsid w:val="00525494"/>
    <w:rsid w:val="0052687F"/>
    <w:rsid w:val="005301E1"/>
    <w:rsid w:val="00531D45"/>
    <w:rsid w:val="00531D6C"/>
    <w:rsid w:val="005324DA"/>
    <w:rsid w:val="00532AA4"/>
    <w:rsid w:val="00535907"/>
    <w:rsid w:val="005400EA"/>
    <w:rsid w:val="005411C9"/>
    <w:rsid w:val="00541384"/>
    <w:rsid w:val="0054172D"/>
    <w:rsid w:val="0054201C"/>
    <w:rsid w:val="00542110"/>
    <w:rsid w:val="0054221C"/>
    <w:rsid w:val="005437AF"/>
    <w:rsid w:val="00545C48"/>
    <w:rsid w:val="00550DC7"/>
    <w:rsid w:val="00553ABC"/>
    <w:rsid w:val="005543EB"/>
    <w:rsid w:val="00555AB1"/>
    <w:rsid w:val="0055623D"/>
    <w:rsid w:val="0055745C"/>
    <w:rsid w:val="005578EE"/>
    <w:rsid w:val="00563B44"/>
    <w:rsid w:val="00565ED6"/>
    <w:rsid w:val="00565FCC"/>
    <w:rsid w:val="005665F8"/>
    <w:rsid w:val="00571A55"/>
    <w:rsid w:val="005734BB"/>
    <w:rsid w:val="00574626"/>
    <w:rsid w:val="00574A2E"/>
    <w:rsid w:val="00575328"/>
    <w:rsid w:val="00575D5C"/>
    <w:rsid w:val="00576B94"/>
    <w:rsid w:val="00576CCA"/>
    <w:rsid w:val="00581544"/>
    <w:rsid w:val="00582279"/>
    <w:rsid w:val="00582B40"/>
    <w:rsid w:val="00585530"/>
    <w:rsid w:val="005876E2"/>
    <w:rsid w:val="00590CBE"/>
    <w:rsid w:val="00591D01"/>
    <w:rsid w:val="0059236D"/>
    <w:rsid w:val="005931D8"/>
    <w:rsid w:val="00596A3F"/>
    <w:rsid w:val="005A2027"/>
    <w:rsid w:val="005A244B"/>
    <w:rsid w:val="005A3CD6"/>
    <w:rsid w:val="005A3DBB"/>
    <w:rsid w:val="005A4481"/>
    <w:rsid w:val="005A5072"/>
    <w:rsid w:val="005A67EE"/>
    <w:rsid w:val="005A6D17"/>
    <w:rsid w:val="005A72E3"/>
    <w:rsid w:val="005A7596"/>
    <w:rsid w:val="005B04BE"/>
    <w:rsid w:val="005B5B4D"/>
    <w:rsid w:val="005B5F9F"/>
    <w:rsid w:val="005B7CD8"/>
    <w:rsid w:val="005B7DC0"/>
    <w:rsid w:val="005C0814"/>
    <w:rsid w:val="005C4F3C"/>
    <w:rsid w:val="005C5823"/>
    <w:rsid w:val="005C5A9E"/>
    <w:rsid w:val="005C671E"/>
    <w:rsid w:val="005C703E"/>
    <w:rsid w:val="005C777F"/>
    <w:rsid w:val="005D73BE"/>
    <w:rsid w:val="005D76E5"/>
    <w:rsid w:val="005E0469"/>
    <w:rsid w:val="005E0D03"/>
    <w:rsid w:val="005E25A5"/>
    <w:rsid w:val="005E28FD"/>
    <w:rsid w:val="005E2BD1"/>
    <w:rsid w:val="005E33EF"/>
    <w:rsid w:val="005E38DC"/>
    <w:rsid w:val="005E67B1"/>
    <w:rsid w:val="005E6DAC"/>
    <w:rsid w:val="005E7C0B"/>
    <w:rsid w:val="005E7EF1"/>
    <w:rsid w:val="005F4392"/>
    <w:rsid w:val="005F4CB3"/>
    <w:rsid w:val="005F524A"/>
    <w:rsid w:val="005F5289"/>
    <w:rsid w:val="005F5565"/>
    <w:rsid w:val="00600675"/>
    <w:rsid w:val="00600B53"/>
    <w:rsid w:val="00605316"/>
    <w:rsid w:val="006054FF"/>
    <w:rsid w:val="00610B82"/>
    <w:rsid w:val="00610C97"/>
    <w:rsid w:val="00612334"/>
    <w:rsid w:val="00612FE6"/>
    <w:rsid w:val="0061307D"/>
    <w:rsid w:val="006139CC"/>
    <w:rsid w:val="006140B1"/>
    <w:rsid w:val="00614CA3"/>
    <w:rsid w:val="006160BE"/>
    <w:rsid w:val="00616F91"/>
    <w:rsid w:val="00617190"/>
    <w:rsid w:val="006177C1"/>
    <w:rsid w:val="006206F6"/>
    <w:rsid w:val="00621670"/>
    <w:rsid w:val="00621990"/>
    <w:rsid w:val="006308EA"/>
    <w:rsid w:val="00632678"/>
    <w:rsid w:val="006355F6"/>
    <w:rsid w:val="00637E6A"/>
    <w:rsid w:val="00640BF9"/>
    <w:rsid w:val="00643405"/>
    <w:rsid w:val="00644FD2"/>
    <w:rsid w:val="0064611D"/>
    <w:rsid w:val="006464F0"/>
    <w:rsid w:val="006467D6"/>
    <w:rsid w:val="00646A9C"/>
    <w:rsid w:val="00646B40"/>
    <w:rsid w:val="00652891"/>
    <w:rsid w:val="00657575"/>
    <w:rsid w:val="006613B3"/>
    <w:rsid w:val="0066335E"/>
    <w:rsid w:val="00664800"/>
    <w:rsid w:val="00664986"/>
    <w:rsid w:val="00665132"/>
    <w:rsid w:val="00665FFC"/>
    <w:rsid w:val="0067074B"/>
    <w:rsid w:val="0067133E"/>
    <w:rsid w:val="006728DC"/>
    <w:rsid w:val="00673AB2"/>
    <w:rsid w:val="006761F6"/>
    <w:rsid w:val="006767C8"/>
    <w:rsid w:val="0068324B"/>
    <w:rsid w:val="00685FE3"/>
    <w:rsid w:val="006909D4"/>
    <w:rsid w:val="00691794"/>
    <w:rsid w:val="00692E0E"/>
    <w:rsid w:val="00693410"/>
    <w:rsid w:val="006956A6"/>
    <w:rsid w:val="00697310"/>
    <w:rsid w:val="00697F2A"/>
    <w:rsid w:val="006A205B"/>
    <w:rsid w:val="006A4704"/>
    <w:rsid w:val="006A482A"/>
    <w:rsid w:val="006A6904"/>
    <w:rsid w:val="006B016D"/>
    <w:rsid w:val="006B06C1"/>
    <w:rsid w:val="006B4432"/>
    <w:rsid w:val="006B4F5D"/>
    <w:rsid w:val="006B5DB4"/>
    <w:rsid w:val="006B6334"/>
    <w:rsid w:val="006C37CD"/>
    <w:rsid w:val="006C4077"/>
    <w:rsid w:val="006C7191"/>
    <w:rsid w:val="006C754B"/>
    <w:rsid w:val="006D529D"/>
    <w:rsid w:val="006D52AE"/>
    <w:rsid w:val="006D7A8B"/>
    <w:rsid w:val="006E1098"/>
    <w:rsid w:val="006E12B2"/>
    <w:rsid w:val="006E1ACB"/>
    <w:rsid w:val="006E2DD6"/>
    <w:rsid w:val="006E41FD"/>
    <w:rsid w:val="006E7CC3"/>
    <w:rsid w:val="006F1AFD"/>
    <w:rsid w:val="006F1F71"/>
    <w:rsid w:val="006F247A"/>
    <w:rsid w:val="006F55A0"/>
    <w:rsid w:val="00701867"/>
    <w:rsid w:val="00702F99"/>
    <w:rsid w:val="00707E26"/>
    <w:rsid w:val="007106B5"/>
    <w:rsid w:val="0071363D"/>
    <w:rsid w:val="00714CC4"/>
    <w:rsid w:val="00714EBE"/>
    <w:rsid w:val="00715BEC"/>
    <w:rsid w:val="00722050"/>
    <w:rsid w:val="0072397A"/>
    <w:rsid w:val="00723CBC"/>
    <w:rsid w:val="00724024"/>
    <w:rsid w:val="00724A97"/>
    <w:rsid w:val="00725B8F"/>
    <w:rsid w:val="00726718"/>
    <w:rsid w:val="00727CFB"/>
    <w:rsid w:val="00733FBA"/>
    <w:rsid w:val="00734736"/>
    <w:rsid w:val="00735B33"/>
    <w:rsid w:val="00736091"/>
    <w:rsid w:val="00736B6A"/>
    <w:rsid w:val="00737491"/>
    <w:rsid w:val="007375A2"/>
    <w:rsid w:val="00737AEB"/>
    <w:rsid w:val="00737E76"/>
    <w:rsid w:val="007402C8"/>
    <w:rsid w:val="00743370"/>
    <w:rsid w:val="007437F6"/>
    <w:rsid w:val="00745474"/>
    <w:rsid w:val="00746D94"/>
    <w:rsid w:val="0075102D"/>
    <w:rsid w:val="00753633"/>
    <w:rsid w:val="00754794"/>
    <w:rsid w:val="00756CF2"/>
    <w:rsid w:val="00763E18"/>
    <w:rsid w:val="00764709"/>
    <w:rsid w:val="007650C4"/>
    <w:rsid w:val="0076714C"/>
    <w:rsid w:val="00767EED"/>
    <w:rsid w:val="0077058A"/>
    <w:rsid w:val="00774146"/>
    <w:rsid w:val="0077463E"/>
    <w:rsid w:val="00776529"/>
    <w:rsid w:val="00777158"/>
    <w:rsid w:val="00780182"/>
    <w:rsid w:val="00787A29"/>
    <w:rsid w:val="0079056B"/>
    <w:rsid w:val="00790E64"/>
    <w:rsid w:val="007914DC"/>
    <w:rsid w:val="00791742"/>
    <w:rsid w:val="007918A4"/>
    <w:rsid w:val="00792725"/>
    <w:rsid w:val="00792B54"/>
    <w:rsid w:val="007967B9"/>
    <w:rsid w:val="00797820"/>
    <w:rsid w:val="007A09CE"/>
    <w:rsid w:val="007A153C"/>
    <w:rsid w:val="007A1703"/>
    <w:rsid w:val="007A1BD2"/>
    <w:rsid w:val="007A266F"/>
    <w:rsid w:val="007A30F0"/>
    <w:rsid w:val="007A3B78"/>
    <w:rsid w:val="007A66DB"/>
    <w:rsid w:val="007A7B08"/>
    <w:rsid w:val="007B0109"/>
    <w:rsid w:val="007B1536"/>
    <w:rsid w:val="007B1D00"/>
    <w:rsid w:val="007B4213"/>
    <w:rsid w:val="007B671B"/>
    <w:rsid w:val="007B7F62"/>
    <w:rsid w:val="007C2308"/>
    <w:rsid w:val="007C583A"/>
    <w:rsid w:val="007C5C83"/>
    <w:rsid w:val="007C62B7"/>
    <w:rsid w:val="007C67DC"/>
    <w:rsid w:val="007C7603"/>
    <w:rsid w:val="007D1641"/>
    <w:rsid w:val="007D24F8"/>
    <w:rsid w:val="007D28D9"/>
    <w:rsid w:val="007D3CF4"/>
    <w:rsid w:val="007D53FF"/>
    <w:rsid w:val="007E135E"/>
    <w:rsid w:val="007E13CD"/>
    <w:rsid w:val="007E567F"/>
    <w:rsid w:val="007E585D"/>
    <w:rsid w:val="007F03C1"/>
    <w:rsid w:val="007F0825"/>
    <w:rsid w:val="007F1ED3"/>
    <w:rsid w:val="007F479F"/>
    <w:rsid w:val="007F5800"/>
    <w:rsid w:val="007F58CD"/>
    <w:rsid w:val="007F6A36"/>
    <w:rsid w:val="008040BC"/>
    <w:rsid w:val="008072F2"/>
    <w:rsid w:val="008125C2"/>
    <w:rsid w:val="00813431"/>
    <w:rsid w:val="0081460B"/>
    <w:rsid w:val="00815CE9"/>
    <w:rsid w:val="00816163"/>
    <w:rsid w:val="00817BDE"/>
    <w:rsid w:val="00817F02"/>
    <w:rsid w:val="008200D2"/>
    <w:rsid w:val="0082113D"/>
    <w:rsid w:val="00821245"/>
    <w:rsid w:val="0082205C"/>
    <w:rsid w:val="008225F4"/>
    <w:rsid w:val="00822938"/>
    <w:rsid w:val="00822C2C"/>
    <w:rsid w:val="00823403"/>
    <w:rsid w:val="008236E0"/>
    <w:rsid w:val="00825C39"/>
    <w:rsid w:val="00826CA7"/>
    <w:rsid w:val="0083201E"/>
    <w:rsid w:val="00832A74"/>
    <w:rsid w:val="00836669"/>
    <w:rsid w:val="00841141"/>
    <w:rsid w:val="00841B9F"/>
    <w:rsid w:val="008445CA"/>
    <w:rsid w:val="00844726"/>
    <w:rsid w:val="00846C20"/>
    <w:rsid w:val="0085038B"/>
    <w:rsid w:val="00854CFB"/>
    <w:rsid w:val="0085629C"/>
    <w:rsid w:val="00862E73"/>
    <w:rsid w:val="00862E95"/>
    <w:rsid w:val="008653E2"/>
    <w:rsid w:val="00870124"/>
    <w:rsid w:val="0087547F"/>
    <w:rsid w:val="008761C0"/>
    <w:rsid w:val="00877CE2"/>
    <w:rsid w:val="00881963"/>
    <w:rsid w:val="00883837"/>
    <w:rsid w:val="00885643"/>
    <w:rsid w:val="008927C8"/>
    <w:rsid w:val="008927F8"/>
    <w:rsid w:val="00892941"/>
    <w:rsid w:val="00893D91"/>
    <w:rsid w:val="008969B7"/>
    <w:rsid w:val="008A1490"/>
    <w:rsid w:val="008A180E"/>
    <w:rsid w:val="008A1FC0"/>
    <w:rsid w:val="008A2709"/>
    <w:rsid w:val="008A3735"/>
    <w:rsid w:val="008A469D"/>
    <w:rsid w:val="008A5C48"/>
    <w:rsid w:val="008A61DE"/>
    <w:rsid w:val="008B40C1"/>
    <w:rsid w:val="008B51BD"/>
    <w:rsid w:val="008B7EAC"/>
    <w:rsid w:val="008C0BA7"/>
    <w:rsid w:val="008C0FC4"/>
    <w:rsid w:val="008C1BF7"/>
    <w:rsid w:val="008C1D95"/>
    <w:rsid w:val="008C1F0A"/>
    <w:rsid w:val="008C324F"/>
    <w:rsid w:val="008C353C"/>
    <w:rsid w:val="008C51FC"/>
    <w:rsid w:val="008C5A09"/>
    <w:rsid w:val="008C6D34"/>
    <w:rsid w:val="008C7A2D"/>
    <w:rsid w:val="008D1089"/>
    <w:rsid w:val="008D17D5"/>
    <w:rsid w:val="008D1C83"/>
    <w:rsid w:val="008D1D74"/>
    <w:rsid w:val="008D3808"/>
    <w:rsid w:val="008D3EFC"/>
    <w:rsid w:val="008D4618"/>
    <w:rsid w:val="008D7E9A"/>
    <w:rsid w:val="008E1CA6"/>
    <w:rsid w:val="008E218F"/>
    <w:rsid w:val="008E3226"/>
    <w:rsid w:val="008E37E1"/>
    <w:rsid w:val="008E55EF"/>
    <w:rsid w:val="008F1F98"/>
    <w:rsid w:val="008F24C1"/>
    <w:rsid w:val="008F2B94"/>
    <w:rsid w:val="008F3973"/>
    <w:rsid w:val="008F3B7D"/>
    <w:rsid w:val="008F578E"/>
    <w:rsid w:val="008F713A"/>
    <w:rsid w:val="009043FF"/>
    <w:rsid w:val="00904514"/>
    <w:rsid w:val="00904709"/>
    <w:rsid w:val="00904944"/>
    <w:rsid w:val="00905E3A"/>
    <w:rsid w:val="00906BC6"/>
    <w:rsid w:val="00907EB1"/>
    <w:rsid w:val="0091050F"/>
    <w:rsid w:val="00911510"/>
    <w:rsid w:val="0091181A"/>
    <w:rsid w:val="00911B1A"/>
    <w:rsid w:val="00914F83"/>
    <w:rsid w:val="00917DEB"/>
    <w:rsid w:val="0092043F"/>
    <w:rsid w:val="0092127B"/>
    <w:rsid w:val="009228A2"/>
    <w:rsid w:val="00924B58"/>
    <w:rsid w:val="0093084E"/>
    <w:rsid w:val="0093240D"/>
    <w:rsid w:val="00935177"/>
    <w:rsid w:val="009358D4"/>
    <w:rsid w:val="00937A51"/>
    <w:rsid w:val="00940AED"/>
    <w:rsid w:val="009421B6"/>
    <w:rsid w:val="00943939"/>
    <w:rsid w:val="00950F02"/>
    <w:rsid w:val="00952B17"/>
    <w:rsid w:val="00953ACC"/>
    <w:rsid w:val="0095462D"/>
    <w:rsid w:val="009559C1"/>
    <w:rsid w:val="00957CCF"/>
    <w:rsid w:val="00960B46"/>
    <w:rsid w:val="00961692"/>
    <w:rsid w:val="00965495"/>
    <w:rsid w:val="00966869"/>
    <w:rsid w:val="00970529"/>
    <w:rsid w:val="00971442"/>
    <w:rsid w:val="0097185C"/>
    <w:rsid w:val="009725E3"/>
    <w:rsid w:val="0097357B"/>
    <w:rsid w:val="009815A9"/>
    <w:rsid w:val="009821D9"/>
    <w:rsid w:val="00985021"/>
    <w:rsid w:val="00985344"/>
    <w:rsid w:val="0098657B"/>
    <w:rsid w:val="00990242"/>
    <w:rsid w:val="00992F18"/>
    <w:rsid w:val="00992FA0"/>
    <w:rsid w:val="00996CB4"/>
    <w:rsid w:val="00996CEF"/>
    <w:rsid w:val="009975F3"/>
    <w:rsid w:val="00997D6B"/>
    <w:rsid w:val="009A215D"/>
    <w:rsid w:val="009A285D"/>
    <w:rsid w:val="009A2E8D"/>
    <w:rsid w:val="009A3422"/>
    <w:rsid w:val="009A3D02"/>
    <w:rsid w:val="009A4A0C"/>
    <w:rsid w:val="009A5A63"/>
    <w:rsid w:val="009A74FE"/>
    <w:rsid w:val="009A7B47"/>
    <w:rsid w:val="009B0B1F"/>
    <w:rsid w:val="009B1E36"/>
    <w:rsid w:val="009B2697"/>
    <w:rsid w:val="009B2A6C"/>
    <w:rsid w:val="009B40C2"/>
    <w:rsid w:val="009C1F76"/>
    <w:rsid w:val="009C2457"/>
    <w:rsid w:val="009C47EE"/>
    <w:rsid w:val="009C49FC"/>
    <w:rsid w:val="009C4BEC"/>
    <w:rsid w:val="009C4E6A"/>
    <w:rsid w:val="009C5EE8"/>
    <w:rsid w:val="009C75F6"/>
    <w:rsid w:val="009D40CE"/>
    <w:rsid w:val="009D4A97"/>
    <w:rsid w:val="009E1BA9"/>
    <w:rsid w:val="009E2CA6"/>
    <w:rsid w:val="009E3E3E"/>
    <w:rsid w:val="009E55AB"/>
    <w:rsid w:val="009E6D15"/>
    <w:rsid w:val="009F09B1"/>
    <w:rsid w:val="009F1909"/>
    <w:rsid w:val="009F725D"/>
    <w:rsid w:val="00A004C2"/>
    <w:rsid w:val="00A02CE8"/>
    <w:rsid w:val="00A0368A"/>
    <w:rsid w:val="00A03F84"/>
    <w:rsid w:val="00A04026"/>
    <w:rsid w:val="00A04155"/>
    <w:rsid w:val="00A05303"/>
    <w:rsid w:val="00A06893"/>
    <w:rsid w:val="00A06EEF"/>
    <w:rsid w:val="00A070EB"/>
    <w:rsid w:val="00A07256"/>
    <w:rsid w:val="00A0741B"/>
    <w:rsid w:val="00A10378"/>
    <w:rsid w:val="00A1277C"/>
    <w:rsid w:val="00A1299B"/>
    <w:rsid w:val="00A13099"/>
    <w:rsid w:val="00A14337"/>
    <w:rsid w:val="00A1439F"/>
    <w:rsid w:val="00A1514D"/>
    <w:rsid w:val="00A15B97"/>
    <w:rsid w:val="00A16085"/>
    <w:rsid w:val="00A16FD3"/>
    <w:rsid w:val="00A2101E"/>
    <w:rsid w:val="00A2237A"/>
    <w:rsid w:val="00A23DDA"/>
    <w:rsid w:val="00A2422E"/>
    <w:rsid w:val="00A24CC6"/>
    <w:rsid w:val="00A25B4E"/>
    <w:rsid w:val="00A25D9F"/>
    <w:rsid w:val="00A26CAC"/>
    <w:rsid w:val="00A30DF1"/>
    <w:rsid w:val="00A34FEE"/>
    <w:rsid w:val="00A41312"/>
    <w:rsid w:val="00A41720"/>
    <w:rsid w:val="00A434B5"/>
    <w:rsid w:val="00A44DE3"/>
    <w:rsid w:val="00A46BCF"/>
    <w:rsid w:val="00A50A37"/>
    <w:rsid w:val="00A50E5F"/>
    <w:rsid w:val="00A516CF"/>
    <w:rsid w:val="00A536CF"/>
    <w:rsid w:val="00A54B59"/>
    <w:rsid w:val="00A54C7A"/>
    <w:rsid w:val="00A55A77"/>
    <w:rsid w:val="00A6092E"/>
    <w:rsid w:val="00A60CDF"/>
    <w:rsid w:val="00A611DC"/>
    <w:rsid w:val="00A62B67"/>
    <w:rsid w:val="00A643EF"/>
    <w:rsid w:val="00A64BD1"/>
    <w:rsid w:val="00A70681"/>
    <w:rsid w:val="00A7435B"/>
    <w:rsid w:val="00A80132"/>
    <w:rsid w:val="00A804DE"/>
    <w:rsid w:val="00A810D6"/>
    <w:rsid w:val="00A81890"/>
    <w:rsid w:val="00A8192E"/>
    <w:rsid w:val="00A828BC"/>
    <w:rsid w:val="00A83C59"/>
    <w:rsid w:val="00A87520"/>
    <w:rsid w:val="00A9127D"/>
    <w:rsid w:val="00A9423F"/>
    <w:rsid w:val="00A94D37"/>
    <w:rsid w:val="00A952C1"/>
    <w:rsid w:val="00A96090"/>
    <w:rsid w:val="00A967ED"/>
    <w:rsid w:val="00A96EF7"/>
    <w:rsid w:val="00A9740F"/>
    <w:rsid w:val="00A97966"/>
    <w:rsid w:val="00AA26C3"/>
    <w:rsid w:val="00AA403A"/>
    <w:rsid w:val="00AB0020"/>
    <w:rsid w:val="00AB0FF3"/>
    <w:rsid w:val="00AB2CF7"/>
    <w:rsid w:val="00AB5939"/>
    <w:rsid w:val="00AB5A53"/>
    <w:rsid w:val="00AB7893"/>
    <w:rsid w:val="00AC0E43"/>
    <w:rsid w:val="00AC139F"/>
    <w:rsid w:val="00AC1A4C"/>
    <w:rsid w:val="00AC5BBC"/>
    <w:rsid w:val="00AC7AD2"/>
    <w:rsid w:val="00AD06BE"/>
    <w:rsid w:val="00AD13E3"/>
    <w:rsid w:val="00AD350A"/>
    <w:rsid w:val="00AD5168"/>
    <w:rsid w:val="00AD6618"/>
    <w:rsid w:val="00AE12AD"/>
    <w:rsid w:val="00AE19F7"/>
    <w:rsid w:val="00AE2CFD"/>
    <w:rsid w:val="00AE3089"/>
    <w:rsid w:val="00AE3117"/>
    <w:rsid w:val="00AE3A1F"/>
    <w:rsid w:val="00AE3A27"/>
    <w:rsid w:val="00AE4178"/>
    <w:rsid w:val="00AE44C0"/>
    <w:rsid w:val="00AE547C"/>
    <w:rsid w:val="00AF1298"/>
    <w:rsid w:val="00AF212E"/>
    <w:rsid w:val="00AF6170"/>
    <w:rsid w:val="00AF7865"/>
    <w:rsid w:val="00AF7DCD"/>
    <w:rsid w:val="00B0035F"/>
    <w:rsid w:val="00B018FE"/>
    <w:rsid w:val="00B0448D"/>
    <w:rsid w:val="00B0537F"/>
    <w:rsid w:val="00B06B46"/>
    <w:rsid w:val="00B1136E"/>
    <w:rsid w:val="00B117D1"/>
    <w:rsid w:val="00B12E3C"/>
    <w:rsid w:val="00B152F9"/>
    <w:rsid w:val="00B1531F"/>
    <w:rsid w:val="00B15C1F"/>
    <w:rsid w:val="00B1625A"/>
    <w:rsid w:val="00B21111"/>
    <w:rsid w:val="00B217B1"/>
    <w:rsid w:val="00B25AAF"/>
    <w:rsid w:val="00B27583"/>
    <w:rsid w:val="00B3109C"/>
    <w:rsid w:val="00B3265C"/>
    <w:rsid w:val="00B3287F"/>
    <w:rsid w:val="00B347FB"/>
    <w:rsid w:val="00B404EA"/>
    <w:rsid w:val="00B40B49"/>
    <w:rsid w:val="00B411EB"/>
    <w:rsid w:val="00B4164F"/>
    <w:rsid w:val="00B43C3D"/>
    <w:rsid w:val="00B443DD"/>
    <w:rsid w:val="00B46FC2"/>
    <w:rsid w:val="00B50509"/>
    <w:rsid w:val="00B527AD"/>
    <w:rsid w:val="00B53037"/>
    <w:rsid w:val="00B537DC"/>
    <w:rsid w:val="00B55E95"/>
    <w:rsid w:val="00B60FA1"/>
    <w:rsid w:val="00B638BD"/>
    <w:rsid w:val="00B674D8"/>
    <w:rsid w:val="00B67514"/>
    <w:rsid w:val="00B70037"/>
    <w:rsid w:val="00B7021D"/>
    <w:rsid w:val="00B7322F"/>
    <w:rsid w:val="00B76022"/>
    <w:rsid w:val="00B8026F"/>
    <w:rsid w:val="00B80721"/>
    <w:rsid w:val="00B81DD5"/>
    <w:rsid w:val="00B82530"/>
    <w:rsid w:val="00B82A2F"/>
    <w:rsid w:val="00B82CB7"/>
    <w:rsid w:val="00B84279"/>
    <w:rsid w:val="00B85900"/>
    <w:rsid w:val="00B927F7"/>
    <w:rsid w:val="00B95624"/>
    <w:rsid w:val="00B9688E"/>
    <w:rsid w:val="00BA1948"/>
    <w:rsid w:val="00BA2CBB"/>
    <w:rsid w:val="00BA317A"/>
    <w:rsid w:val="00BA5F6E"/>
    <w:rsid w:val="00BA783E"/>
    <w:rsid w:val="00BB0B87"/>
    <w:rsid w:val="00BB0CD7"/>
    <w:rsid w:val="00BB1291"/>
    <w:rsid w:val="00BB2056"/>
    <w:rsid w:val="00BB4FFB"/>
    <w:rsid w:val="00BB54A8"/>
    <w:rsid w:val="00BB6269"/>
    <w:rsid w:val="00BB666A"/>
    <w:rsid w:val="00BB7EEE"/>
    <w:rsid w:val="00BB7F5C"/>
    <w:rsid w:val="00BC194A"/>
    <w:rsid w:val="00BC4B93"/>
    <w:rsid w:val="00BD0A5A"/>
    <w:rsid w:val="00BD1126"/>
    <w:rsid w:val="00BD134D"/>
    <w:rsid w:val="00BD18B4"/>
    <w:rsid w:val="00BD24F4"/>
    <w:rsid w:val="00BD375C"/>
    <w:rsid w:val="00BD45A1"/>
    <w:rsid w:val="00BD45A2"/>
    <w:rsid w:val="00BD4601"/>
    <w:rsid w:val="00BD46DE"/>
    <w:rsid w:val="00BD4942"/>
    <w:rsid w:val="00BD54CD"/>
    <w:rsid w:val="00BD5579"/>
    <w:rsid w:val="00BD6688"/>
    <w:rsid w:val="00BE0257"/>
    <w:rsid w:val="00BE1765"/>
    <w:rsid w:val="00BE48E2"/>
    <w:rsid w:val="00BE5B34"/>
    <w:rsid w:val="00BE6481"/>
    <w:rsid w:val="00BE691A"/>
    <w:rsid w:val="00BF0760"/>
    <w:rsid w:val="00BF0FB1"/>
    <w:rsid w:val="00BF2EE7"/>
    <w:rsid w:val="00BF44C3"/>
    <w:rsid w:val="00BF6926"/>
    <w:rsid w:val="00BF74AA"/>
    <w:rsid w:val="00BF75F6"/>
    <w:rsid w:val="00C006D5"/>
    <w:rsid w:val="00C00DFD"/>
    <w:rsid w:val="00C14AC9"/>
    <w:rsid w:val="00C16EC1"/>
    <w:rsid w:val="00C20B15"/>
    <w:rsid w:val="00C23439"/>
    <w:rsid w:val="00C24A10"/>
    <w:rsid w:val="00C24B8A"/>
    <w:rsid w:val="00C25C66"/>
    <w:rsid w:val="00C2662C"/>
    <w:rsid w:val="00C27023"/>
    <w:rsid w:val="00C32222"/>
    <w:rsid w:val="00C326C3"/>
    <w:rsid w:val="00C327A1"/>
    <w:rsid w:val="00C340FD"/>
    <w:rsid w:val="00C3504D"/>
    <w:rsid w:val="00C35C81"/>
    <w:rsid w:val="00C3663E"/>
    <w:rsid w:val="00C36A4D"/>
    <w:rsid w:val="00C40334"/>
    <w:rsid w:val="00C41CDF"/>
    <w:rsid w:val="00C42AC4"/>
    <w:rsid w:val="00C43BDA"/>
    <w:rsid w:val="00C45680"/>
    <w:rsid w:val="00C459E1"/>
    <w:rsid w:val="00C47074"/>
    <w:rsid w:val="00C4791E"/>
    <w:rsid w:val="00C51ABF"/>
    <w:rsid w:val="00C53573"/>
    <w:rsid w:val="00C549F6"/>
    <w:rsid w:val="00C54B0D"/>
    <w:rsid w:val="00C55D25"/>
    <w:rsid w:val="00C576FF"/>
    <w:rsid w:val="00C60A1B"/>
    <w:rsid w:val="00C61007"/>
    <w:rsid w:val="00C6218D"/>
    <w:rsid w:val="00C62F0F"/>
    <w:rsid w:val="00C667DC"/>
    <w:rsid w:val="00C72F1D"/>
    <w:rsid w:val="00C7456B"/>
    <w:rsid w:val="00C805A6"/>
    <w:rsid w:val="00C8569E"/>
    <w:rsid w:val="00C867C4"/>
    <w:rsid w:val="00C87455"/>
    <w:rsid w:val="00C9118B"/>
    <w:rsid w:val="00C9120B"/>
    <w:rsid w:val="00C91BE4"/>
    <w:rsid w:val="00C91EE8"/>
    <w:rsid w:val="00C92481"/>
    <w:rsid w:val="00C94AFD"/>
    <w:rsid w:val="00C957A8"/>
    <w:rsid w:val="00C96320"/>
    <w:rsid w:val="00C968B7"/>
    <w:rsid w:val="00C9791C"/>
    <w:rsid w:val="00CA029C"/>
    <w:rsid w:val="00CA26F0"/>
    <w:rsid w:val="00CA3F21"/>
    <w:rsid w:val="00CA4872"/>
    <w:rsid w:val="00CA4EF7"/>
    <w:rsid w:val="00CA60BB"/>
    <w:rsid w:val="00CB0E7B"/>
    <w:rsid w:val="00CB206E"/>
    <w:rsid w:val="00CB2B16"/>
    <w:rsid w:val="00CB31ED"/>
    <w:rsid w:val="00CB3C33"/>
    <w:rsid w:val="00CB61C5"/>
    <w:rsid w:val="00CB621F"/>
    <w:rsid w:val="00CB6C2B"/>
    <w:rsid w:val="00CB6EBB"/>
    <w:rsid w:val="00CC0436"/>
    <w:rsid w:val="00CC090D"/>
    <w:rsid w:val="00CC38C2"/>
    <w:rsid w:val="00CC39AD"/>
    <w:rsid w:val="00CC5781"/>
    <w:rsid w:val="00CD0860"/>
    <w:rsid w:val="00CD0DB2"/>
    <w:rsid w:val="00CD1433"/>
    <w:rsid w:val="00CD6A1C"/>
    <w:rsid w:val="00CE2302"/>
    <w:rsid w:val="00CE317E"/>
    <w:rsid w:val="00CE7539"/>
    <w:rsid w:val="00CF1CF4"/>
    <w:rsid w:val="00CF1EFE"/>
    <w:rsid w:val="00CF22B3"/>
    <w:rsid w:val="00CF4635"/>
    <w:rsid w:val="00CF4C2D"/>
    <w:rsid w:val="00CF66F2"/>
    <w:rsid w:val="00CF71C4"/>
    <w:rsid w:val="00D009EF"/>
    <w:rsid w:val="00D01A24"/>
    <w:rsid w:val="00D042FB"/>
    <w:rsid w:val="00D04476"/>
    <w:rsid w:val="00D066B0"/>
    <w:rsid w:val="00D1402B"/>
    <w:rsid w:val="00D158A5"/>
    <w:rsid w:val="00D164EB"/>
    <w:rsid w:val="00D20759"/>
    <w:rsid w:val="00D21364"/>
    <w:rsid w:val="00D221E7"/>
    <w:rsid w:val="00D22AC6"/>
    <w:rsid w:val="00D232DB"/>
    <w:rsid w:val="00D2350A"/>
    <w:rsid w:val="00D23F22"/>
    <w:rsid w:val="00D24EA4"/>
    <w:rsid w:val="00D257EF"/>
    <w:rsid w:val="00D26634"/>
    <w:rsid w:val="00D26D96"/>
    <w:rsid w:val="00D27166"/>
    <w:rsid w:val="00D27584"/>
    <w:rsid w:val="00D30988"/>
    <w:rsid w:val="00D31BC4"/>
    <w:rsid w:val="00D339C1"/>
    <w:rsid w:val="00D378DC"/>
    <w:rsid w:val="00D42534"/>
    <w:rsid w:val="00D4265E"/>
    <w:rsid w:val="00D42F1C"/>
    <w:rsid w:val="00D4333B"/>
    <w:rsid w:val="00D439B4"/>
    <w:rsid w:val="00D4428C"/>
    <w:rsid w:val="00D446BF"/>
    <w:rsid w:val="00D447A1"/>
    <w:rsid w:val="00D4729D"/>
    <w:rsid w:val="00D54623"/>
    <w:rsid w:val="00D55AD0"/>
    <w:rsid w:val="00D5706F"/>
    <w:rsid w:val="00D577DB"/>
    <w:rsid w:val="00D61832"/>
    <w:rsid w:val="00D61EBF"/>
    <w:rsid w:val="00D62854"/>
    <w:rsid w:val="00D662F6"/>
    <w:rsid w:val="00D733FE"/>
    <w:rsid w:val="00D738CE"/>
    <w:rsid w:val="00D74C1F"/>
    <w:rsid w:val="00D75D2A"/>
    <w:rsid w:val="00D84067"/>
    <w:rsid w:val="00D84C13"/>
    <w:rsid w:val="00D85974"/>
    <w:rsid w:val="00D85B73"/>
    <w:rsid w:val="00D87C79"/>
    <w:rsid w:val="00D93040"/>
    <w:rsid w:val="00D94F53"/>
    <w:rsid w:val="00D95B24"/>
    <w:rsid w:val="00D96798"/>
    <w:rsid w:val="00D97E9D"/>
    <w:rsid w:val="00DA1F76"/>
    <w:rsid w:val="00DA2528"/>
    <w:rsid w:val="00DA460B"/>
    <w:rsid w:val="00DA46F1"/>
    <w:rsid w:val="00DA683C"/>
    <w:rsid w:val="00DA77A7"/>
    <w:rsid w:val="00DB0A45"/>
    <w:rsid w:val="00DB0FED"/>
    <w:rsid w:val="00DB4B89"/>
    <w:rsid w:val="00DB6EEE"/>
    <w:rsid w:val="00DB7107"/>
    <w:rsid w:val="00DB7189"/>
    <w:rsid w:val="00DB7409"/>
    <w:rsid w:val="00DC1612"/>
    <w:rsid w:val="00DC2FDF"/>
    <w:rsid w:val="00DC39A7"/>
    <w:rsid w:val="00DC53B6"/>
    <w:rsid w:val="00DC53EF"/>
    <w:rsid w:val="00DC67EA"/>
    <w:rsid w:val="00DC7AF5"/>
    <w:rsid w:val="00DD2BF8"/>
    <w:rsid w:val="00DD4CE2"/>
    <w:rsid w:val="00DD58F7"/>
    <w:rsid w:val="00DD5ECB"/>
    <w:rsid w:val="00DE1807"/>
    <w:rsid w:val="00DE1894"/>
    <w:rsid w:val="00DE1E2C"/>
    <w:rsid w:val="00DE2AC9"/>
    <w:rsid w:val="00DE2F2B"/>
    <w:rsid w:val="00DE46AB"/>
    <w:rsid w:val="00DE5E97"/>
    <w:rsid w:val="00DE65C4"/>
    <w:rsid w:val="00DE7660"/>
    <w:rsid w:val="00DF6A58"/>
    <w:rsid w:val="00DF6F71"/>
    <w:rsid w:val="00DF79DD"/>
    <w:rsid w:val="00E028AE"/>
    <w:rsid w:val="00E0329C"/>
    <w:rsid w:val="00E03CAE"/>
    <w:rsid w:val="00E04120"/>
    <w:rsid w:val="00E10F95"/>
    <w:rsid w:val="00E11DCD"/>
    <w:rsid w:val="00E1229D"/>
    <w:rsid w:val="00E142D5"/>
    <w:rsid w:val="00E14E3E"/>
    <w:rsid w:val="00E15C7F"/>
    <w:rsid w:val="00E16568"/>
    <w:rsid w:val="00E171D3"/>
    <w:rsid w:val="00E2205A"/>
    <w:rsid w:val="00E2470C"/>
    <w:rsid w:val="00E2596D"/>
    <w:rsid w:val="00E32DA1"/>
    <w:rsid w:val="00E346CB"/>
    <w:rsid w:val="00E3657E"/>
    <w:rsid w:val="00E400B7"/>
    <w:rsid w:val="00E40F62"/>
    <w:rsid w:val="00E41447"/>
    <w:rsid w:val="00E448C3"/>
    <w:rsid w:val="00E44F08"/>
    <w:rsid w:val="00E46999"/>
    <w:rsid w:val="00E47AB0"/>
    <w:rsid w:val="00E500BE"/>
    <w:rsid w:val="00E51B33"/>
    <w:rsid w:val="00E5248C"/>
    <w:rsid w:val="00E54026"/>
    <w:rsid w:val="00E541A7"/>
    <w:rsid w:val="00E5436E"/>
    <w:rsid w:val="00E54618"/>
    <w:rsid w:val="00E61619"/>
    <w:rsid w:val="00E65281"/>
    <w:rsid w:val="00E657BF"/>
    <w:rsid w:val="00E73C68"/>
    <w:rsid w:val="00E8105E"/>
    <w:rsid w:val="00E8188E"/>
    <w:rsid w:val="00E8219E"/>
    <w:rsid w:val="00E82AD5"/>
    <w:rsid w:val="00E82F26"/>
    <w:rsid w:val="00E8409A"/>
    <w:rsid w:val="00E8477B"/>
    <w:rsid w:val="00E861D5"/>
    <w:rsid w:val="00E90FC2"/>
    <w:rsid w:val="00E92C00"/>
    <w:rsid w:val="00E94F19"/>
    <w:rsid w:val="00E95639"/>
    <w:rsid w:val="00E95A7E"/>
    <w:rsid w:val="00E96E2A"/>
    <w:rsid w:val="00E97484"/>
    <w:rsid w:val="00EA09DF"/>
    <w:rsid w:val="00EA1C30"/>
    <w:rsid w:val="00EA271A"/>
    <w:rsid w:val="00EB0038"/>
    <w:rsid w:val="00EB057C"/>
    <w:rsid w:val="00EB1695"/>
    <w:rsid w:val="00EB26E5"/>
    <w:rsid w:val="00EB2837"/>
    <w:rsid w:val="00EB2E5B"/>
    <w:rsid w:val="00EB6C42"/>
    <w:rsid w:val="00EC540D"/>
    <w:rsid w:val="00EC7B2B"/>
    <w:rsid w:val="00ED2C7A"/>
    <w:rsid w:val="00ED58BC"/>
    <w:rsid w:val="00ED738F"/>
    <w:rsid w:val="00EE17C0"/>
    <w:rsid w:val="00EE1FCD"/>
    <w:rsid w:val="00EE3507"/>
    <w:rsid w:val="00EF2C7E"/>
    <w:rsid w:val="00EF4125"/>
    <w:rsid w:val="00F007EE"/>
    <w:rsid w:val="00F00D07"/>
    <w:rsid w:val="00F03A50"/>
    <w:rsid w:val="00F04E80"/>
    <w:rsid w:val="00F06120"/>
    <w:rsid w:val="00F069F8"/>
    <w:rsid w:val="00F0726D"/>
    <w:rsid w:val="00F104CF"/>
    <w:rsid w:val="00F10D5F"/>
    <w:rsid w:val="00F14887"/>
    <w:rsid w:val="00F210CC"/>
    <w:rsid w:val="00F213E8"/>
    <w:rsid w:val="00F226AD"/>
    <w:rsid w:val="00F2413F"/>
    <w:rsid w:val="00F26442"/>
    <w:rsid w:val="00F26DE7"/>
    <w:rsid w:val="00F26F04"/>
    <w:rsid w:val="00F3211B"/>
    <w:rsid w:val="00F321D1"/>
    <w:rsid w:val="00F32BC7"/>
    <w:rsid w:val="00F36D1A"/>
    <w:rsid w:val="00F41325"/>
    <w:rsid w:val="00F42517"/>
    <w:rsid w:val="00F43469"/>
    <w:rsid w:val="00F43B6F"/>
    <w:rsid w:val="00F462F2"/>
    <w:rsid w:val="00F4631A"/>
    <w:rsid w:val="00F524D0"/>
    <w:rsid w:val="00F56B44"/>
    <w:rsid w:val="00F57C53"/>
    <w:rsid w:val="00F60C33"/>
    <w:rsid w:val="00F61DB0"/>
    <w:rsid w:val="00F62540"/>
    <w:rsid w:val="00F650B0"/>
    <w:rsid w:val="00F665F0"/>
    <w:rsid w:val="00F7002C"/>
    <w:rsid w:val="00F73470"/>
    <w:rsid w:val="00F74404"/>
    <w:rsid w:val="00F755F6"/>
    <w:rsid w:val="00F76F12"/>
    <w:rsid w:val="00F77AD2"/>
    <w:rsid w:val="00F81CD8"/>
    <w:rsid w:val="00F8335B"/>
    <w:rsid w:val="00F8421E"/>
    <w:rsid w:val="00F915B7"/>
    <w:rsid w:val="00F92B37"/>
    <w:rsid w:val="00F9548A"/>
    <w:rsid w:val="00FA2828"/>
    <w:rsid w:val="00FA3081"/>
    <w:rsid w:val="00FA3975"/>
    <w:rsid w:val="00FA41FD"/>
    <w:rsid w:val="00FA5723"/>
    <w:rsid w:val="00FA631F"/>
    <w:rsid w:val="00FA6ECE"/>
    <w:rsid w:val="00FA7D5F"/>
    <w:rsid w:val="00FB0BEF"/>
    <w:rsid w:val="00FB1977"/>
    <w:rsid w:val="00FB2067"/>
    <w:rsid w:val="00FB2E8D"/>
    <w:rsid w:val="00FB46A3"/>
    <w:rsid w:val="00FB5C4F"/>
    <w:rsid w:val="00FB714F"/>
    <w:rsid w:val="00FC14BA"/>
    <w:rsid w:val="00FC2A1F"/>
    <w:rsid w:val="00FC4C9B"/>
    <w:rsid w:val="00FC5A78"/>
    <w:rsid w:val="00FC6C54"/>
    <w:rsid w:val="00FD01E4"/>
    <w:rsid w:val="00FD039F"/>
    <w:rsid w:val="00FD04AF"/>
    <w:rsid w:val="00FD2774"/>
    <w:rsid w:val="00FD5B68"/>
    <w:rsid w:val="00FD5F4F"/>
    <w:rsid w:val="00FD62D4"/>
    <w:rsid w:val="00FE0307"/>
    <w:rsid w:val="00FE133B"/>
    <w:rsid w:val="00FE1DB0"/>
    <w:rsid w:val="00FE20DF"/>
    <w:rsid w:val="00FE28BA"/>
    <w:rsid w:val="00FE2FED"/>
    <w:rsid w:val="00FE470B"/>
    <w:rsid w:val="00FE57EB"/>
    <w:rsid w:val="00FF0D3A"/>
    <w:rsid w:val="00FF2987"/>
    <w:rsid w:val="00FF4780"/>
    <w:rsid w:val="00FF589D"/>
    <w:rsid w:val="04939818"/>
    <w:rsid w:val="0793C635"/>
    <w:rsid w:val="340F8C0F"/>
    <w:rsid w:val="36177BD3"/>
    <w:rsid w:val="4A040EF2"/>
    <w:rsid w:val="60692AFF"/>
    <w:rsid w:val="66C28D2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AA66F7"/>
  <w15:chartTrackingRefBased/>
  <w15:docId w15:val="{201AF17C-EE5F-4920-9EAF-DBE237B7F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color w:val="000000" w:themeColor="text1"/>
        <w:kern w:val="2"/>
        <w:sz w:val="24"/>
        <w:szCs w:val="30"/>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EDC"/>
    <w:pPr>
      <w:outlineLvl w:val="0"/>
    </w:pPr>
    <w:rPr>
      <w:b/>
      <w:bCs/>
    </w:rPr>
  </w:style>
  <w:style w:type="paragraph" w:styleId="Heading2">
    <w:name w:val="heading 2"/>
    <w:basedOn w:val="Normal"/>
    <w:next w:val="Normal"/>
    <w:link w:val="Heading2Char"/>
    <w:uiPriority w:val="9"/>
    <w:semiHidden/>
    <w:unhideWhenUsed/>
    <w:qFormat/>
    <w:rsid w:val="005E7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EF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EF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E7EF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E7EF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E7EF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E7EF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E7EF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EDC"/>
    <w:rPr>
      <w:b/>
      <w:bCs/>
    </w:rPr>
  </w:style>
  <w:style w:type="character" w:customStyle="1" w:styleId="Heading2Char">
    <w:name w:val="Heading 2 Char"/>
    <w:basedOn w:val="DefaultParagraphFont"/>
    <w:link w:val="Heading2"/>
    <w:uiPriority w:val="9"/>
    <w:semiHidden/>
    <w:rsid w:val="005E7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EF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EF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E7EF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E7EF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E7EF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E7EF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E7EF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E7EF1"/>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E7EF1"/>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5E7EF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EF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E7E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7EF1"/>
    <w:rPr>
      <w:i/>
      <w:iCs/>
      <w:color w:val="404040" w:themeColor="text1" w:themeTint="BF"/>
    </w:rPr>
  </w:style>
  <w:style w:type="paragraph" w:styleId="ListParagraph">
    <w:name w:val="List Paragraph"/>
    <w:basedOn w:val="Normal"/>
    <w:uiPriority w:val="34"/>
    <w:qFormat/>
    <w:rsid w:val="005E7EF1"/>
    <w:pPr>
      <w:ind w:left="720"/>
      <w:contextualSpacing/>
    </w:pPr>
  </w:style>
  <w:style w:type="character" w:styleId="IntenseEmphasis">
    <w:name w:val="Intense Emphasis"/>
    <w:basedOn w:val="DefaultParagraphFont"/>
    <w:uiPriority w:val="21"/>
    <w:qFormat/>
    <w:rsid w:val="005E7EF1"/>
    <w:rPr>
      <w:i/>
      <w:iCs/>
      <w:color w:val="0F4761" w:themeColor="accent1" w:themeShade="BF"/>
    </w:rPr>
  </w:style>
  <w:style w:type="paragraph" w:styleId="IntenseQuote">
    <w:name w:val="Intense Quote"/>
    <w:basedOn w:val="Normal"/>
    <w:next w:val="Normal"/>
    <w:link w:val="IntenseQuoteChar"/>
    <w:uiPriority w:val="30"/>
    <w:qFormat/>
    <w:rsid w:val="005E7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EF1"/>
    <w:rPr>
      <w:i/>
      <w:iCs/>
      <w:color w:val="0F4761" w:themeColor="accent1" w:themeShade="BF"/>
    </w:rPr>
  </w:style>
  <w:style w:type="character" w:styleId="IntenseReference">
    <w:name w:val="Intense Reference"/>
    <w:basedOn w:val="DefaultParagraphFont"/>
    <w:uiPriority w:val="32"/>
    <w:qFormat/>
    <w:rsid w:val="005E7EF1"/>
    <w:rPr>
      <w:b/>
      <w:bCs/>
      <w:smallCaps/>
      <w:color w:val="0F4761" w:themeColor="accent1" w:themeShade="BF"/>
      <w:spacing w:val="5"/>
    </w:rPr>
  </w:style>
  <w:style w:type="character" w:styleId="CommentReference">
    <w:name w:val="annotation reference"/>
    <w:basedOn w:val="DefaultParagraphFont"/>
    <w:uiPriority w:val="99"/>
    <w:semiHidden/>
    <w:unhideWhenUsed/>
    <w:rsid w:val="005E7EF1"/>
    <w:rPr>
      <w:sz w:val="16"/>
      <w:szCs w:val="16"/>
    </w:rPr>
  </w:style>
  <w:style w:type="paragraph" w:styleId="CommentText">
    <w:name w:val="annotation text"/>
    <w:basedOn w:val="Normal"/>
    <w:link w:val="CommentTextChar"/>
    <w:uiPriority w:val="99"/>
    <w:unhideWhenUsed/>
    <w:rsid w:val="005E7EF1"/>
    <w:rPr>
      <w:sz w:val="20"/>
      <w:szCs w:val="20"/>
    </w:rPr>
  </w:style>
  <w:style w:type="character" w:customStyle="1" w:styleId="CommentTextChar">
    <w:name w:val="Comment Text Char"/>
    <w:basedOn w:val="DefaultParagraphFont"/>
    <w:link w:val="CommentText"/>
    <w:uiPriority w:val="99"/>
    <w:rsid w:val="005E7EF1"/>
    <w:rPr>
      <w:sz w:val="20"/>
      <w:szCs w:val="20"/>
    </w:rPr>
  </w:style>
  <w:style w:type="paragraph" w:styleId="CommentSubject">
    <w:name w:val="annotation subject"/>
    <w:basedOn w:val="CommentText"/>
    <w:next w:val="CommentText"/>
    <w:link w:val="CommentSubjectChar"/>
    <w:uiPriority w:val="99"/>
    <w:semiHidden/>
    <w:unhideWhenUsed/>
    <w:rsid w:val="005E7EF1"/>
    <w:rPr>
      <w:b/>
      <w:bCs/>
    </w:rPr>
  </w:style>
  <w:style w:type="character" w:customStyle="1" w:styleId="CommentSubjectChar">
    <w:name w:val="Comment Subject Char"/>
    <w:basedOn w:val="CommentTextChar"/>
    <w:link w:val="CommentSubject"/>
    <w:uiPriority w:val="99"/>
    <w:semiHidden/>
    <w:rsid w:val="005E7EF1"/>
    <w:rPr>
      <w:b/>
      <w:bCs/>
      <w:sz w:val="20"/>
      <w:szCs w:val="20"/>
    </w:rPr>
  </w:style>
  <w:style w:type="paragraph" w:styleId="Header">
    <w:name w:val="header"/>
    <w:basedOn w:val="Normal"/>
    <w:link w:val="HeaderChar"/>
    <w:uiPriority w:val="99"/>
    <w:unhideWhenUsed/>
    <w:rsid w:val="00906BC6"/>
    <w:pPr>
      <w:tabs>
        <w:tab w:val="center" w:pos="4680"/>
        <w:tab w:val="right" w:pos="9360"/>
      </w:tabs>
    </w:pPr>
  </w:style>
  <w:style w:type="character" w:customStyle="1" w:styleId="HeaderChar">
    <w:name w:val="Header Char"/>
    <w:basedOn w:val="DefaultParagraphFont"/>
    <w:link w:val="Header"/>
    <w:uiPriority w:val="99"/>
    <w:rsid w:val="00906BC6"/>
  </w:style>
  <w:style w:type="paragraph" w:styleId="Footer">
    <w:name w:val="footer"/>
    <w:basedOn w:val="Normal"/>
    <w:link w:val="FooterChar"/>
    <w:uiPriority w:val="99"/>
    <w:unhideWhenUsed/>
    <w:rsid w:val="00906BC6"/>
    <w:pPr>
      <w:tabs>
        <w:tab w:val="center" w:pos="4680"/>
        <w:tab w:val="right" w:pos="9360"/>
      </w:tabs>
    </w:pPr>
  </w:style>
  <w:style w:type="character" w:customStyle="1" w:styleId="FooterChar">
    <w:name w:val="Footer Char"/>
    <w:basedOn w:val="DefaultParagraphFont"/>
    <w:link w:val="Footer"/>
    <w:uiPriority w:val="99"/>
    <w:rsid w:val="00906BC6"/>
  </w:style>
  <w:style w:type="paragraph" w:styleId="Caption">
    <w:name w:val="caption"/>
    <w:basedOn w:val="Normal"/>
    <w:next w:val="Normal"/>
    <w:uiPriority w:val="35"/>
    <w:unhideWhenUsed/>
    <w:qFormat/>
    <w:rsid w:val="00906BC6"/>
    <w:pPr>
      <w:spacing w:after="200"/>
    </w:pPr>
    <w:rPr>
      <w:i/>
      <w:iCs/>
      <w:color w:val="0E2841" w:themeColor="text2"/>
      <w:sz w:val="18"/>
      <w:szCs w:val="18"/>
    </w:rPr>
  </w:style>
  <w:style w:type="paragraph" w:styleId="NormalWeb">
    <w:name w:val="Normal (Web)"/>
    <w:basedOn w:val="Normal"/>
    <w:uiPriority w:val="99"/>
    <w:semiHidden/>
    <w:unhideWhenUsed/>
    <w:rsid w:val="00646B40"/>
    <w:pPr>
      <w:spacing w:before="100" w:beforeAutospacing="1" w:after="100" w:afterAutospacing="1"/>
    </w:pPr>
    <w:rPr>
      <w:rFonts w:eastAsia="Times New Roman" w:cs="Times New Roman"/>
      <w:color w:val="auto"/>
      <w:kern w:val="0"/>
      <w:szCs w:val="24"/>
      <w14:ligatures w14:val="none"/>
    </w:rPr>
  </w:style>
  <w:style w:type="paragraph" w:styleId="Bibliography">
    <w:name w:val="Bibliography"/>
    <w:basedOn w:val="Normal"/>
    <w:next w:val="Normal"/>
    <w:uiPriority w:val="37"/>
    <w:unhideWhenUsed/>
    <w:rsid w:val="00C27023"/>
    <w:pPr>
      <w:tabs>
        <w:tab w:val="left" w:pos="380"/>
      </w:tabs>
      <w:spacing w:line="480" w:lineRule="auto"/>
      <w:ind w:left="384" w:hanging="384"/>
    </w:pPr>
  </w:style>
  <w:style w:type="paragraph" w:styleId="NoSpacing">
    <w:name w:val="No Spacing"/>
    <w:uiPriority w:val="1"/>
    <w:qFormat/>
    <w:rsid w:val="00D859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2.tif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jpg"/><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E19AB-B7E1-3A42-8C94-1769E3EFB815}">
  <ds:schemaRefs>
    <ds:schemaRef ds:uri="http://schemas.openxmlformats.org/officeDocument/2006/bibliography"/>
  </ds:schemaRefs>
</ds:datastoreItem>
</file>

<file path=docMetadata/LabelInfo.xml><?xml version="1.0" encoding="utf-8"?>
<clbl:labelList xmlns:clbl="http://schemas.microsoft.com/office/2020/mipLabelMetadata">
  <clbl:label id="{b0002a9b-0017-404d-97dc-3d3bab09be81}" enabled="0" method="" siteId="{b0002a9b-0017-404d-97dc-3d3bab09be81}" removed="1"/>
</clbl:labelList>
</file>

<file path=docProps/app.xml><?xml version="1.0" encoding="utf-8"?>
<Properties xmlns="http://schemas.openxmlformats.org/officeDocument/2006/extended-properties" xmlns:vt="http://schemas.openxmlformats.org/officeDocument/2006/docPropsVTypes">
  <Template>Normal.dotm</Template>
  <TotalTime>34</TotalTime>
  <Pages>17</Pages>
  <Words>22655</Words>
  <Characters>123700</Characters>
  <Application>Microsoft Office Word</Application>
  <DocSecurity>0</DocSecurity>
  <Lines>1903</Lines>
  <Paragraphs>506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Gabriel J.</dc:creator>
  <cp:keywords/>
  <dc:description/>
  <cp:lastModifiedBy>Graham, Gabriel J.</cp:lastModifiedBy>
  <cp:revision>4</cp:revision>
  <cp:lastPrinted>2026-03-11T02:25:00Z</cp:lastPrinted>
  <dcterms:created xsi:type="dcterms:W3CDTF">2026-04-09T02:23:00Z</dcterms:created>
  <dcterms:modified xsi:type="dcterms:W3CDTF">2026-04-09T22:13:00Z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id="VivySKyl"/&gt;&lt;style id="http://www.zotero.org/styles/nature" hasBibliography="1" bibliographyStyleHasBeenSet="1"/&gt;&lt;prefs&gt;&lt;pref name="fieldType" value="Field"/&gt;&lt;/prefs&gt;&lt;/data&gt;</vt:lpwstr>
  </property>
</Properties>
</file>