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C1E4" w14:textId="6DE22C67" w:rsidR="002613B6" w:rsidRDefault="005E7EF1">
      <w:r>
        <w:rPr>
          <w:b/>
          <w:bCs/>
          <w:u w:val="single"/>
        </w:rPr>
        <w:t>Results</w:t>
      </w:r>
    </w:p>
    <w:p w14:paraId="58BC5537" w14:textId="71778596" w:rsidR="005E7EF1" w:rsidRDefault="005E7EF1">
      <w:pPr>
        <w:rPr>
          <w:b/>
          <w:bCs/>
        </w:rPr>
      </w:pPr>
      <w:r w:rsidRPr="005E7EF1">
        <w:rPr>
          <w:b/>
          <w:bCs/>
        </w:rPr>
        <w:t>Male, Intermediate and Female Anemonefish Display Distinct Physiology and Behavior</w:t>
      </w:r>
    </w:p>
    <w:p w14:paraId="62FB4A45" w14:textId="02EAC964" w:rsidR="005E7EF1" w:rsidRDefault="005E7EF1" w:rsidP="00074E31">
      <w:pPr>
        <w:ind w:firstLine="720"/>
      </w:pPr>
      <w:r>
        <w:t xml:space="preserve">To understand the process of protandrous sex change, we compared 6 reproductively active anemonefish pairs (n = 6 males and 6 females) to 10 pairs (n=20) of male </w:t>
      </w:r>
      <w:proofErr w:type="gramStart"/>
      <w:r>
        <w:t>anemonefish</w:t>
      </w:r>
      <w:proofErr w:type="gramEnd"/>
      <w:r>
        <w:t xml:space="preserve"> housed together for 6 months (</w:t>
      </w:r>
      <w:r w:rsidRPr="005E7EF1">
        <w:rPr>
          <w:highlight w:val="yellow"/>
        </w:rPr>
        <w:t>Fig</w:t>
      </w:r>
      <w:r>
        <w:t>) (</w:t>
      </w:r>
      <w:r w:rsidRPr="0047503F">
        <w:rPr>
          <w:highlight w:val="yellow"/>
        </w:rPr>
        <w:t>See methods</w:t>
      </w:r>
      <w:r>
        <w:t>).</w:t>
      </w:r>
      <w:r w:rsidRPr="005E7EF1">
        <w:t xml:space="preserve"> </w:t>
      </w:r>
      <w:r w:rsidRPr="005E7EF1">
        <w:t>We paired males such that one male was notably larger than the other and was expected to occupy the α position in the social dominance hierarchy. These males (hereafter referred to as “intermediates”) are destined to undergo protandrous sex change, and given enough time, will become a reproductively active female. The</w:t>
      </w:r>
      <w:r>
        <w:t xml:space="preserve"> </w:t>
      </w:r>
      <w:r w:rsidRPr="005E7EF1">
        <w:t xml:space="preserve">partners of dominants, males expected to remain males, are hereafter referred to as “intermediate partners”. </w:t>
      </w:r>
      <w:commentRangeStart w:id="0"/>
      <w:r w:rsidRPr="005E7EF1">
        <w:t>We chose the 6-month timepoint as previous work in our lab has shown that at 6 months, approximately 10% of fish will have completed sex change, while the remaining fish will be in various intermediate stages determined by individual variation</w:t>
      </w:r>
      <w:r>
        <w:fldChar w:fldCharType="begin"/>
      </w:r>
      <w:r>
        <w:instrText xml:space="preserve"> ADDIN ZOTERO_ITEM CSL_CITATION {"citationID":"rUsOMn9I","properties":{"formattedCitation":"\\super 1\\nosupersub{}","plainCitation":"1","noteIndex":0},"citationItems":[{"id":43,"uris":["http://zotero.org/users/11313215/items/TBICN8KA"],"itemData":{"id":43,"type":"article-journal","abstract":"Many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fldChar w:fldCharType="separate"/>
      </w:r>
      <w:r w:rsidRPr="005E7EF1">
        <w:rPr>
          <w:rFonts w:cs="Times New Roman"/>
          <w:color w:val="000000"/>
          <w:kern w:val="0"/>
          <w:szCs w:val="24"/>
          <w:vertAlign w:val="superscript"/>
        </w:rPr>
        <w:t>1</w:t>
      </w:r>
      <w:r>
        <w:fldChar w:fldCharType="end"/>
      </w:r>
      <w:commentRangeEnd w:id="0"/>
      <w:r>
        <w:rPr>
          <w:rStyle w:val="CommentReference"/>
        </w:rPr>
        <w:commentReference w:id="0"/>
      </w:r>
      <w:r w:rsidRPr="005E7EF1">
        <w:t>.</w:t>
      </w:r>
      <w:r w:rsidR="0047503F">
        <w:t xml:space="preserve"> Indeed, at this timepoint we found that one individual had completed sex change as indicated by the presence of </w:t>
      </w:r>
      <w:proofErr w:type="spellStart"/>
      <w:r w:rsidR="0047503F">
        <w:t>vitellogenic</w:t>
      </w:r>
      <w:proofErr w:type="spellEnd"/>
      <w:r w:rsidR="0047503F">
        <w:t xml:space="preserve"> oocytes (thus this individual was classified as a “New Female” and its partner</w:t>
      </w:r>
      <w:r w:rsidR="00074E31">
        <w:t xml:space="preserve"> as</w:t>
      </w:r>
      <w:r w:rsidR="0047503F">
        <w:t xml:space="preserve"> “New Male”) and two other individuals had a distinct gonadal phenotype </w:t>
      </w:r>
      <w:r w:rsidR="00074E31">
        <w:t>defined by a large volume of empty space and non-</w:t>
      </w:r>
      <w:proofErr w:type="spellStart"/>
      <w:r w:rsidR="00074E31">
        <w:t>vitellogenic</w:t>
      </w:r>
      <w:proofErr w:type="spellEnd"/>
      <w:r w:rsidR="00074E31">
        <w:t xml:space="preserve"> oocytes (</w:t>
      </w:r>
      <w:r w:rsidR="00074E31" w:rsidRPr="00074E31">
        <w:rPr>
          <w:highlight w:val="yellow"/>
        </w:rPr>
        <w:t>maybe an extended fig here?</w:t>
      </w:r>
      <w:r w:rsidR="00074E31">
        <w:t>) (these individuals were classified as “Late Intermediates” and their partners as “Late Intermediate Partners”).</w:t>
      </w:r>
    </w:p>
    <w:p w14:paraId="110A8798" w14:textId="478564CF" w:rsidR="0047503F" w:rsidRDefault="0047503F" w:rsidP="00074E31">
      <w:pPr>
        <w:ind w:firstLine="720"/>
      </w:pPr>
      <w:r>
        <w:t xml:space="preserve">To assess male-like behaviors, we used a parental-care assay which has been shown to show robust differences between males and females </w:t>
      </w:r>
      <w:r>
        <w:fldChar w:fldCharType="begin"/>
      </w:r>
      <w:r>
        <w:instrText xml:space="preserve"> ADDIN ZOTERO_ITEM CSL_CITATION {"citationID":"PVavk4Bg","properties":{"formattedCitation":"\\super 1\\uc0\\u8211{}6\\nosupersub{}","plainCitation":"1–6","noteIndex":0},"citationItems":[{"id":43,"uris":["http://zotero.org/users/11313215/items/TBICN8KA"],"itemData":{"id":43,"type":"article-journal","abstract":"Many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S."}],"issued":{"date-parts":[["2022",9]]}}},{"id":2105,"uris":["http://zotero.org/users/11313215/items/TTLPLYDH"],"itemData":{"id":2105,"type":"article","abstract":"Sexually dimorphic behaviors are common across taxa, particularly in the contexts of parental care and territorial aggression. The false clown anemonefish Amphiprion ocellaris is unique among animals for its combination of female behavioral dominance and territoriality, protandrous sex change, and mutualistic symbiosis with sea anemones. Several laboratory studies have begun characterizing sex differences in parental care and aggression in this species, but aggression assays have mostly focused on intra-specific aggression where individual differences are large. The goals of this study were to expand the repertoire of behavioral assays available for A. ocellaris, establish repeatability of individual differences, identify assays that produce the most robust sex differences, and explore whether individual differences in correlated behaviors can be detected consistently across experimental contexts (i.e., whether behavioral syndromes can be detected). To this end, we measured 38 behaviors across 7 behavioral assays (parental care, large intruder, small intruder, male intruder, female intruder, reaction to a threat, nest maintenance) in 9 reproductively active A. ocellaris pairs under 3 different contexts (without eggs in the nest, with their own eggs, and with surrogate eggs). Behaviors were repeatedly measured three separate times (rounds) over repeated spawning cycles. We found 33 out of 38 behaviors were significantly individually repeatable across egg contexts and rounds, with an average intra-class correlation of 0.37. We found parental care, large intruder aggression, and female-oriented aggression assays produced the largest sex differences, where males performed 7-fold more egg care behaviors than females, while females performed 3.5-fold more aggressive behaviors toward a large interspecific intruder and 6.5-fold more bites toward a female intruder than males. Five different behavioral syndromes were observed in males but only one was observed in females. These results expand our understanding of sex differences in behavior and the division of labor in the iconic anemonefish. Future studies can use these assays to measure the behavioral sex of fish in the middle of sex change, in the study of behavioral plasticity, or in the study of the neuroendocrine bases of aggression and parental care in this unique species.","DOI":"10.1101/2024.06.07.597983","language":"en","license":"© 2024, Posted by Cold Spring Harbor Laboratory. This pre-print is available under a Creative Commons License (Attribution-NonCommercial 4.0 International), CC BY-NC 4.0, as described at http://creativecommons.org/licenses/by-nc/4.0/","note":"page: 2024.06.07.597983\nsection: New Results","publisher":"bioRxiv","source":"bioRxiv","title":"Novel Behavioral Assays Reveal Sex Specific Behavioral Syndromes in Anemonefish","URL":"https://www.biorxiv.org/content/10.1101/2024.06.07.597983v1","author":[{"family":"Graham","given":"Gabriel J."},{"family":"Wilton","given":"Isabella M."},{"family":"Panczyk","given":"Emily K."},{"family":"Rhodes","given":"Justin S."}],"accessed":{"date-parts":[["2024",6,9]]},"issued":{"date-parts":[["2024",6,8]]}}},{"id":28,"uris":["http://zotero.org/users/11313215/items/ISXWL2QW"],"itemData":{"id":28,"type":"article-journal","abstract":"Abstract\n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strategy","volume":"121","author":[{"family":"DeAngelis","given":"Ross"},{"family":"Dodd","given":"Logan"},{"family":"Rhodes","given":"Justin"}],"issued":{"date-parts":[["2020",5]]}}}],"schema":"https://github.com/citation-style-language/schema/raw/master/csl-citation.json"} </w:instrText>
      </w:r>
      <w:r>
        <w:fldChar w:fldCharType="separate"/>
      </w:r>
      <w:r w:rsidRPr="0047503F">
        <w:rPr>
          <w:rFonts w:cs="Times New Roman"/>
          <w:color w:val="000000"/>
          <w:kern w:val="0"/>
          <w:szCs w:val="24"/>
          <w:vertAlign w:val="superscript"/>
        </w:rPr>
        <w:t>1–6</w:t>
      </w:r>
      <w:r>
        <w:fldChar w:fldCharType="end"/>
      </w:r>
      <w:r>
        <w:t xml:space="preserve"> (</w:t>
      </w:r>
      <w:r w:rsidRPr="0047503F">
        <w:rPr>
          <w:highlight w:val="yellow"/>
        </w:rPr>
        <w:t>see methods</w:t>
      </w:r>
      <w:r>
        <w:t>). As expected, males performed significantly more parental care behaviors and spent significantly more time in the nest than their female partners (</w:t>
      </w:r>
      <w:r w:rsidRPr="0047503F">
        <w:rPr>
          <w:highlight w:val="yellow"/>
        </w:rPr>
        <w:t>Fig</w:t>
      </w:r>
      <w:r>
        <w:t xml:space="preserve"> </w:t>
      </w:r>
      <w:r w:rsidRPr="00582279">
        <w:rPr>
          <w:highlight w:val="yellow"/>
        </w:rPr>
        <w:t>top and middle panel</w:t>
      </w:r>
      <w:r>
        <w:t>). In agreement with previous results</w:t>
      </w:r>
      <w:r w:rsidR="00074E31">
        <w:t xml:space="preserve"> (</w:t>
      </w:r>
      <w:r w:rsidR="00074E31" w:rsidRPr="00074E31">
        <w:rPr>
          <w:highlight w:val="yellow"/>
        </w:rPr>
        <w:t>CITATION</w:t>
      </w:r>
      <w:r w:rsidR="00074E31">
        <w:t>)</w:t>
      </w:r>
      <w:r>
        <w:t xml:space="preserve">, intermediates retained male levels of parental care </w:t>
      </w:r>
      <w:r w:rsidR="00074E31">
        <w:t xml:space="preserve">and </w:t>
      </w:r>
      <w:commentRangeStart w:id="1"/>
      <w:r w:rsidR="00074E31">
        <w:t xml:space="preserve">inhibited </w:t>
      </w:r>
      <w:commentRangeEnd w:id="1"/>
      <w:r w:rsidR="00074E31">
        <w:rPr>
          <w:rStyle w:val="CommentReference"/>
        </w:rPr>
        <w:commentReference w:id="1"/>
      </w:r>
      <w:r w:rsidR="00074E31">
        <w:t>their partners from performing parental care.</w:t>
      </w:r>
      <w:commentRangeStart w:id="2"/>
      <w:r w:rsidR="00074E31">
        <w:t xml:space="preserve"> Late intermediates and their partners’ behavior aligned with female and male patterns of behavior respectively as did the new female and new male. </w:t>
      </w:r>
      <w:commentRangeEnd w:id="2"/>
      <w:r w:rsidR="00074E31">
        <w:rPr>
          <w:rStyle w:val="CommentReference"/>
        </w:rPr>
        <w:commentReference w:id="2"/>
      </w:r>
    </w:p>
    <w:p w14:paraId="2BC382F7" w14:textId="61C0D3DE" w:rsidR="00F8421E" w:rsidRDefault="00582279" w:rsidP="00074E31">
      <w:pPr>
        <w:ind w:firstLine="720"/>
      </w:pPr>
      <w:r>
        <w:t xml:space="preserve">We next collected blood to assess circulating steroid hormones. </w:t>
      </w:r>
      <w:proofErr w:type="gramStart"/>
      <w:r>
        <w:t>Similar to</w:t>
      </w:r>
      <w:proofErr w:type="gramEnd"/>
      <w:r>
        <w:t xml:space="preserve"> behavioral aspects, intermediates retained male-like levels while late intermediates and new females aligned with female levels, while late intermediate partners along with new males aligned male levels (</w:t>
      </w:r>
      <w:r w:rsidRPr="00582279">
        <w:rPr>
          <w:highlight w:val="yellow"/>
        </w:rPr>
        <w:t>Fig bottom panel</w:t>
      </w:r>
      <w:r>
        <w:t>).</w:t>
      </w:r>
    </w:p>
    <w:p w14:paraId="340DA3B0" w14:textId="44BC2905" w:rsidR="00074E31" w:rsidRDefault="00582279" w:rsidP="00582279">
      <w:pPr>
        <w:ind w:firstLine="720"/>
      </w:pPr>
      <w:r>
        <w:t>We next euthanized fish and collected gonads for composition analysis. Unlike behavioral and hormonal aspects, intermediates significantly differed from males. Intermediates had gonads with significantly less testicular tissue, significantly more ovarian tissue, and significantly smaller volume (due to reproductive stasis) than males (</w:t>
      </w:r>
      <w:r w:rsidRPr="00582279">
        <w:rPr>
          <w:highlight w:val="yellow"/>
        </w:rPr>
        <w:t>Fig</w:t>
      </w:r>
      <w:r>
        <w:t>). Late intermediates had no measurable testicular tissue with the gonad only being composed of ovarian tissue and empty space (</w:t>
      </w:r>
      <w:r w:rsidRPr="00582279">
        <w:rPr>
          <w:highlight w:val="yellow"/>
        </w:rPr>
        <w:t>Fig example gonads</w:t>
      </w:r>
      <w:r>
        <w:t>).</w:t>
      </w:r>
    </w:p>
    <w:p w14:paraId="6CDF03ED" w14:textId="77777777" w:rsidR="00582279" w:rsidRDefault="00582279" w:rsidP="00582279">
      <w:pPr>
        <w:ind w:firstLine="720"/>
      </w:pPr>
    </w:p>
    <w:p w14:paraId="08DAE191" w14:textId="28E2A4C5" w:rsidR="00582279" w:rsidRDefault="00582279" w:rsidP="00582279">
      <w:pPr>
        <w:rPr>
          <w:b/>
          <w:bCs/>
        </w:rPr>
      </w:pPr>
      <w:proofErr w:type="spellStart"/>
      <w:r w:rsidRPr="00582279">
        <w:rPr>
          <w:b/>
          <w:bCs/>
          <w:highlight w:val="yellow"/>
        </w:rPr>
        <w:t>snMultiome</w:t>
      </w:r>
      <w:proofErr w:type="spellEnd"/>
      <w:r w:rsidRPr="00582279">
        <w:rPr>
          <w:b/>
          <w:bCs/>
          <w:highlight w:val="yellow"/>
        </w:rPr>
        <w:t>…</w:t>
      </w:r>
    </w:p>
    <w:p w14:paraId="08A53C5E" w14:textId="323CA56D" w:rsidR="00582279" w:rsidRDefault="00582279" w:rsidP="00582279">
      <w:r>
        <w:tab/>
        <w:t>Following euthanasia, we dissected out the preoptic areas (POAs) from males</w:t>
      </w:r>
      <w:r w:rsidR="00C41CDF">
        <w:t xml:space="preserve"> (n = 6)</w:t>
      </w:r>
      <w:r>
        <w:t>, intermediates</w:t>
      </w:r>
      <w:r w:rsidR="00C41CDF">
        <w:t xml:space="preserve"> (n = 7)</w:t>
      </w:r>
      <w:r>
        <w:t>, late intermediates</w:t>
      </w:r>
      <w:r w:rsidR="00C41CDF">
        <w:t xml:space="preserve"> (n = 2)</w:t>
      </w:r>
      <w:r>
        <w:t>,</w:t>
      </w:r>
      <w:r w:rsidR="00C41CDF">
        <w:t xml:space="preserve"> the new female (n =1),</w:t>
      </w:r>
      <w:r>
        <w:t xml:space="preserve"> and females</w:t>
      </w:r>
      <w:r w:rsidR="00C41CDF">
        <w:t xml:space="preserve"> (n = 6)</w:t>
      </w:r>
      <w:r>
        <w:t xml:space="preserve"> and </w:t>
      </w:r>
      <w:r w:rsidR="00797820">
        <w:t>used single-nucleus multiom</w:t>
      </w:r>
      <w:proofErr w:type="spellStart"/>
      <w:r w:rsidR="00797820">
        <w:t>e</w:t>
      </w:r>
      <w:proofErr w:type="spellEnd"/>
      <w:r w:rsidR="00797820">
        <w:t xml:space="preserve"> (</w:t>
      </w:r>
      <w:proofErr w:type="spellStart"/>
      <w:r w:rsidR="00797820">
        <w:t>snMultiome</w:t>
      </w:r>
      <w:proofErr w:type="spellEnd"/>
      <w:r w:rsidR="00797820">
        <w:t>; RNA + ATAC modalities) to profile gene expression and chromatin accessibility changes during sex change. (n</w:t>
      </w:r>
      <w:r w:rsidR="00797820" w:rsidRPr="00797820">
        <w:rPr>
          <w:highlight w:val="yellow"/>
        </w:rPr>
        <w:t>,000</w:t>
      </w:r>
      <w:r w:rsidR="00797820">
        <w:t>) nuclei passed quality control and were clustered using (</w:t>
      </w:r>
      <w:r w:rsidR="00797820" w:rsidRPr="00797820">
        <w:rPr>
          <w:highlight w:val="yellow"/>
        </w:rPr>
        <w:t xml:space="preserve">weighted shared nearest </w:t>
      </w:r>
      <w:proofErr w:type="spellStart"/>
      <w:r w:rsidR="00797820" w:rsidRPr="00797820">
        <w:rPr>
          <w:highlight w:val="yellow"/>
        </w:rPr>
        <w:t>neightbors</w:t>
      </w:r>
      <w:proofErr w:type="spellEnd"/>
      <w:r w:rsidR="00797820" w:rsidRPr="00797820">
        <w:rPr>
          <w:highlight w:val="yellow"/>
        </w:rPr>
        <w:t>?</w:t>
      </w:r>
      <w:r w:rsidR="00797820">
        <w:t>). In total, we detected (</w:t>
      </w:r>
      <w:r w:rsidR="00797820" w:rsidRPr="00797820">
        <w:rPr>
          <w:highlight w:val="yellow"/>
        </w:rPr>
        <w:t>n</w:t>
      </w:r>
      <w:r w:rsidR="00797820">
        <w:t>) clusters, (</w:t>
      </w:r>
      <w:r w:rsidR="00797820" w:rsidRPr="00797820">
        <w:rPr>
          <w:highlight w:val="yellow"/>
        </w:rPr>
        <w:t>y</w:t>
      </w:r>
      <w:r w:rsidR="00797820">
        <w:t xml:space="preserve">) of which </w:t>
      </w:r>
      <w:proofErr w:type="spellStart"/>
      <w:r w:rsidR="00797820">
        <w:t>where</w:t>
      </w:r>
      <w:proofErr w:type="spellEnd"/>
      <w:r w:rsidR="00797820">
        <w:t xml:space="preserve"> neurons and (</w:t>
      </w:r>
      <w:r w:rsidR="00797820" w:rsidRPr="00797820">
        <w:rPr>
          <w:highlight w:val="yellow"/>
        </w:rPr>
        <w:t>z</w:t>
      </w:r>
      <w:r w:rsidR="00797820">
        <w:t>) of which were glial. Broadly, we detected (</w:t>
      </w:r>
      <w:r w:rsidR="00797820" w:rsidRPr="00797820">
        <w:rPr>
          <w:highlight w:val="yellow"/>
        </w:rPr>
        <w:t>x Glutamatergic, y GABAergic, and z mixed neuronal clusters</w:t>
      </w:r>
      <w:r w:rsidR="00797820">
        <w:t>)</w:t>
      </w:r>
      <w:r w:rsidR="00C41CDF">
        <w:t xml:space="preserve"> (</w:t>
      </w:r>
      <w:r w:rsidR="00C41CDF" w:rsidRPr="00C41CDF">
        <w:rPr>
          <w:highlight w:val="yellow"/>
        </w:rPr>
        <w:t>see methods</w:t>
      </w:r>
      <w:r w:rsidR="00C41CDF">
        <w:t>).</w:t>
      </w:r>
    </w:p>
    <w:p w14:paraId="19741924" w14:textId="77777777" w:rsidR="00C41CDF" w:rsidRDefault="00C41CDF" w:rsidP="00582279"/>
    <w:p w14:paraId="7D11CD87" w14:textId="06F06504" w:rsidR="00C41CDF" w:rsidRPr="00C41CDF" w:rsidRDefault="00C41CDF" w:rsidP="00582279">
      <w:pPr>
        <w:rPr>
          <w:b/>
          <w:bCs/>
        </w:rPr>
      </w:pPr>
      <w:r>
        <w:rPr>
          <w:b/>
          <w:bCs/>
        </w:rPr>
        <w:t>Transcriptomic Changes Associated with Sex Change</w:t>
      </w:r>
    </w:p>
    <w:sectPr w:rsidR="00C41CDF" w:rsidRPr="00C41CD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ham, Gabriel J." w:date="2026-01-08T21:54:00Z" w:initials="GGJ">
    <w:p w14:paraId="2F652C92" w14:textId="77777777" w:rsidR="005E7EF1" w:rsidRDefault="005E7EF1" w:rsidP="005E7EF1">
      <w:r>
        <w:rPr>
          <w:rStyle w:val="CommentReference"/>
        </w:rPr>
        <w:annotationRef/>
      </w:r>
      <w:r>
        <w:rPr>
          <w:sz w:val="20"/>
          <w:szCs w:val="20"/>
        </w:rPr>
        <w:t>Cut?</w:t>
      </w:r>
    </w:p>
  </w:comment>
  <w:comment w:id="1" w:author="Graham, Gabriel J." w:date="2026-01-08T22:09:00Z" w:initials="GGJ">
    <w:p w14:paraId="0A8EE917" w14:textId="77777777" w:rsidR="00074E31" w:rsidRDefault="00074E31" w:rsidP="00074E31">
      <w:r>
        <w:rPr>
          <w:rStyle w:val="CommentReference"/>
        </w:rPr>
        <w:annotationRef/>
      </w:r>
      <w:r>
        <w:rPr>
          <w:sz w:val="20"/>
          <w:szCs w:val="20"/>
        </w:rPr>
        <w:t>How do I say they enforced this, they would bite and bat those mfs out</w:t>
      </w:r>
    </w:p>
  </w:comment>
  <w:comment w:id="2" w:author="Graham, Gabriel J." w:date="2026-01-08T22:11:00Z" w:initials="GGJ">
    <w:p w14:paraId="637938CE" w14:textId="77777777" w:rsidR="00074E31" w:rsidRDefault="00074E31" w:rsidP="00074E31">
      <w:r>
        <w:rPr>
          <w:rStyle w:val="CommentReference"/>
        </w:rPr>
        <w:annotationRef/>
      </w:r>
      <w:r>
        <w:rPr>
          <w:sz w:val="20"/>
          <w:szCs w:val="20"/>
        </w:rPr>
        <w:t>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652C92" w15:done="0"/>
  <w15:commentEx w15:paraId="0A8EE917" w15:done="0"/>
  <w15:commentEx w15:paraId="637938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F40ED9" w16cex:dateUtc="2026-01-09T02:54:00Z"/>
  <w16cex:commentExtensible w16cex:durableId="244D9868" w16cex:dateUtc="2026-01-09T03:09:00Z"/>
  <w16cex:commentExtensible w16cex:durableId="2F232206" w16cex:dateUtc="2026-01-09T0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652C92" w16cid:durableId="15F40ED9"/>
  <w16cid:commentId w16cid:paraId="0A8EE917" w16cid:durableId="244D9868"/>
  <w16cid:commentId w16cid:paraId="637938CE" w16cid:durableId="2F2322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F1"/>
    <w:rsid w:val="00074E31"/>
    <w:rsid w:val="001F1449"/>
    <w:rsid w:val="002613B6"/>
    <w:rsid w:val="002E29FC"/>
    <w:rsid w:val="004066D7"/>
    <w:rsid w:val="0047503F"/>
    <w:rsid w:val="00582279"/>
    <w:rsid w:val="005E7EF1"/>
    <w:rsid w:val="005F5289"/>
    <w:rsid w:val="00797820"/>
    <w:rsid w:val="00960B46"/>
    <w:rsid w:val="00C41CDF"/>
    <w:rsid w:val="00F8421E"/>
    <w:rsid w:val="00F91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AA66F7"/>
  <w15:chartTrackingRefBased/>
  <w15:docId w15:val="{A5BAC73A-ED15-B845-80A4-94C016BC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E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E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7E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7E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7E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7E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7E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E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E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7E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7E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7E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7E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7E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7EF1"/>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E7EF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E7E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E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7E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7EF1"/>
    <w:rPr>
      <w:i/>
      <w:iCs/>
      <w:color w:val="404040" w:themeColor="text1" w:themeTint="BF"/>
    </w:rPr>
  </w:style>
  <w:style w:type="paragraph" w:styleId="ListParagraph">
    <w:name w:val="List Paragraph"/>
    <w:basedOn w:val="Normal"/>
    <w:uiPriority w:val="34"/>
    <w:qFormat/>
    <w:rsid w:val="005E7EF1"/>
    <w:pPr>
      <w:ind w:left="720"/>
      <w:contextualSpacing/>
    </w:pPr>
  </w:style>
  <w:style w:type="character" w:styleId="IntenseEmphasis">
    <w:name w:val="Intense Emphasis"/>
    <w:basedOn w:val="DefaultParagraphFont"/>
    <w:uiPriority w:val="21"/>
    <w:qFormat/>
    <w:rsid w:val="005E7EF1"/>
    <w:rPr>
      <w:i/>
      <w:iCs/>
      <w:color w:val="0F4761" w:themeColor="accent1" w:themeShade="BF"/>
    </w:rPr>
  </w:style>
  <w:style w:type="paragraph" w:styleId="IntenseQuote">
    <w:name w:val="Intense Quote"/>
    <w:basedOn w:val="Normal"/>
    <w:next w:val="Normal"/>
    <w:link w:val="IntenseQuoteChar"/>
    <w:uiPriority w:val="30"/>
    <w:qFormat/>
    <w:rsid w:val="005E7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EF1"/>
    <w:rPr>
      <w:i/>
      <w:iCs/>
      <w:color w:val="0F4761" w:themeColor="accent1" w:themeShade="BF"/>
    </w:rPr>
  </w:style>
  <w:style w:type="character" w:styleId="IntenseReference">
    <w:name w:val="Intense Reference"/>
    <w:basedOn w:val="DefaultParagraphFont"/>
    <w:uiPriority w:val="32"/>
    <w:qFormat/>
    <w:rsid w:val="005E7EF1"/>
    <w:rPr>
      <w:b/>
      <w:bCs/>
      <w:smallCaps/>
      <w:color w:val="0F4761" w:themeColor="accent1" w:themeShade="BF"/>
      <w:spacing w:val="5"/>
    </w:rPr>
  </w:style>
  <w:style w:type="character" w:styleId="CommentReference">
    <w:name w:val="annotation reference"/>
    <w:basedOn w:val="DefaultParagraphFont"/>
    <w:uiPriority w:val="99"/>
    <w:semiHidden/>
    <w:unhideWhenUsed/>
    <w:rsid w:val="005E7EF1"/>
    <w:rPr>
      <w:sz w:val="16"/>
      <w:szCs w:val="16"/>
    </w:rPr>
  </w:style>
  <w:style w:type="paragraph" w:styleId="CommentText">
    <w:name w:val="annotation text"/>
    <w:basedOn w:val="Normal"/>
    <w:link w:val="CommentTextChar"/>
    <w:uiPriority w:val="99"/>
    <w:semiHidden/>
    <w:unhideWhenUsed/>
    <w:rsid w:val="005E7EF1"/>
    <w:rPr>
      <w:sz w:val="20"/>
      <w:szCs w:val="20"/>
    </w:rPr>
  </w:style>
  <w:style w:type="character" w:customStyle="1" w:styleId="CommentTextChar">
    <w:name w:val="Comment Text Char"/>
    <w:basedOn w:val="DefaultParagraphFont"/>
    <w:link w:val="CommentText"/>
    <w:uiPriority w:val="99"/>
    <w:semiHidden/>
    <w:rsid w:val="005E7EF1"/>
    <w:rPr>
      <w:sz w:val="20"/>
      <w:szCs w:val="20"/>
    </w:rPr>
  </w:style>
  <w:style w:type="paragraph" w:styleId="CommentSubject">
    <w:name w:val="annotation subject"/>
    <w:basedOn w:val="CommentText"/>
    <w:next w:val="CommentText"/>
    <w:link w:val="CommentSubjectChar"/>
    <w:uiPriority w:val="99"/>
    <w:semiHidden/>
    <w:unhideWhenUsed/>
    <w:rsid w:val="005E7EF1"/>
    <w:rPr>
      <w:b/>
      <w:bCs/>
    </w:rPr>
  </w:style>
  <w:style w:type="character" w:customStyle="1" w:styleId="CommentSubjectChar">
    <w:name w:val="Comment Subject Char"/>
    <w:basedOn w:val="CommentTextChar"/>
    <w:link w:val="CommentSubject"/>
    <w:uiPriority w:val="99"/>
    <w:semiHidden/>
    <w:rsid w:val="005E7E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2968</Words>
  <Characters>16327</Characters>
  <Application>Microsoft Office Word</Application>
  <DocSecurity>0</DocSecurity>
  <Lines>3265</Lines>
  <Paragraphs>3215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4</cp:revision>
  <dcterms:created xsi:type="dcterms:W3CDTF">2026-01-09T02:45:00Z</dcterms:created>
  <dcterms:modified xsi:type="dcterms:W3CDTF">2026-01-10T02:10:00Z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id="UJChd2wo"/&gt;&lt;style id="http://www.zotero.org/styles/nature" hasBibliography="1" bibliographyStyleHasBeenSet="0"/&gt;&lt;prefs&gt;&lt;pref name="fieldType" value="Field"/&gt;&lt;/prefs&gt;&lt;/data&gt;</vt:lpwstr>
  </property>
</Properties>
</file>