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(30-sep-2026),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(30-sep-2026)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Procesamiento solo en Colab autorizado; los resultados se publican agregados y con supresión de celdas menores a cinco; la reidentificación la realiza únicamente el custodio.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Estable (brecha 0,000)</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El rendimiento es especialmente alto en Preparatoria (Precision@k = 0,38; Recall@k = 0,42), donde las transiciones tempranas combinan riesgo y señales de pago.</w:t>
      </w:r>
    </w:p>
    <w:p>
      <w:pPr>
        <w:spacing w:after="120"/>
        <w:jc w:val="both"/>
      </w:pPr>
      <w:r>
        <w:rPr>
          <w:b/>
          <w:bCs/>
        </w:rPr>
        <w:t xml:space="preserve">Dónde no funciona.</w:t>
      </w:r>
      <w:r>
        <w:t xml:space="preserve"> El </w:t>
      </w:r>
      <w:r>
        <w:rPr>
          <w:b/>
          <w:bCs/>
        </w:rPr>
        <w:t xml:space="preserve">70 % de las familias que no pagaron en plazo quedó fuera de la lista</w:t>
      </w:r>
      <w:r>
        <w:t xml:space="preserve">: se encontraron 22 de 74 (Recall@k = 0,30). La lista tenía 165 cupos, más que casos, de modo que un orden perfecto las habría encontrado a todas: </w:t>
      </w:r>
      <w:r>
        <w:rPr>
          <w:b/>
          <w:bCs/>
        </w:rPr>
        <w:t xml:space="preserve">el límite es de señal, no de capacidad</w:t>
      </w:r>
      <w:r>
        <w:t xml:space="preserve">. La regla solo puede adelantar a familias con señales administrativas; quienes pagaron a tiempo, reservaron en periodo ordinario y no tuvieron atrasos quedan al final. No tenemos datos de los motivos de esas familias. Hay tres críticas al diseño que dejamos planteadas: el evento mezcla a quien paga unos días tarde con quien no vuelve; k fue una decisión y no una medida de la capacidad real; y la lista es una foto del 20 de febrero que no aprovecha la señal de quién sigue sin pagar. El cuaderno 06_alcance_lista las analiza de forma descriptiva y sin usar C5 (docs/alcance_lista.md). Esta es la principal limitación del sistema y orienta el trabajo futuro hacia nuevas fuentes de información y hacia una lista que se actualice durante la campaña.</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(0,103):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la logística híbrida (C4) muestra que lo que más aporta al orden es la </w:t>
      </w:r>
      <w:r>
        <w:rPr>
          <w:b/>
          <w:bCs/>
        </w:rPr>
        <w:t xml:space="preserve">reserva extraordinaria</w:t>
      </w:r>
      <w:r>
        <w:t xml:space="preserve"> y los </w:t>
      </w:r>
      <w:r>
        <w:rPr>
          <w:b/>
          <w:bCs/>
        </w:rPr>
        <w:t xml:space="preserve">atrasos en pensiones</w:t>
      </w:r>
      <w:r>
        <w:t xml:space="preserve">; la puntualidad del pago anterior, el subnivel y el promedio tienen una variación tan grande como su efecto. Este modelo no recibe la sede, la beca ni los hermanos, así que la permutación no dice nada de ellos. SHAP indica que promedio y es_nuevo mueven la probabilidad, pero un efecto grande en la probabilidad no equivale a capacidad de ordenar. La permutación es coherente con D2, que se eligió por su Lift@k en C4.</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celdas con menos de 5 eventos ocultas, con supresión complementaria)." title="Recall@k de la priorización D2 por grupo en C5 (celdas con menos de 5 eventos ocultas, con supresión comple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(celdas con menos de 5 eventos ocultas, con supresión complementaria).</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src/alcance.py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desglose del evento, alcance según k y lista semanal</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notebooks/00a–05</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(162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60" w:before="120"/>
        <w:jc w:val="center"/>
      </w:pPr>
      <w:r>
        <w:drawing>
          <wp:inline distT="0" distB="0" distL="0" distR="0">
            <wp:extent cx="5400675" cy="3857625"/>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7625"/>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(D01–D50).</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Dilema principal.</w:t>
      </w:r>
      <w:r>
        <w:t xml:space="preserve"> Las señales de pago son lo único que ordena bien a las familias, pero reflejan su situación económica. Se decidió usarlas con el uso limitado a contactos de apoyo y la decisión en manos de una persona: fueron las únicas señales que mostraron capacidad de ordenar.</w:t>
      </w:r>
    </w:p>
    <w:p>
      <w:pPr>
        <w:spacing w:after="120"/>
        <w:jc w:val="both"/>
      </w:pPr>
      <w:r>
        <w:rPr>
          <w:b/>
          <w:bCs/>
        </w:rPr>
        <w:t xml:space="preserve">Impacto social.</w:t>
      </w:r>
      <w:r>
        <w:t xml:space="preserve"> Se benefician la institución (planificación) y las familias que reciben un contacto oportuno. Podrían salir perjudicadas las familias con dificultades económicas, si la lista se usara para cobrar, y las familias becadas, si la menor detección se confirma. El antecedente más estudiado, el sistema de alerta de deserción de Wisconsin, ordenaba bien a los estudiantes pero no se pudo demostrar que mejorara la graduación: predecir no equivale a ayudar.</w:t>
      </w:r>
    </w:p>
    <w:p>
      <w:pPr>
        <w:keepNext/>
        <w:spacing w:after="60" w:before="120"/>
      </w:pPr>
      <w:r>
        <w:rPr>
          <w:b/>
          <w:bCs/>
          <w:color w:val="8B1E3F"/>
          <w:sz w:val="18"/>
          <w:szCs w:val="18"/>
        </w:rPr>
        <w:t xml:space="preserve">Tabla 34. </w:t>
      </w:r>
      <w:r>
        <w:rPr>
          <w:b/>
          <w:bCs/>
          <w:sz w:val="18"/>
          <w:szCs w:val="18"/>
        </w:rPr>
        <w:t xml:space="preserve">Cadena de responsabilidad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Etapa</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Registro que queda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Extracción y seudonimización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 de LEMAS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 con huella SHA-256 y huella de la clave</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Desarrollo y validación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Decisiones D01–D50, código, pruebas y sistema congelado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Aprobación de uso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institucional</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Generación de la lista y contacto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con fecha, parámetros y resultado del contacto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anual</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y 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de resultados y equidad; se suspende si no supera al azar</w:t>
            </w:r>
          </w:p>
        </w:tc>
      </w:tr>
    </w:tbl>
    <w:p>
      <w:pPr>
        <w:spacing w:after="120"/>
      </w:pPr>
    </w:p>
    <w:p>
      <w:pPr>
        <w:spacing w:after="120"/>
        <w:jc w:val="both"/>
      </w:pPr>
      <w:r>
        <w:rPr>
          <w:b/>
          <w:bCs/>
        </w:rPr>
        <w:t xml:space="preserve">Mal uso.</w:t>
      </w:r>
      <w:r>
        <w:t xml:space="preserve"> La misma lista podría servir para cobrar, negar cupos o perfilar familias. Las salvaguardas son que no incluye montos, que los nombres solo aparecen en un equipo de LEMAS, que esos usos están prohibidos por escrito y que Dirección revisa el sistema cada año. La Ley de IA de la Unión Europea considera de alto riesgo los sistemas que deciden admisiones; este sistema no decide.</w:t>
      </w:r>
    </w:p>
    <w:p>
      <w:pPr>
        <w:spacing w:after="120"/>
        <w:jc w:val="both"/>
      </w:pPr>
      <w:r>
        <w:rPr>
          <w:b/>
          <w:bCs/>
        </w:rPr>
        <w:t xml:space="preserve">Marco normativo.</w:t>
      </w:r>
      <w:r>
        <w:t xml:space="preserve"> Rige la Ley Orgánica de Protección de Datos Personales (LOPDP) y, desde febrero de 2026, la norma de la Superintendencia sobre IA y datos personales (Resolución SPDP-SPD-2026-0009-R). El proyecto implementa medidas de seguridad, protección desde el diseño y decisión humana. Según nuestra lectura, el art. 21 de la LOPDP pide autorización expresa del titular o de su representante para tratar datos de menores, por lo que antes de un uso operativo LEMAS debe confirmar la base legal con su asesor, informar a las familias, hacer la evaluación de impacto y registrar el tratamiento. Esta lectura es de un equipo técnico y no reemplaza la asesoría jurídica.</w:t>
      </w:r>
    </w:p>
    <w:p>
      <w:pPr>
        <w:spacing w:after="120"/>
        <w:jc w:val="both"/>
      </w:pPr>
      <w:r>
        <w:rPr>
          <w:b/>
          <w:bCs/>
        </w:rPr>
        <w:t xml:space="preserve">Limitaciones éticas reconocidas:</w:t>
      </w:r>
      <w:r>
        <w:t xml:space="preserve"> las familias aún no fueron informadas ni consultadas; la equidad no puede afirmarse con pocos eventos por grupo; la regla refleja el pasado y debe revalidarse; no se midió el efecto causal del contacto; el análisis académico se ejecutó en la nube con datos seudonimizados; y la aplicación institucional muestra nombres a personal autorizado, por lo que su protección depende de que LEMAS limite quién usa el equipo y quién tiene la clave. El análisis completo está en docs/consideraciones_eticas.md y el resumen en docs/ficha_modelo.md.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y medir el efecto causal del contacto con un piloto controlado.</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spacing w:after="80"/>
        <w:ind w:left="567" w:hanging="567"/>
      </w:pPr>
      <w:r>
        <w:rPr>
          <w:sz w:val="19"/>
          <w:szCs w:val="19"/>
        </w:rPr>
        <w:t xml:space="preserve">[36]	</w:t>
      </w:r>
      <w:r>
        <w:rPr>
          <w:sz w:val="19"/>
          <w:szCs w:val="19"/>
        </w:rPr>
        <w:t xml:space="preserve">Superintendencia de Protección de Datos Personales del Ecuador, Resolución SPDP-SPD-2026-0009-R, Norma general para la garantía del derecho de protección de datos personales en el uso de sistemas de inteligencia artificial, 12 de febrero de 2026.</w:t>
      </w:r>
    </w:p>
    <w:p>
      <w:pPr>
        <w:spacing w:after="80"/>
        <w:ind w:left="567" w:hanging="567"/>
      </w:pPr>
      <w:r>
        <w:rPr>
          <w:sz w:val="19"/>
          <w:szCs w:val="19"/>
        </w:rPr>
        <w:t xml:space="preserve">[37]	</w:t>
      </w:r>
      <w:r>
        <w:rPr>
          <w:sz w:val="19"/>
          <w:szCs w:val="19"/>
        </w:rPr>
        <w:t xml:space="preserve">UNESCO, Recomendación sobre la ética de la inteligencia artificial, 2021.</w:t>
      </w:r>
    </w:p>
    <w:p>
      <w:pPr>
        <w:spacing w:after="80"/>
        <w:ind w:left="567" w:hanging="567"/>
      </w:pPr>
      <w:r>
        <w:rPr>
          <w:sz w:val="19"/>
          <w:szCs w:val="19"/>
        </w:rPr>
        <w:t xml:space="preserve">[38]	</w:t>
      </w:r>
      <w:r>
        <w:rPr>
          <w:sz w:val="19"/>
          <w:szCs w:val="19"/>
        </w:rPr>
        <w:t xml:space="preserve">National Institute of Standards and Technology, Artificial Intelligence Risk Management Framework (AI RMF 1.0), NIST AI 100-1, 2023, doi: 10.6028/NIST.AI.100-1.</w:t>
      </w:r>
    </w:p>
    <w:p>
      <w:pPr>
        <w:spacing w:after="80"/>
        <w:ind w:left="567" w:hanging="567"/>
      </w:pPr>
      <w:r>
        <w:rPr>
          <w:sz w:val="19"/>
          <w:szCs w:val="19"/>
        </w:rPr>
        <w:t xml:space="preserve">[39]	</w:t>
      </w:r>
      <w:r>
        <w:rPr>
          <w:sz w:val="19"/>
          <w:szCs w:val="19"/>
        </w:rPr>
        <w:t xml:space="preserve">J. C. Perdomo, T. Britton, M. Hardt y R. Abebe, “Difficult lessons on social prediction from Wisconsin public schools,” en Proc. ACM Conf. Fairness, Accountability, and Transparency (FAccT), 2025, doi: 10.1145/3715275.3732175.</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35.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36.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37.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D46</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Diagnóstico de sobreajuste y subajuste con curvas de aprendizaje y seis estrategias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D47</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Reflexión ética ampliada: responsabilidad, mal uso, cumplimiento normativo y ficha del modelo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aplicación usa el mismo desempate que la validación; supresión complementaria en la tabla de equidad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Las listas de contacto no muestran la probabilidad por familia</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D50</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el 70 % restante es un límite de señal, no de capacidad</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ética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2278ef9825e51e4a9cb77ff113d39336d048a8c6.png"/><Relationship Id="rId20" Type="http://schemas.openxmlformats.org/officeDocument/2006/relationships/image" Target="media/e32fd687062255497a412b56b0c198a18062d4f5.png"/><Relationship Id="rId21" Type="http://schemas.openxmlformats.org/officeDocument/2006/relationships/image" Target="media/dc4faf0d405332b1c042c8a49ffac77331bb3d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2026-10-03T14:07:36.739Z</dcterms:created>
  <dcterms:modified xsi:type="dcterms:W3CDTF">2026-10-03T14:07:36.742Z</dcterms:modified>
</cp:coreProperties>
</file>

<file path=docProps/custom.xml><?xml version="1.0" encoding="utf-8"?>
<Properties xmlns="http://schemas.openxmlformats.org/officeDocument/2006/custom-properties" xmlns:vt="http://schemas.openxmlformats.org/officeDocument/2006/docPropsVTypes"/>
</file>