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8B1E3F"/>
          <w:sz w:val="20"/>
          <w:szCs w:val="20"/>
        </w:rPr>
        <w:t xml:space="preserve">Workshop · Semana 4</w:t>
      </w:r>
    </w:p>
    <w:p>
      <w:pPr>
        <w:spacing w:after="60"/>
      </w:pPr>
      <w:r>
        <w:rPr>
          <w:b/>
          <w:bCs/>
          <w:color w:val="222222"/>
          <w:sz w:val="40"/>
          <w:szCs w:val="40"/>
        </w:rPr>
        <w:t xml:space="preserve">Impacto social y responsabilidad en nuestro proyecto de IA</w:t>
      </w:r>
    </w:p>
    <w:p>
      <w:pPr>
        <w:spacing w:after="40"/>
      </w:pPr>
      <w:r>
        <w:rPr>
          <w:sz w:val="22"/>
          <w:szCs w:val="22"/>
        </w:rPr>
        <w:t xml:space="preserve">Proyecto: Predicción de matrícula y continuidad estudiantil · Unidad Educativa LEMAS</w:t>
      </w:r>
    </w:p>
    <w:p>
      <w:pPr>
        <w:spacing w:after="40"/>
      </w:pPr>
      <w:r>
        <w:rPr>
          <w:b/>
          <w:bCs/>
          <w:sz w:val="21"/>
          <w:szCs w:val="21"/>
        </w:rPr>
        <w:t xml:space="preserve">Integrantes:</w:t>
      </w:r>
      <w:r>
        <w:rPr>
          <w:sz w:val="21"/>
          <w:szCs w:val="21"/>
        </w:rPr>
        <w:t xml:space="preserve"> Guillermo Leonidas Granizo Veintimilla (Product Owner) y José Farid Ulloa Manzur (Scrum Master)</w:t>
      </w:r>
    </w:p>
    <w:p>
      <w:pPr>
        <w:pBdr>
          <w:bottom w:val="single" w:color="8B1E3F" w:sz="8" w:space="6"/>
        </w:pBdr>
        <w:spacing w:after="160"/>
      </w:pPr>
      <w:r>
        <w:rPr>
          <w:color w:val="555555"/>
          <w:sz w:val="19"/>
          <w:szCs w:val="19"/>
        </w:rPr>
        <w:t xml:space="preserve">Maestría en Inteligencia Artificial · Universidad de Especialidades Espíritu Santo (UEES) · Guayaquil, 3 de octubre de 2026</w:t>
      </w:r>
    </w:p>
    <w:p>
      <w:pPr>
        <w:pStyle w:val="Heading1"/>
      </w:pPr>
      <w:r>
        <w:t xml:space="preserve">Parte 1. Contexto del proyecto</w:t>
      </w:r>
    </w:p>
    <w:p>
      <w:pPr>
        <w:pStyle w:val="Heading2"/>
      </w:pPr>
      <w:r>
        <w:t xml:space="preserve">1.1 Descripción del sistema</w:t>
      </w:r>
    </w:p>
    <w:p>
      <w:pPr>
        <w:spacing w:after="100"/>
        <w:jc w:val="both"/>
      </w:pPr>
      <w:r>
        <w:rPr>
          <w:b/>
          <w:bCs/>
        </w:rPr>
        <w:t xml:space="preserve">Problema que resuelve.</w:t>
      </w:r>
      <w:r>
        <w:t xml:space="preserve"> En la Unidad Educativa LEMAS (Guayaquil, sedes Mucho Lote 1 y Mucho Lote 2), una reserva aprobada no garantiza la matrícula. Cada año, entre el 6 % y el 11 % de los estudiantes con reserva aprobada no paga la matrícula entre el 20 de febrero y el 30 de abril. La institución se entera tarde y no alcanza a ofrecer apoyo. Hay 69 días y 10 personas para las dos sedes.</w:t>
      </w:r>
    </w:p>
    <w:p>
      <w:pPr>
        <w:spacing w:after="100"/>
        <w:jc w:val="both"/>
      </w:pPr>
      <w:r>
        <w:rPr>
          <w:b/>
          <w:bCs/>
        </w:rPr>
        <w:t xml:space="preserve">Funcionalidad principal.</w:t>
      </w:r>
      <w:r>
        <w:t xml:space="preserve"> El 20 de febrero el sistema ordena a las familias con reserva aprobada para decidir a cuáles llamar primero, y muestra el motivo de cada una. El orden sale de una regla simple (D2): primero quien pagó tarde la matrícula anterior, luego quien hizo reserva extraordinaria y luego quien tuvo más pensiones atrasadas. También proyecta la matrícula por sede y subnivel y, unas semanas después, lista a las familias que siguen sin pagar. Comparamos tres modelos de aprendizaje automático con esa regla y ninguno la superó: la IA nos sirvió para descubrir la regla, validarla y medir su incertidumbre.</w:t>
      </w:r>
    </w:p>
    <w:p>
      <w:pPr>
        <w:spacing w:after="100"/>
        <w:jc w:val="both"/>
      </w:pPr>
      <w:r>
        <w:rPr>
          <w:b/>
          <w:bCs/>
        </w:rPr>
        <w:t xml:space="preserve">Usuarios objetivo.</w:t>
      </w:r>
      <w:r>
        <w:t xml:space="preserve"> Secretaría y Admisiones usan la lista, Dirección revisa los resultados y el custodio de datos guarda la clave de seudonimización. Las familias no usan el sistema: reciben la llamada.</w:t>
      </w:r>
    </w:p>
    <w:p>
      <w:pPr>
        <w:spacing w:after="100"/>
        <w:jc w:val="both"/>
      </w:pPr>
      <w:r>
        <w:rPr>
          <w:b/>
          <w:bCs/>
        </w:rPr>
        <w:t xml:space="preserve">Dominio de aplicación.</w:t>
      </w:r>
      <w:r>
        <w:t xml:space="preserve"> Gestión de la matrícula en educación escolar privada, de Inicial a Bachillerato. Los titulares de los datos son menores de edad y sus representantes.</w:t>
      </w:r>
    </w:p>
    <w:p>
      <w:pPr>
        <w:pStyle w:val="Heading2"/>
      </w:pPr>
      <w:r>
        <w:t xml:space="preserve">1.2 Alcance de implementación</w:t>
      </w:r>
    </w:p>
    <w:p>
      <w:pPr>
        <w:spacing w:after="100"/>
        <w:jc w:val="both"/>
      </w:pPr>
      <w:r>
        <w:rPr>
          <w:b/>
          <w:bCs/>
        </w:rPr>
        <w:t xml:space="preserve">Dónde se implementaría.</w:t>
      </w:r>
      <w:r>
        <w:t xml:space="preserve"> En un computador de LEMAS: los datos se procesan en ese equipo y no salen a internet (modo institucional). La versión pública de la aplicación es una demostración y solo acepta datos sintéticos. Hoy el sistema es un prototipo validado con datos reales: no está en operación.</w:t>
      </w:r>
    </w:p>
    <w:p>
      <w:pPr>
        <w:spacing w:after="100"/>
        <w:jc w:val="both"/>
      </w:pPr>
      <w:r>
        <w:rPr>
          <w:b/>
          <w:bCs/>
        </w:rPr>
        <w:t xml:space="preserve">A cuántas personas afectaría.</w:t>
      </w:r>
      <w:r>
        <w:t xml:space="preserve"> Cada año, a unos 1.400 estudiantes con reserva aprobada y a sus cerca de 1.090 familias (1.411 y 1.093 en la última cohorte). La lista contiene 165 familias, el 15 %. La usan unas 10 personas. Para construir el sistema se analizaron 9.031 registros de seis ciclos, de 2.733 estudiantes y 2.017 representantes.</w:t>
      </w:r>
    </w:p>
    <w:p>
      <w:pPr>
        <w:spacing w:after="100"/>
        <w:jc w:val="both"/>
      </w:pPr>
      <w:r>
        <w:rPr>
          <w:b/>
          <w:bCs/>
        </w:rPr>
        <w:t xml:space="preserve">Qué decisiones toma o informa.</w:t>
      </w:r>
      <w:r>
        <w:t xml:space="preserve"> No toma ninguna. Informa dos: a qué familias ofrecer primero una llamada de apoyo y cuántas matrículas esperar por sede y subnivel. No decide cupos, reservas ni becas, y la aplicación no contacta a nadie.</w:t>
      </w:r>
    </w:p>
    <w:p>
      <w:pPr>
        <w:spacing w:after="100"/>
        <w:jc w:val="both"/>
      </w:pPr>
      <w:r>
        <w:rPr>
          <w:b/>
          <w:bCs/>
        </w:rPr>
        <w:t xml:space="preserve">Resultado que enmarca este análisis.</w:t>
      </w:r>
      <w:r>
        <w:t xml:space="preserve"> En la prueba final, hecha una sola vez, la lista encontró 22 de las 74 familias que no pagaron en plazo, casi el doble que una selección al azar (Lift 1,97; IC 95 % de 1,24 a 2,56). No alcanzó a las otras 52: el 70 %.</w:t>
      </w:r>
    </w:p>
    <w:p>
      <w:pPr>
        <w:pStyle w:val="Heading1"/>
        <w:pageBreakBefore/>
      </w:pPr>
      <w:r>
        <w:t xml:space="preserve">Parte 2. Análisis de stakeholders</w:t>
      </w:r>
    </w:p>
    <w:p>
      <w:pPr>
        <w:keepNext/>
        <w:spacing w:after="50" w:before="100"/>
      </w:pPr>
      <w:r>
        <w:rPr>
          <w:b/>
          <w:bCs/>
          <w:color w:val="8B1E3F"/>
          <w:sz w:val="18"/>
          <w:szCs w:val="18"/>
        </w:rPr>
        <w:t xml:space="preserve">Tabla 1. </w:t>
      </w:r>
      <w:r>
        <w:rPr>
          <w:b/>
          <w:bCs/>
          <w:sz w:val="18"/>
          <w:szCs w:val="18"/>
        </w:rPr>
        <w:t xml:space="preserve">Grupos afectados por el sistema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9"/>
        <w:gridCol w:w="2294"/>
        <w:gridCol w:w="2032"/>
        <w:gridCol w:w="2753"/>
        <w:gridCol w:w="920"/>
      </w:tblGrid>
      <w:tr>
        <w:trPr>
          <w:tblHeader/>
        </w:trPr>
        <w:tc>
          <w:tcPr>
            <w:tcW w:type="dxa" w:w="1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3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3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3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Beneficios</w:t>
            </w:r>
          </w:p>
        </w:tc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3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Riesgos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3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Poder / voz</w:t>
            </w:r>
          </w:p>
        </w:tc>
      </w:tr>
      <w:tr>
        <w:trPr>
          <w:cantSplit/>
        </w:trPr>
        <w:tc>
          <w:tcPr>
            <w:tcW w:type="dxa" w:w="1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Familias y representantes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Cerca de 1.090 familias con reserva aprobada. Deciden y pagan la matrícula</w:t>
            </w:r>
          </w:p>
        </w:tc>
        <w:tc>
          <w:tcPr>
            <w:tcW w:type="dxa" w:w="2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Información y facilidades a tiempo, antes de perder el cupo</w:t>
            </w:r>
          </w:p>
        </w:tc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Sentirse vigiladas o presionadas; estigma por atrasos de pago; no fueron informadas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Bajo</w:t>
            </w:r>
          </w:p>
        </w:tc>
      </w:tr>
      <w:tr>
        <w:trPr>
          <w:cantSplit/>
        </w:trPr>
        <w:tc>
          <w:tcPr>
            <w:tcW w:type="dxa" w:w="1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Estudiantes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Unos 1.400 menores de edad, titulares de los datos</w:t>
            </w:r>
          </w:p>
        </w:tc>
        <w:tc>
          <w:tcPr>
            <w:tcW w:type="dxa" w:w="2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Continuidad en su colegio</w:t>
            </w:r>
          </w:p>
        </w:tc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Trato distinto si la etiqueta llega a docentes; exposición de sus datos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Bajo</w:t>
            </w:r>
          </w:p>
        </w:tc>
      </w:tr>
      <w:tr>
        <w:trPr>
          <w:cantSplit/>
        </w:trPr>
        <w:tc>
          <w:tcPr>
            <w:tcW w:type="dxa" w:w="1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Secretaría y Admisiones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Diez personas que usan la lista y hacen las llamadas</w:t>
            </w:r>
          </w:p>
        </w:tc>
        <w:tc>
          <w:tcPr>
            <w:tcW w:type="dxa" w:w="2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Enfocar su tiempo; saber por qué llamar a cada familia</w:t>
            </w:r>
          </w:p>
        </w:tc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Confiar de más en la lista; que se mida su desempeño por los contactos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1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Dirección de LEMAS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Decide si el sistema se usa y responde por LEMAS, que es la responsable del tratamiento de datos</w:t>
            </w:r>
          </w:p>
        </w:tc>
        <w:tc>
          <w:tcPr>
            <w:tcW w:type="dxa" w:w="2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Planificar cupos, paralelos y personal</w:t>
            </w:r>
          </w:p>
        </w:tc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Decidir con una proyección que no mejora a la tasa histórica; responsabilidad legal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Alto</w:t>
            </w:r>
          </w:p>
        </w:tc>
      </w:tr>
      <w:tr>
        <w:trPr>
          <w:cantSplit/>
        </w:trPr>
        <w:tc>
          <w:tcPr>
            <w:tcW w:type="dxa" w:w="1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Custodio de datos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Guarda la clave y hace la seudonimización</w:t>
            </w:r>
          </w:p>
        </w:tc>
        <w:tc>
          <w:tcPr>
            <w:tcW w:type="dxa" w:w="2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Proceso ordenado y trazable</w:t>
            </w:r>
          </w:p>
        </w:tc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Concentra un riesgo: pérdida o fuga de la clave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Medio</w:t>
            </w:r>
          </w:p>
        </w:tc>
      </w:tr>
      <w:tr>
        <w:trPr>
          <w:cantSplit/>
        </w:trPr>
        <w:tc>
          <w:tcPr>
            <w:tcW w:type="dxa" w:w="1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Equipo desarrollador</w:t>
            </w:r>
          </w:p>
        </w:tc>
        <w:tc>
          <w:tcPr>
            <w:tcW w:type="dxa" w:w="2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Dos estudiantes de maestría; uno trabaja en LEMAS</w:t>
            </w:r>
          </w:p>
        </w:tc>
        <w:tc>
          <w:tcPr>
            <w:tcW w:type="dxa" w:w="2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Aprendizaje y resultado académico</w:t>
            </w:r>
          </w:p>
        </w:tc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Sesgo de confirmación; doble rol de quien desarrolla y maneja los datos</w:t>
            </w:r>
          </w:p>
        </w:tc>
        <w:tc>
          <w:tcPr>
            <w:tcW w:type="dxa" w:w="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Alto</w:t>
            </w:r>
          </w:p>
        </w:tc>
      </w:tr>
    </w:tbl>
    <w:p>
      <w:pPr>
        <w:spacing w:after="100"/>
      </w:pPr>
    </w:p>
    <w:p>
      <w:pPr>
        <w:keepNext/>
        <w:spacing w:after="50" w:before="100"/>
      </w:pPr>
      <w:r>
        <w:rPr>
          <w:b/>
          <w:bCs/>
          <w:color w:val="8B1E3F"/>
          <w:sz w:val="18"/>
          <w:szCs w:val="18"/>
        </w:rPr>
        <w:t xml:space="preserve">Tabla 2. </w:t>
      </w:r>
      <w:r>
        <w:rPr>
          <w:b/>
          <w:bCs/>
          <w:sz w:val="18"/>
          <w:szCs w:val="18"/>
        </w:rPr>
        <w:t xml:space="preserve">Las tres preguntas para cada grupo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2"/>
        <w:gridCol w:w="2503"/>
        <w:gridCol w:w="2378"/>
        <w:gridCol w:w="3255"/>
      </w:tblGrid>
      <w:tr>
        <w:trPr>
          <w:tblHeader/>
        </w:trPr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3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2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3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¿Cómo afecta su vida o su trabajo?</w:t>
            </w:r>
          </w:p>
        </w:tc>
        <w:tc>
          <w:tcPr>
            <w:tcW w:type="dxa" w:w="2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3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¿Fue considerado en el diseño?</w:t>
            </w:r>
          </w:p>
        </w:tc>
        <w:tc>
          <w:tcPr>
            <w:tcW w:type="dxa" w:w="3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3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¿Cómo se protegen sus intereses?</w:t>
            </w:r>
          </w:p>
        </w:tc>
      </w:tr>
      <w:tr>
        <w:trPr>
          <w:cantSplit/>
        </w:trPr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Familias y representantes</w:t>
            </w:r>
          </w:p>
        </w:tc>
        <w:tc>
          <w:tcPr>
            <w:tcW w:type="dxa" w:w="2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Reciben o no una llamada de apoyo. Su cupo, su reserva y su beca no cambian</w:t>
            </w:r>
          </w:p>
        </w:tc>
        <w:tc>
          <w:tcPr>
            <w:tcW w:type="dxa" w:w="2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No.</w:t>
            </w:r>
            <w:r>
              <w:rPr>
                <w:color w:val="000000"/>
                <w:sz w:val="18"/>
                <w:szCs w:val="18"/>
              </w:rPr>
              <w:t xml:space="preserve"> No fueron consultadas ni informadas. Es la principal limitación ética del proyecto</w:t>
            </w:r>
          </w:p>
        </w:tc>
        <w:tc>
          <w:tcPr>
            <w:tcW w:type="dxa" w:w="3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Uso prohibido para cobrar o negar cupos; la lista no muestra montos ni probabilidades; aviso a las familias redactado y canal de reclamos propuesto</w:t>
            </w:r>
          </w:p>
        </w:tc>
      </w:tr>
      <w:tr>
        <w:trPr>
          <w:cantSplit/>
        </w:trPr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Estudiantes</w:t>
            </w:r>
          </w:p>
        </w:tc>
        <w:tc>
          <w:tcPr>
            <w:tcW w:type="dxa" w:w="2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De forma indirecta: su continuidad depende de la decisión de la familia</w:t>
            </w:r>
          </w:p>
        </w:tc>
        <w:tc>
          <w:tcPr>
            <w:tcW w:type="dxa" w:w="2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No participaron. Sus datos se trataron seudonimizados</w:t>
            </w:r>
          </w:p>
        </w:tc>
        <w:tc>
          <w:tcPr>
            <w:tcW w:type="dxa" w:w="3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Cédulas reemplazadas por seudónimos; nunca se usan nacionalidad, salud ni informes del DECE; la lista es confidencial</w:t>
            </w:r>
          </w:p>
        </w:tc>
      </w:tr>
      <w:tr>
        <w:trPr>
          <w:cantSplit/>
        </w:trPr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Secretaría y Admisiones</w:t>
            </w:r>
          </w:p>
        </w:tc>
        <w:tc>
          <w:tcPr>
            <w:tcW w:type="dxa" w:w="2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Organiza sus llamadas. Sigue decidiendo a quién llamar y qué ofrecer</w:t>
            </w:r>
          </w:p>
        </w:tc>
        <w:tc>
          <w:tcPr>
            <w:tcW w:type="dxa" w:w="2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En parte.</w:t>
            </w:r>
            <w:r>
              <w:rPr>
                <w:color w:val="000000"/>
                <w:sz w:val="18"/>
                <w:szCs w:val="18"/>
              </w:rPr>
              <w:t xml:space="preserve"> El sistema sigue su proceso de reservas y de contacto. Falta validar la aplicación con ellas</w:t>
            </w:r>
          </w:p>
        </w:tc>
        <w:tc>
          <w:tcPr>
            <w:tcW w:type="dxa" w:w="3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Número de contactos editable; manual y protocolo de contacto; la lista no es un indicador de desempeño</w:t>
            </w:r>
          </w:p>
        </w:tc>
      </w:tr>
      <w:tr>
        <w:trPr>
          <w:cantSplit/>
        </w:trPr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Dirección de LEMAS</w:t>
            </w:r>
          </w:p>
        </w:tc>
        <w:tc>
          <w:tcPr>
            <w:tcW w:type="dxa" w:w="2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Recibe la proyección y un informe anual</w:t>
            </w:r>
          </w:p>
        </w:tc>
        <w:tc>
          <w:tcPr>
            <w:tcW w:type="dxa" w:w="2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Sí.</w:t>
            </w:r>
            <w:r>
              <w:rPr>
                <w:color w:val="000000"/>
                <w:sz w:val="18"/>
                <w:szCs w:val="18"/>
              </w:rPr>
              <w:t xml:space="preserve"> Autorizó el estudio el 30-sep-2026</w:t>
            </w:r>
          </w:p>
        </w:tc>
        <w:tc>
          <w:tcPr>
            <w:tcW w:type="dxa" w:w="3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Resultados con intervalos de confianza y limitaciones; criterio escrito para suspender el sistema</w:t>
            </w:r>
          </w:p>
        </w:tc>
      </w:tr>
      <w:tr>
        <w:trPr>
          <w:cantSplit/>
        </w:trPr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Custodio de datos</w:t>
            </w:r>
          </w:p>
        </w:tc>
        <w:tc>
          <w:tcPr>
            <w:tcW w:type="dxa" w:w="2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Sube la clave en cada uso y aprueba cada extracción</w:t>
            </w:r>
          </w:p>
        </w:tc>
        <w:tc>
          <w:tcPr>
            <w:tcW w:type="dxa" w:w="2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Sí.</w:t>
            </w:r>
            <w:r>
              <w:rPr>
                <w:color w:val="000000"/>
                <w:sz w:val="18"/>
                <w:szCs w:val="18"/>
              </w:rPr>
              <w:t xml:space="preserve"> El flujo de datos se diseñó alrededor de su rol</w:t>
            </w:r>
          </w:p>
        </w:tc>
        <w:tc>
          <w:tcPr>
            <w:tcW w:type="dxa" w:w="3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La aplicación no guarda la clave; muestra su huella para comprobarla; acta en cada extracción</w:t>
            </w:r>
          </w:p>
        </w:tc>
      </w:tr>
      <w:tr>
        <w:trPr>
          <w:cantSplit/>
        </w:trPr>
        <w:tc>
          <w:tcPr>
            <w:tcW w:type="dxa" w:w="15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Equipo desarrollador</w:t>
            </w:r>
          </w:p>
        </w:tc>
        <w:tc>
          <w:tcPr>
            <w:tcW w:type="dxa" w:w="25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Responde por la calidad técnica y por lo que afirma</w:t>
            </w:r>
          </w:p>
        </w:tc>
        <w:tc>
          <w:tcPr>
            <w:tcW w:type="dxa" w:w="23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32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Decisiones registradas antes de ver resultados; prueba final una sola vez; resultados publicados aunque no favorezcan a la IA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Parte 3. Evaluación de impacto social</w:t>
      </w:r>
    </w:p>
    <w:p>
      <w:pPr>
        <w:pStyle w:val="Heading2"/>
      </w:pPr>
      <w:r>
        <w:t xml:space="preserve">3.1 Impactos positivos</w:t>
      </w:r>
    </w:p>
    <w:p>
      <w:pPr>
        <w:keepNext/>
        <w:spacing w:after="50" w:before="100"/>
      </w:pPr>
      <w:r>
        <w:rPr>
          <w:b/>
          <w:bCs/>
          <w:color w:val="8B1E3F"/>
          <w:sz w:val="18"/>
          <w:szCs w:val="18"/>
        </w:rPr>
        <w:t xml:space="preserve">Tabla 3. </w:t>
      </w:r>
      <w:r>
        <w:rPr>
          <w:b/>
          <w:bCs/>
          <w:sz w:val="18"/>
          <w:szCs w:val="18"/>
        </w:rPr>
        <w:t xml:space="preserve">Impactos positivos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7"/>
        <w:gridCol w:w="2753"/>
        <w:gridCol w:w="1752"/>
        <w:gridCol w:w="3256"/>
      </w:tblGrid>
      <w:tr>
        <w:trPr>
          <w:tblHeader/>
        </w:trPr>
        <w:tc>
          <w:tcPr>
            <w:tcW w:type="dxa" w:w="1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3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3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3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Grupos beneficiados</w:t>
            </w:r>
          </w:p>
        </w:tc>
        <w:tc>
          <w:tcPr>
            <w:tcW w:type="dxa" w:w="3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3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1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1. Apoyo más oportuno y mejor dirigido</w:t>
            </w:r>
          </w:p>
        </w:tc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La lista queda disponible el 20 de febrero, 69 días antes del cierre, y concentra los casos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Familias en riesgo de no matricularse; estudiantes</w:t>
            </w:r>
          </w:p>
        </w:tc>
        <w:tc>
          <w:tcPr>
            <w:tcW w:type="dxa" w:w="3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Prueba final: 22 de 74 casos con una lista de 165 familias. Al azar serían unos 11. Lift 1,97 (IC 95 %: 1,24 a 2,56)</w:t>
            </w:r>
          </w:p>
        </w:tc>
      </w:tr>
      <w:tr>
        <w:trPr>
          <w:cantSplit/>
        </w:trPr>
        <w:tc>
          <w:tcPr>
            <w:tcW w:type="dxa" w:w="1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2. Trabajo del personal mejor enfocado</w:t>
            </w:r>
          </w:p>
        </w:tc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Diez personas saben por dónde empezar. No reemplaza ningún puesto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Secretaría y Admisiones</w:t>
            </w:r>
          </w:p>
        </w:tc>
        <w:tc>
          <w:tcPr>
            <w:tcW w:type="dxa" w:w="3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La aplicación genera la lista en segundos y cada familia lleva su motivo. Son 118 y 47 familias por sede</w:t>
            </w:r>
          </w:p>
        </w:tc>
      </w:tr>
      <w:tr>
        <w:trPr>
          <w:cantSplit/>
        </w:trPr>
        <w:tc>
          <w:tcPr>
            <w:tcW w:type="dxa" w:w="1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3. Planificación con cifras</w:t>
            </w:r>
          </w:p>
        </w:tc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Proyección de matrículas por sede y subnivel al 20 de febrero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Dirección y Coordinación académica</w:t>
            </w:r>
          </w:p>
        </w:tc>
        <w:tc>
          <w:tcPr>
            <w:tcW w:type="dxa" w:w="3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Error del 2,8 % en la prueba final. Es el mismo error que da la tasa histórica: sirve, pero no mejora lo que ya se podía calcular</w:t>
            </w:r>
          </w:p>
        </w:tc>
      </w:tr>
      <w:tr>
        <w:trPr>
          <w:cantSplit/>
        </w:trPr>
        <w:tc>
          <w:tcPr>
            <w:tcW w:type="dxa" w:w="18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4. Datos de menores mejor protegidos</w:t>
            </w:r>
          </w:p>
        </w:tc>
        <w:tc>
          <w:tcPr>
            <w:tcW w:type="dxa" w:w="27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El análisis se hace con seudónimos. Los datos con nombres y la clave no salen de LEMAS; la base seudonimizada se analizó en Google Colab con autorización de la institución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Estudiantes y familias; la institución</w:t>
            </w:r>
          </w:p>
        </w:tc>
        <w:tc>
          <w:tcPr>
            <w:tcW w:type="dxa" w:w="3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Seudonimización HMAC-SHA256 con clave custodiada; la aplicación pública solo acepta datos sintéticos; el repositorio no contiene datos reales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3.2 Impactos negativos y riesgos</w:t>
      </w:r>
    </w:p>
    <w:p>
      <w:pPr>
        <w:keepNext/>
        <w:spacing w:after="50" w:before="100"/>
      </w:pPr>
      <w:r>
        <w:rPr>
          <w:b/>
          <w:bCs/>
          <w:color w:val="8B1E3F"/>
          <w:sz w:val="18"/>
          <w:szCs w:val="18"/>
        </w:rPr>
        <w:t xml:space="preserve">Tabla 4. </w:t>
      </w:r>
      <w:r>
        <w:rPr>
          <w:b/>
          <w:bCs/>
          <w:sz w:val="18"/>
          <w:szCs w:val="18"/>
        </w:rPr>
        <w:t xml:space="preserve">Impactos negativos y riesgos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5"/>
        <w:gridCol w:w="3583"/>
        <w:gridCol w:w="1853"/>
        <w:gridCol w:w="926"/>
        <w:gridCol w:w="1361"/>
      </w:tblGrid>
      <w:tr>
        <w:trPr>
          <w:tblHeader/>
        </w:trPr>
        <w:tc>
          <w:tcPr>
            <w:tcW w:type="dxa" w:w="1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3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3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3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3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Grupos vulnerables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3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3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Probabilidad</w:t>
            </w:r>
          </w:p>
        </w:tc>
      </w:tr>
      <w:tr>
        <w:trPr>
          <w:cantSplit/>
        </w:trPr>
        <w:tc>
          <w:tcPr>
            <w:tcW w:type="dxa" w:w="1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1. Que la lista se use para cobrar</w:t>
            </w:r>
          </w:p>
        </w:tc>
        <w:tc>
          <w:tcPr>
            <w:tcW w:type="dxa" w:w="3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La misma lista que sirve para ayudar sirve para presionar. El listado de familias que siguen sin pagar se parece todavía más a una lista de cobranza</w:t>
            </w:r>
          </w:p>
        </w:tc>
        <w:tc>
          <w:tcPr>
            <w:tcW w:type="dxa" w:w="1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Familias con dificultades económicas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2. Menos apoyo a familias becadas</w:t>
            </w:r>
          </w:p>
        </w:tc>
        <w:tc>
          <w:tcPr>
            <w:tcW w:type="dxa" w:w="3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La lista encuentra al 18 % de los casos entre becadas y al 32 % entre no becadas (2 de 11 frente a 20 de 63)</w:t>
            </w:r>
          </w:p>
        </w:tc>
        <w:tc>
          <w:tcPr>
            <w:tcW w:type="dxa" w:w="1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Familias becadas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Media</w:t>
            </w:r>
            <w:r>
              <w:rPr>
                <w:color w:val="000000"/>
                <w:sz w:val="18"/>
                <w:szCs w:val="18"/>
              </w:rPr>
              <w:t xml:space="preserve"> (incierta: 11 casos)</w:t>
            </w:r>
          </w:p>
        </w:tc>
      </w:tr>
      <w:tr>
        <w:trPr>
          <w:cantSplit/>
        </w:trPr>
        <w:tc>
          <w:tcPr>
            <w:tcW w:type="dxa" w:w="1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3. Falsa confianza en la lista</w:t>
            </w:r>
          </w:p>
        </w:tc>
        <w:tc>
          <w:tcPr>
            <w:tcW w:type="dxa" w:w="3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No alcanza al 70 % de los casos. Si el personal atiende solo a la lista, ese 70 % queda peor que antes</w:t>
            </w:r>
          </w:p>
        </w:tc>
        <w:tc>
          <w:tcPr>
            <w:tcW w:type="dxa" w:w="1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Familias que la regla no prioriza: el 70 % de los casos en la prueba final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4. Exposición de datos de menores</w:t>
            </w:r>
          </w:p>
        </w:tc>
        <w:tc>
          <w:tcPr>
            <w:tcW w:type="dxa" w:w="3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En LEMAS la aplicación muestra nombres y permite descargar la lista</w:t>
            </w:r>
          </w:p>
        </w:tc>
        <w:tc>
          <w:tcPr>
            <w:tcW w:type="dxa" w:w="1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Estudiantes y familias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Baja</w:t>
            </w:r>
          </w:p>
        </w:tc>
      </w:tr>
      <w:tr>
        <w:trPr>
          <w:cantSplit/>
        </w:trPr>
        <w:tc>
          <w:tcPr>
            <w:tcW w:type="dxa" w:w="1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5. Datos tratados sin informar a las familias</w:t>
            </w:r>
          </w:p>
        </w:tc>
        <w:tc>
          <w:tcPr>
            <w:tcW w:type="dxa" w:w="3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El estudio se hizo con autorización de la institución, sin aviso a los representantes</w:t>
            </w:r>
          </w:p>
        </w:tc>
        <w:tc>
          <w:tcPr>
            <w:tcW w:type="dxa" w:w="1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Todas las familias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Alta</w:t>
            </w:r>
            <w:r>
              <w:rPr>
                <w:color w:val="000000"/>
                <w:sz w:val="18"/>
                <w:szCs w:val="18"/>
              </w:rPr>
              <w:t xml:space="preserve"> (ya ocurrió)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3.3 Análisis de equidad</w:t>
      </w:r>
    </w:p>
    <w:p>
      <w:pPr>
        <w:spacing w:after="100"/>
        <w:jc w:val="both"/>
      </w:pPr>
      <w:r>
        <w:rPr>
          <w:b/>
          <w:bCs/>
        </w:rPr>
        <w:t xml:space="preserve">¿El sistema reduce o aumenta las desigualdades?</w:t>
      </w:r>
      <w:r>
        <w:t xml:space="preserve"> No podemos afirmar que las reduzca, y hay una señal de que podría aumentarlas para las familias becadas. El beneficio del sistema es una llamada de apoyo, y no se reparte por igual.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Distribución de beneficios.</w:t>
      </w:r>
      <w:r>
        <w:t xml:space="preserve"> La llamada llega más a las familias con atrasos de pago, que probablemente son las que más la necesitan. Pero llega menos a las becadas: entran en la lista el 10,4 % de ellas frente al 15,9 % de las demás (razón de 0,66; suele tomarse como alerta un valor menor que 0,80). Entre sedes también hay diferencia: 18,4 % en Mucho Lote 1 y 10,4 % en Mucho Lote 2.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Distribución de riesgos.</w:t>
      </w:r>
      <w:r>
        <w:t xml:space="preserve"> El riesgo de quedar etiquetada o de recibir presión recae en las familias con atrasos. La institución recibe el beneficio de planificar y casi ningún riesgo.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Acceso.</w:t>
      </w:r>
      <w:r>
        <w:t xml:space="preserve"> Todas las familias con reserva aprobada entran en el ordenamiento. Quedan fuera por diseño los estudiantes nuevos y las reservas pendientes.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Barreras.</w:t>
      </w:r>
      <w:r>
        <w:t xml:space="preserve"> Las familias extranjeras que comparten una cédula genérica (39 estudiantes) se tratan como contactos individuales, pero no pudimos evaluar la equidad para ellas. Y las familias que la regla no prioriza quedan fuera: el 70 % de los casos en la prueba final.</w:t>
      </w:r>
    </w:p>
    <w:p>
      <w:pPr>
        <w:spacing w:after="100"/>
        <w:jc w:val="both"/>
      </w:pPr>
      <w:r>
        <w:t xml:space="preserve">Con 11 casos entre becadas no sabemos si la diferencia es real. La informamos como alerta y la vigilamos (Parte 5).</w:t>
      </w:r>
    </w:p>
    <w:p>
      <w:pPr>
        <w:pStyle w:val="Heading1"/>
      </w:pPr>
      <w:r>
        <w:t xml:space="preserve">Parte 4. Riesgos éticos específicos</w:t>
      </w:r>
    </w:p>
    <w:p>
      <w:pPr>
        <w:keepNext/>
        <w:spacing w:after="50" w:before="100"/>
      </w:pPr>
      <w:r>
        <w:rPr>
          <w:b/>
          <w:bCs/>
          <w:color w:val="8B1E3F"/>
          <w:sz w:val="18"/>
          <w:szCs w:val="18"/>
        </w:rPr>
        <w:t xml:space="preserve">Tabla 5. </w:t>
      </w:r>
      <w:r>
        <w:rPr>
          <w:b/>
          <w:bCs/>
          <w:sz w:val="18"/>
          <w:szCs w:val="18"/>
        </w:rPr>
        <w:t xml:space="preserve">Checklist de riesgos éticos aplicado al proyecto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7"/>
        <w:gridCol w:w="8011"/>
      </w:tblGrid>
      <w:tr>
        <w:trPr>
          <w:tblHeader/>
        </w:trPr>
        <w:tc>
          <w:tcPr>
            <w:tcW w:type="dxa" w:w="1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3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8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3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1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Fairness y sesgo</w:t>
            </w:r>
          </w:p>
        </w:tc>
        <w:tc>
          <w:tcPr>
            <w:tcW w:type="dxa" w:w="8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No usa género, etnia, edad, religión ni nacionalidad. Sí usa señales de pago, que reflejan la situación económica. El evento es minoritario (6 a 11 %) y lo tratamos con métricas de ordenamiento. Evaluamos selección, precisión y recall por sede, beca y subnivel, con el enfoque de Fairlearn [8] y código propio</w:t>
            </w:r>
          </w:p>
        </w:tc>
      </w:tr>
      <w:tr>
        <w:trPr>
          <w:cantSplit/>
        </w:trPr>
        <w:tc>
          <w:tcPr>
            <w:tcW w:type="dxa" w:w="1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Privacidad</w:t>
            </w:r>
          </w:p>
        </w:tc>
        <w:tc>
          <w:tcPr>
            <w:tcW w:type="dxa" w:w="8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Datos administrativos de menores y representantes: curso, promedio, conducta, pagos, reserva y beca. No hubo consentimiento informado específico, solo autorización institucional. Las cédulas se reemplazan por seudónimos y se eliminan nombres y saldos. Reidentificar exige la clave y el Excel original; la base seudonimizada nunca se publica</w:t>
            </w:r>
          </w:p>
        </w:tc>
      </w:tr>
      <w:tr>
        <w:trPr>
          <w:cantSplit/>
        </w:trPr>
        <w:tc>
          <w:tcPr>
            <w:tcW w:type="dxa" w:w="1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Transparencia</w:t>
            </w:r>
          </w:p>
        </w:tc>
        <w:tc>
          <w:tcPr>
            <w:tcW w:type="dxa" w:w="8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El personal entiende el sistema: la regla cabe en una frase y cada familia lleva su motivo. Las limitaciones están en la aplicación, el README y la ficha del modelo. Las familias todavía no saben que existe</w:t>
            </w:r>
          </w:p>
        </w:tc>
      </w:tr>
      <w:tr>
        <w:trPr>
          <w:cantSplit/>
        </w:trPr>
        <w:tc>
          <w:tcPr>
            <w:tcW w:type="dxa" w:w="1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Autonomía</w:t>
            </w:r>
          </w:p>
        </w:tc>
        <w:tc>
          <w:tcPr>
            <w:tcW w:type="dxa" w:w="8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Una persona decide a quién llamar y qué ofrecer. La aplicación no contacta a nadie. El riesgo de coacción está en el uso: llamar para cobrar</w:t>
            </w:r>
          </w:p>
        </w:tc>
      </w:tr>
      <w:tr>
        <w:trPr>
          <w:cantSplit/>
        </w:trPr>
        <w:tc>
          <w:tcPr>
            <w:tcW w:type="dxa" w:w="1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Seguridad</w:t>
            </w:r>
          </w:p>
        </w:tc>
        <w:tc>
          <w:tcPr>
            <w:tcW w:type="dxa" w:w="8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Si la regla falla, la familia recibe la atención habitual. Los errores posibles son una llamada innecesaria o una familia no listada. Hay 179 pruebas automáticas y un criterio para suspender el sistema</w:t>
            </w:r>
          </w:p>
        </w:tc>
      </w:tr>
      <w:tr>
        <w:trPr>
          <w:cantSplit/>
        </w:trPr>
        <w:tc>
          <w:tcPr>
            <w:tcW w:type="dxa" w:w="1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Accountability</w:t>
            </w:r>
          </w:p>
        </w:tc>
        <w:tc>
          <w:tcPr>
            <w:tcW w:type="dxa" w:w="8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Responde LEMAS, a través de Dirección. No existe todavía un proceso de apelación para las familias. La auditoría anual está propuesta</w:t>
            </w:r>
          </w:p>
        </w:tc>
      </w:tr>
    </w:tbl>
    <w:p>
      <w:pPr>
        <w:spacing w:after="100"/>
      </w:pPr>
    </w:p>
    <w:p>
      <w:pPr>
        <w:keepNext/>
        <w:spacing w:after="50" w:before="100"/>
      </w:pPr>
      <w:r>
        <w:rPr>
          <w:b/>
          <w:bCs/>
          <w:color w:val="8B1E3F"/>
          <w:sz w:val="18"/>
          <w:szCs w:val="18"/>
        </w:rPr>
        <w:t xml:space="preserve">Tabla 6. </w:t>
      </w:r>
      <w:r>
        <w:rPr>
          <w:b/>
          <w:bCs/>
          <w:sz w:val="18"/>
          <w:szCs w:val="18"/>
        </w:rPr>
        <w:t xml:space="preserve">Riesgos éticos analizados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8"/>
        <w:gridCol w:w="2469"/>
        <w:gridCol w:w="2831"/>
        <w:gridCol w:w="903"/>
        <w:gridCol w:w="1327"/>
      </w:tblGrid>
      <w:tr>
        <w:trPr>
          <w:tblHeader/>
        </w:trP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3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2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3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3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3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1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3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Grupo afectado</w:t>
            </w:r>
          </w:p>
        </w:tc>
      </w:tr>
      <w:tr>
        <w:trPr>
          <w:cantSplit/>
        </w:trP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R1. Señales de pago como indicador económico</w:t>
            </w:r>
            <w:r>
              <w:rPr>
                <w:color w:val="000000"/>
                <w:sz w:val="18"/>
                <w:szCs w:val="18"/>
              </w:rPr>
              <w:t xml:space="preserve"> (fairness, autonomía)</w:t>
            </w:r>
          </w:p>
        </w:tc>
        <w:tc>
          <w:tcPr>
            <w:tcW w:type="dxa" w:w="2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La regla ordena por atrasos de pago. Aparecer en la lista dice algo de la economía de la familia</w:t>
            </w:r>
          </w:p>
        </w:tc>
        <w:tc>
          <w:tcPr>
            <w:tcW w:type="dxa" w:w="2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Las tres variables de la regla son de pago o de reserva. Son las únicas que ordenaron a las familias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1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Familias con menos recursos</w:t>
            </w:r>
          </w:p>
        </w:tc>
      </w:tr>
      <w:tr>
        <w:trPr>
          <w:cantSplit/>
        </w:trP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R2. Menor detección en familias becadas</w:t>
            </w:r>
            <w:r>
              <w:rPr>
                <w:color w:val="000000"/>
                <w:sz w:val="18"/>
                <w:szCs w:val="18"/>
              </w:rPr>
              <w:t xml:space="preserve"> (fairness)</w:t>
            </w:r>
          </w:p>
        </w:tc>
        <w:tc>
          <w:tcPr>
            <w:tcW w:type="dxa" w:w="2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La lista encuentra menos casos entre las becadas. Una explicación posible, que no comprobamos: quien paga menos acumula menos atrasos</w:t>
            </w:r>
          </w:p>
        </w:tc>
        <w:tc>
          <w:tcPr>
            <w:tcW w:type="dxa" w:w="2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Recall 0,18 frente a 0,32; razón de selección 0,66; 11 casos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dxa" w:w="1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Familias becadas</w:t>
            </w:r>
          </w:p>
        </w:tc>
      </w:tr>
      <w:tr>
        <w:trPr>
          <w:cantSplit/>
        </w:trP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R3. Datos de menores sin informar a las familias</w:t>
            </w:r>
            <w:r>
              <w:rPr>
                <w:color w:val="000000"/>
                <w:sz w:val="18"/>
                <w:szCs w:val="18"/>
              </w:rPr>
              <w:t xml:space="preserve"> (privacidad)</w:t>
            </w:r>
          </w:p>
        </w:tc>
        <w:tc>
          <w:tcPr>
            <w:tcW w:type="dxa" w:w="2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El análisis usó datos de niñas, niños y adolescentes sin aviso ni autorización específica</w:t>
            </w:r>
          </w:p>
        </w:tc>
        <w:tc>
          <w:tcPr>
            <w:tcW w:type="dxa" w:w="2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Solo hubo autorización institucional (30-sep-2026). Según nuestra lectura, la ley pide autorización del representante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1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Todas las familias y estudiantes</w:t>
            </w:r>
          </w:p>
        </w:tc>
      </w:tr>
      <w:tr>
        <w:trPr>
          <w:cantSplit/>
        </w:trP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R4. Fuga o reidentificación</w:t>
            </w:r>
            <w:r>
              <w:rPr>
                <w:color w:val="000000"/>
                <w:sz w:val="18"/>
                <w:szCs w:val="18"/>
              </w:rPr>
              <w:t xml:space="preserve"> (privacidad, seguridad)</w:t>
            </w:r>
          </w:p>
        </w:tc>
        <w:tc>
          <w:tcPr>
            <w:tcW w:type="dxa" w:w="2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La lista con nombres se descarga, y la clave pasa por las manos de quien la sube</w:t>
            </w:r>
          </w:p>
        </w:tc>
        <w:tc>
          <w:tcPr>
            <w:tcW w:type="dxa" w:w="2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En LEMAS la aplicación muestra nombres a personal autorizado; la base seudonimizada conserva campos que, combinados, podrían identificar a alguien que conozca los registros; el análisis académico se ejecutó en Google Colab, fuera del Ecuador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1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Estudiantes y familias</w:t>
            </w:r>
          </w:p>
        </w:tc>
      </w:tr>
      <w:tr>
        <w:trPr>
          <w:cantSplit/>
        </w:trP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R5. Confianza excesiva en una regla que no es estable</w:t>
            </w:r>
            <w:r>
              <w:rPr>
                <w:color w:val="000000"/>
                <w:sz w:val="18"/>
                <w:szCs w:val="18"/>
              </w:rPr>
              <w:t xml:space="preserve"> (seguridad, transparencia)</w:t>
            </w:r>
          </w:p>
        </w:tc>
        <w:tc>
          <w:tcPr>
            <w:tcW w:type="dxa" w:w="2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El resultado cambia con el año y con el sorteo entre familias empatadas, y la regla deja de ayudar desde la cuarta semana</w:t>
            </w:r>
          </w:p>
        </w:tc>
        <w:tc>
          <w:tcPr>
            <w:tcW w:type="dxa" w:w="2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Lift de 1,38 a 1,97 en cuatro ciclos; en uno va de 1,53 a 1,99 según el sorteo. En tres ciclos anteriores (C2 a C4), el 86 % de los casos no registra ningún pago y la lista encuentra al 24 % de ellos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dxa" w:w="1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Familias fuera de la lista; Secretaría</w:t>
            </w:r>
          </w:p>
        </w:tc>
      </w:tr>
      <w:tr>
        <w:trPr>
          <w:cantSplit/>
        </w:trP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R6. Responsabilidad concentrada y sin vía de reclamo</w:t>
            </w:r>
            <w:r>
              <w:rPr>
                <w:color w:val="000000"/>
                <w:sz w:val="18"/>
                <w:szCs w:val="18"/>
              </w:rPr>
              <w:t xml:space="preserve"> (accountability)</w:t>
            </w:r>
          </w:p>
        </w:tc>
        <w:tc>
          <w:tcPr>
            <w:tcW w:type="dxa" w:w="24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Un integrante del equipo trabaja en LEMAS y manejó los datos. Las familias no tienen dónde preguntar o reclamar</w:t>
            </w:r>
          </w:p>
        </w:tc>
        <w:tc>
          <w:tcPr>
            <w:tcW w:type="dxa" w:w="2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Doble rol declarado; el canal de consultas no existe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dxa" w:w="1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Familias; la institución</w:t>
            </w:r>
          </w:p>
        </w:tc>
      </w:tr>
    </w:tbl>
    <w:p>
      <w:pPr>
        <w:spacing w:after="100"/>
      </w:pPr>
    </w:p>
    <w:p>
      <w:pPr>
        <w:spacing w:after="100"/>
        <w:jc w:val="both"/>
      </w:pPr>
      <w:r>
        <w:rPr>
          <w:b/>
          <w:bCs/>
        </w:rPr>
        <w:t xml:space="preserve">Cómo asignamos la severidad.</w:t>
      </w:r>
      <w:r>
        <w:t xml:space="preserve"> Es alta cuando el daño toca derechos de las familias o de los menores y es difícil de revertir: la presión económica (R1), el tratamiento de datos sin informar (R3) y la exposición de datos personales (R4). Es media cuando afecta a cómo se reparte el apoyo y se puede corregir en la campaña siguiente (R2, R5 y R6). R1 es un sesgo de medición, porque una variable de pago mide también otra cosa, y R2 puede ser un sesgo de representación, por los pocos casos del grupo. Son dos tipos de sesgo descritos en la literatura sobre educación [9].</w:t>
      </w:r>
    </w:p>
    <w:p>
      <w:pPr>
        <w:pStyle w:val="Heading1"/>
      </w:pPr>
      <w:r>
        <w:t xml:space="preserve">Parte 5. Estrategias de mitigación</w:t>
      </w:r>
    </w:p>
    <w:p>
      <w:pPr>
        <w:keepNext/>
        <w:spacing w:after="100"/>
        <w:jc w:val="both"/>
      </w:pPr>
      <w:r>
        <w:t xml:space="preserve">Una estrategia por riesgo. La última columna dice qué está hecho y qué queda como propuesta para LEMAS.</w:t>
      </w:r>
    </w:p>
    <w:p>
      <w:pPr>
        <w:keepNext/>
        <w:spacing w:after="50" w:before="100"/>
      </w:pPr>
      <w:r>
        <w:rPr>
          <w:b/>
          <w:bCs/>
          <w:color w:val="8B1E3F"/>
          <w:sz w:val="18"/>
          <w:szCs w:val="18"/>
        </w:rPr>
        <w:t xml:space="preserve">Tabla 7. </w:t>
      </w:r>
      <w:r>
        <w:rPr>
          <w:b/>
          <w:bCs/>
          <w:sz w:val="18"/>
          <w:szCs w:val="18"/>
        </w:rPr>
        <w:t xml:space="preserve">Mitigación de cada riesgo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8"/>
        <w:gridCol w:w="1024"/>
        <w:gridCol w:w="3313"/>
        <w:gridCol w:w="1686"/>
        <w:gridCol w:w="1507"/>
      </w:tblGrid>
      <w:tr>
        <w:trPr>
          <w:tblHeader/>
        </w:trP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3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Riesgo y estrategia</w:t>
            </w:r>
          </w:p>
        </w:tc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3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3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Implementación</w:t>
            </w:r>
          </w:p>
        </w:tc>
        <w:tc>
          <w:tcPr>
            <w:tcW w:type="dxa" w:w="1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3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Cuándo y responsable</w:t>
            </w:r>
          </w:p>
        </w:tc>
        <w:tc>
          <w:tcPr>
            <w:tcW w:type="dxa" w:w="1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3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Efectividad y estado</w:t>
            </w:r>
          </w:p>
        </w:tc>
      </w:tr>
      <w:tr>
        <w:trPr>
          <w:cantSplit/>
        </w:trP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R1.</w:t>
            </w:r>
            <w:r>
              <w:rPr>
                <w:color w:val="000000"/>
                <w:sz w:val="18"/>
                <w:szCs w:val="18"/>
              </w:rPr>
              <w:t xml:space="preserve"> Limitar el uso a llamadas de apoyo y quitar de la lista lo que sirve para cobrar</w:t>
            </w:r>
          </w:p>
        </w:tc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Política y diseño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1. Usos prohibidos por escrito: cobrar, negar cupos, perfilar.</w:t>
            </w:r>
          </w:p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2. La lista no muestra montos, saldos ni probabilidades; solo el motivo.</w:t>
            </w:r>
          </w:p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3. Protocolo de contacto y capacitación de Secretaría</w:t>
            </w:r>
          </w:p>
        </w:tc>
        <w:tc>
          <w:tcPr>
            <w:tcW w:type="dxa" w:w="1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Antes de la primera campaña y en cada una. Dirección (política), equipo (diseño), Secretaría (protocolo)</w:t>
            </w:r>
          </w:p>
        </w:tc>
        <w:tc>
          <w:tcPr>
            <w:tcW w:type="dxa" w:w="1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Media:</w:t>
            </w:r>
            <w:r>
              <w:rPr>
                <w:color w:val="000000"/>
                <w:sz w:val="18"/>
                <w:szCs w:val="18"/>
              </w:rPr>
              <w:t xml:space="preserve"> depende de que las personas cumplan la política. Pasos 1 y 2 hechos; capacitación pendiente</w:t>
            </w:r>
          </w:p>
        </w:tc>
      </w:tr>
      <w:tr>
        <w:trPr>
          <w:cantSplit/>
        </w:trP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R2.</w:t>
            </w:r>
            <w:r>
              <w:rPr>
                <w:color w:val="000000"/>
                <w:sz w:val="18"/>
                <w:szCs w:val="18"/>
              </w:rPr>
              <w:t xml:space="preserve"> Medir el recall por grupo y reservar contactos al azar</w:t>
            </w:r>
          </w:p>
        </w:tc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Técnica y política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1. Calcular selección y recall por beca, sede y subnivel, acumulando cohortes.</w:t>
            </w:r>
          </w:p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2. Revisar a las becadas con atrasos aunque no estén en la lista.</w:t>
            </w:r>
          </w:p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3. Reservar parte de los contactos para familias elegidas al azar</w:t>
            </w:r>
          </w:p>
        </w:tc>
        <w:tc>
          <w:tcPr>
            <w:tcW w:type="dxa" w:w="1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Cada campaña y cada mayo. Equipo técnico (métricas), Secretaría (revisión)</w:t>
            </w:r>
          </w:p>
        </w:tc>
        <w:tc>
          <w:tcPr>
            <w:tcW w:type="dxa" w:w="1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Media.</w:t>
            </w:r>
            <w:r>
              <w:rPr>
                <w:color w:val="000000"/>
                <w:sz w:val="18"/>
                <w:szCs w:val="18"/>
              </w:rPr>
              <w:t xml:space="preserve"> Métricas implementadas; reserva al azar propuesta</w:t>
            </w:r>
          </w:p>
        </w:tc>
      </w:tr>
      <w:tr>
        <w:trPr>
          <w:cantSplit/>
        </w:trP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R3.</w:t>
            </w:r>
            <w:r>
              <w:rPr>
                <w:color w:val="000000"/>
                <w:sz w:val="18"/>
                <w:szCs w:val="18"/>
              </w:rPr>
              <w:t xml:space="preserve"> Informar a las familias y confirmar la base legal antes del uso real</w:t>
            </w:r>
          </w:p>
        </w:tc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Política y educación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1. El asesor jurídico confirma la base legal.</w:t>
            </w:r>
          </w:p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2. Aviso a las familias (texto ya redactado) y canal de consultas.</w:t>
            </w:r>
          </w:p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3. Evaluación de impacto y registro del tratamiento</w:t>
            </w:r>
          </w:p>
        </w:tc>
        <w:tc>
          <w:tcPr>
            <w:tcW w:type="dxa" w:w="1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Antes de la primera campaña. Dirección de LEMAS con su asesor</w:t>
            </w:r>
          </w:p>
        </w:tc>
        <w:tc>
          <w:tcPr>
            <w:tcW w:type="dxa" w:w="1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Alta.</w:t>
            </w:r>
            <w:r>
              <w:rPr>
                <w:color w:val="000000"/>
                <w:sz w:val="18"/>
                <w:szCs w:val="18"/>
              </w:rPr>
              <w:t xml:space="preserve"> Propuesta: depende de LEMAS</w:t>
            </w:r>
          </w:p>
        </w:tc>
      </w:tr>
      <w:tr>
        <w:trPr>
          <w:cantSplit/>
        </w:trP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R4.</w:t>
            </w:r>
            <w:r>
              <w:rPr>
                <w:color w:val="000000"/>
                <w:sz w:val="18"/>
                <w:szCs w:val="18"/>
              </w:rPr>
              <w:t xml:space="preserve"> Seudonimizar y separar la aplicación en dos modos</w:t>
            </w:r>
          </w:p>
        </w:tc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Técnica y diseño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1. Seudónimos HMAC-SHA256 con clave del custodio; se eliminan nombres y saldos.</w:t>
            </w:r>
          </w:p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2. Versión pública solo con datos sintéticos; versión de LEMAS solo en el mismo equipo, en memoria y con nombres tras confirmar.</w:t>
            </w:r>
          </w:p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3. Celdas con menos de 5 casos ocultas, sin que se puedan deducir por diferencia; repositorio sin datos reales</w:t>
            </w:r>
          </w:p>
        </w:tc>
        <w:tc>
          <w:tcPr>
            <w:tcW w:type="dxa" w:w="1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Desde el inicio y de forma continua. Equipo técnico y custodio</w:t>
            </w:r>
          </w:p>
        </w:tc>
        <w:tc>
          <w:tcPr>
            <w:tcW w:type="dxa" w:w="1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Alta.</w:t>
            </w:r>
            <w:r>
              <w:rPr>
                <w:color w:val="000000"/>
                <w:sz w:val="18"/>
                <w:szCs w:val="18"/>
              </w:rPr>
              <w:t xml:space="preserve"> Implementada en lo técnico. Pendiente: que LEMAS designe quién ve los nombres</w:t>
            </w:r>
          </w:p>
        </w:tc>
      </w:tr>
      <w:tr>
        <w:trPr>
          <w:cantSplit/>
        </w:trP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R5.</w:t>
            </w:r>
            <w:r>
              <w:rPr>
                <w:color w:val="000000"/>
                <w:sz w:val="18"/>
                <w:szCs w:val="18"/>
              </w:rPr>
              <w:t xml:space="preserve"> Decir lo que el sistema no hace y fijar cuándo se suspende</w:t>
            </w:r>
          </w:p>
        </w:tc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Educación, política y técnica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1. Limitaciones visibles en la aplicación, el README y la ficha del modelo.</w:t>
            </w:r>
          </w:p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2. Informe cada mayo con el Lift y su intervalo: revalidar si baja de 1,20 y suspender si no supera al azar dos años seguidos.</w:t>
            </w:r>
          </w:p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3. Segunda ronda con las familias que siguen sin pagar</w:t>
            </w:r>
          </w:p>
        </w:tc>
        <w:tc>
          <w:tcPr>
            <w:tcW w:type="dxa" w:w="1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Continuo y cada mayo. Equipo técnico y Dirección</w:t>
            </w:r>
          </w:p>
        </w:tc>
        <w:tc>
          <w:tcPr>
            <w:tcW w:type="dxa" w:w="1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Media.</w:t>
            </w:r>
            <w:r>
              <w:rPr>
                <w:color w:val="000000"/>
                <w:sz w:val="18"/>
                <w:szCs w:val="18"/>
              </w:rPr>
              <w:t xml:space="preserve"> Paso 1 hecho; el informe anual es una propuesta; la segunda ronda ya está en la aplicación, sin validar</w:t>
            </w:r>
          </w:p>
        </w:tc>
      </w:tr>
      <w:tr>
        <w:trPr>
          <w:cantSplit/>
        </w:trP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R6.</w:t>
            </w:r>
            <w:r>
              <w:rPr>
                <w:color w:val="000000"/>
                <w:sz w:val="18"/>
                <w:szCs w:val="18"/>
              </w:rPr>
              <w:t xml:space="preserve"> Separar funciones y abrir un canal de reclamos</w:t>
            </w:r>
          </w:p>
        </w:tc>
        <w:tc>
          <w:tcPr>
            <w:tcW w:type="dxa" w:w="1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Política</w:t>
            </w:r>
          </w:p>
        </w:tc>
        <w:tc>
          <w:tcPr>
            <w:tcW w:type="dxa" w:w="3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1. Dirección designa por escrito al custodio, distinto de quien mantiene el sistema.</w:t>
            </w:r>
          </w:p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2. Bitácora por campaña: quién generó la lista, cuándo y con cuántos contactos.</w:t>
            </w:r>
          </w:p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3. Canal para preguntar, corregir datos o reclamar</w:t>
            </w:r>
          </w:p>
        </w:tc>
        <w:tc>
          <w:tcPr>
            <w:tcW w:type="dxa" w:w="1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Antes de la primera campaña. Dirección de LEMAS</w:t>
            </w:r>
          </w:p>
        </w:tc>
        <w:tc>
          <w:tcPr>
            <w:tcW w:type="dxa" w:w="15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Media.</w:t>
            </w:r>
            <w:r>
              <w:rPr>
                <w:color w:val="000000"/>
                <w:sz w:val="18"/>
                <w:szCs w:val="18"/>
              </w:rPr>
              <w:t xml:space="preserve"> Propuesta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i/>
          <w:iCs/>
          <w:color w:val="555555"/>
          <w:sz w:val="17"/>
          <w:szCs w:val="17"/>
        </w:rPr>
        <w:t xml:space="preserve">De las estrategias de prioridad alta, R4 está implementada, R1 lo está en lo que depende del equipo y R3 depende de LEMAS.</w:t>
      </w:r>
    </w:p>
    <w:p>
      <w:pPr>
        <w:pStyle w:val="Heading1"/>
      </w:pPr>
      <w:r>
        <w:t xml:space="preserve">Parte 6. Framework de responsabilidad</w:t>
      </w:r>
    </w:p>
    <w:p>
      <w:pPr>
        <w:spacing w:after="100"/>
        <w:jc w:val="both"/>
      </w:pPr>
      <w:r>
        <w:t xml:space="preserve">Nos guiamos por los principios de la Recomendación de la UNESCO sobre la ética de la IA [4] y por las cuatro funciones del marco de gestión de riesgos del NIST [5]: gobernar, mapear, medir y gestionar.</w:t>
      </w:r>
    </w:p>
    <w:p>
      <w:pPr>
        <w:pStyle w:val="Heading2"/>
      </w:pPr>
      <w:r>
        <w:t xml:space="preserve">6.1 Cadena de responsabilidad</w:t>
      </w:r>
    </w:p>
    <w:p>
      <w:pPr>
        <w:keepNext/>
        <w:spacing w:after="50" w:before="100"/>
      </w:pPr>
      <w:r>
        <w:rPr>
          <w:b/>
          <w:bCs/>
          <w:color w:val="8B1E3F"/>
          <w:sz w:val="18"/>
          <w:szCs w:val="18"/>
        </w:rPr>
        <w:t xml:space="preserve">Tabla 8. </w:t>
      </w:r>
      <w:r>
        <w:rPr>
          <w:b/>
          <w:bCs/>
          <w:sz w:val="18"/>
          <w:szCs w:val="18"/>
        </w:rPr>
        <w:t xml:space="preserve">Quién responde de qué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8"/>
        <w:gridCol w:w="3093"/>
        <w:gridCol w:w="4047"/>
      </w:tblGrid>
      <w:tr>
        <w:trPr>
          <w:tblHeader/>
        </w:trP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3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3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Responsabilidades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3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Rendición de cuentas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Desarrolladores</w:t>
            </w:r>
            <w:r>
              <w:rPr>
                <w:color w:val="000000"/>
                <w:sz w:val="18"/>
                <w:szCs w:val="18"/>
              </w:rPr>
              <w:t xml:space="preserve"> (Guillermo Granizo y José Ulloa)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Implementación técnica correcta y documentación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179 pruebas automáticas e integración continua en cada cambio; los cambios entran por pull request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Científicos de datos</w:t>
            </w:r>
            <w:r>
              <w:rPr>
                <w:color w:val="000000"/>
                <w:sz w:val="18"/>
                <w:szCs w:val="18"/>
              </w:rPr>
              <w:t xml:space="preserve"> (el mismo equipo)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Calidad de los datos, protocolo de validación y equidad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Sistema congelado con huella SHA-256 antes de la prueba final, hecha una sola vez; tabla de equidad por grupo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Product Owner</w:t>
            </w:r>
            <w:r>
              <w:rPr>
                <w:color w:val="000000"/>
                <w:sz w:val="18"/>
                <w:szCs w:val="18"/>
              </w:rPr>
              <w:t xml:space="preserve"> (Guillermo Granizo)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Decisiones de diseño y de alcance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Registro de 53 decisiones con fecha y motivo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Custodio de datos</w:t>
            </w:r>
            <w:r>
              <w:rPr>
                <w:color w:val="000000"/>
                <w:sz w:val="18"/>
                <w:szCs w:val="18"/>
              </w:rPr>
              <w:t xml:space="preserve"> (LEMAS)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Extracción, seudonimización y resguardo de la clave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Acta con huella SHA-256 en cada extracción; huella de la clave en pantalla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Secretaría y Admisiones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Generar la lista, decidir a quién llamar y hacer el contacto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Bitácora por campaña y resultado de cada contacto (propuesto)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Dirección de LEMAS</w:t>
            </w:r>
            <w:r>
              <w:rPr>
                <w:color w:val="000000"/>
                <w:sz w:val="18"/>
                <w:szCs w:val="18"/>
              </w:rPr>
              <w:t xml:space="preserve"> (organización)</w:t>
            </w:r>
          </w:p>
        </w:tc>
        <w:tc>
          <w:tcPr>
            <w:tcW w:type="dxa" w:w="30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Autorizar el uso, fijar sus límites y dar recursos</w:t>
            </w:r>
          </w:p>
        </w:tc>
        <w:tc>
          <w:tcPr>
            <w:tcW w:type="dxa" w:w="40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Autorización del estudio (30-sep-2026); informe anual (propuesto); decide si el sistema se mantiene, se ajusta o se retira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6.2 Mecanismos de accountability</w:t>
      </w:r>
    </w:p>
    <w:p>
      <w:pPr>
        <w:keepNext/>
        <w:spacing w:after="50" w:before="100"/>
      </w:pPr>
      <w:r>
        <w:rPr>
          <w:b/>
          <w:bCs/>
          <w:color w:val="8B1E3F"/>
          <w:sz w:val="18"/>
          <w:szCs w:val="18"/>
        </w:rPr>
        <w:t xml:space="preserve">Tabla 9. </w:t>
      </w:r>
      <w:r>
        <w:rPr>
          <w:b/>
          <w:bCs/>
          <w:sz w:val="18"/>
          <w:szCs w:val="18"/>
        </w:rPr>
        <w:t xml:space="preserve">Estado de cada mecanismo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1070"/>
        <w:gridCol w:w="5118"/>
      </w:tblGrid>
      <w:tr>
        <w:trPr>
          <w:tblHeader/>
        </w:trPr>
        <w:tc>
          <w:tcPr>
            <w:tcW w:type="dxa" w:w="3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3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3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5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3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Dónde o cómo</w:t>
            </w:r>
          </w:p>
        </w:tc>
      </w:tr>
      <w:tr>
        <w:trPr>
          <w:cantSplit/>
        </w:trPr>
        <w:tc>
          <w:tcPr>
            <w:tcW w:type="dxa" w:w="3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Documentación:</w:t>
            </w:r>
            <w:r>
              <w:rPr>
                <w:color w:val="000000"/>
                <w:sz w:val="18"/>
                <w:szCs w:val="18"/>
              </w:rPr>
              <w:t xml:space="preserve"> model card [6]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Hecho</w:t>
            </w:r>
          </w:p>
        </w:tc>
        <w:tc>
          <w:tcPr>
            <w:tcW w:type="dxa" w:w="5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docs/ficha_modelo.md</w:t>
            </w:r>
          </w:p>
        </w:tc>
      </w:tr>
      <w:tr>
        <w:trPr>
          <w:cantSplit/>
        </w:trPr>
        <w:tc>
          <w:tcPr>
            <w:tcW w:type="dxa" w:w="3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Datasheet del conjunto de datos [7]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Hecho</w:t>
            </w:r>
          </w:p>
        </w:tc>
        <w:tc>
          <w:tcPr>
            <w:tcW w:type="dxa" w:w="5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docs/hoja_de_datos.md</w:t>
            </w:r>
          </w:p>
        </w:tc>
      </w:tr>
      <w:tr>
        <w:trPr>
          <w:cantSplit/>
        </w:trPr>
        <w:tc>
          <w:tcPr>
            <w:tcW w:type="dxa" w:w="3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Ethics statement con análisis de riesgos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Hecho</w:t>
            </w:r>
          </w:p>
        </w:tc>
        <w:tc>
          <w:tcPr>
            <w:tcW w:type="dxa" w:w="5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docs/consideraciones_eticas.md y este documento</w:t>
            </w:r>
          </w:p>
        </w:tc>
      </w:tr>
      <w:tr>
        <w:trPr>
          <w:cantSplit/>
        </w:trPr>
        <w:tc>
          <w:tcPr>
            <w:tcW w:type="dxa" w:w="3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Supervisión:</w:t>
            </w:r>
            <w:r>
              <w:rPr>
                <w:color w:val="000000"/>
                <w:sz w:val="18"/>
                <w:szCs w:val="18"/>
              </w:rPr>
              <w:t xml:space="preserve"> revisión humana en decisiones críticas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Hecho</w:t>
            </w:r>
          </w:p>
        </w:tc>
        <w:tc>
          <w:tcPr>
            <w:tcW w:type="dxa" w:w="5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Secretaría decide; la aplicación no contacta ni decide</w:t>
            </w:r>
          </w:p>
        </w:tc>
      </w:tr>
      <w:tr>
        <w:trPr>
          <w:cantSplit/>
        </w:trPr>
        <w:tc>
          <w:tcPr>
            <w:tcW w:type="dxa" w:w="3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Proceso de apelación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Propuesto</w:t>
            </w:r>
          </w:p>
        </w:tc>
        <w:tc>
          <w:tcPr>
            <w:tcW w:type="dxa" w:w="5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Canal de consultas y reclamos, a cargo de LEMAS</w:t>
            </w:r>
          </w:p>
        </w:tc>
      </w:tr>
      <w:tr>
        <w:trPr>
          <w:cantSplit/>
        </w:trPr>
        <w:tc>
          <w:tcPr>
            <w:tcW w:type="dxa" w:w="3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Auditoría periódica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Propuesto</w:t>
            </w:r>
          </w:p>
        </w:tc>
        <w:tc>
          <w:tcPr>
            <w:tcW w:type="dxa" w:w="5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Frecuencia: anual, cada mayo, al cerrar la matrícula</w:t>
            </w:r>
          </w:p>
        </w:tc>
      </w:tr>
      <w:tr>
        <w:trPr>
          <w:cantSplit/>
        </w:trPr>
        <w:tc>
          <w:tcPr>
            <w:tcW w:type="dxa" w:w="3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Monitoreo:</w:t>
            </w:r>
            <w:r>
              <w:rPr>
                <w:color w:val="000000"/>
                <w:sz w:val="18"/>
                <w:szCs w:val="18"/>
              </w:rPr>
              <w:t xml:space="preserve"> métricas de fairness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Parcial</w:t>
            </w:r>
          </w:p>
        </w:tc>
        <w:tc>
          <w:tcPr>
            <w:tcW w:type="dxa" w:w="5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El código las calcula; el seguimiento anual es una propuesta</w:t>
            </w:r>
          </w:p>
        </w:tc>
      </w:tr>
      <w:tr>
        <w:trPr>
          <w:cantSplit/>
        </w:trPr>
        <w:tc>
          <w:tcPr>
            <w:tcW w:type="dxa" w:w="3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Alertas por deriva o anomalías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Parcial</w:t>
            </w:r>
          </w:p>
        </w:tc>
        <w:tc>
          <w:tcPr>
            <w:tcW w:type="dxa" w:w="5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Umbrales definidos (Lift menor que 1,20; cambio de políticas de cobro o reserva). No son automáticas</w:t>
            </w:r>
          </w:p>
        </w:tc>
      </w:tr>
      <w:tr>
        <w:trPr>
          <w:cantSplit/>
        </w:trPr>
        <w:tc>
          <w:tcPr>
            <w:tcW w:type="dxa" w:w="3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Reportes de incidentes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Parcial</w:t>
            </w:r>
          </w:p>
        </w:tc>
        <w:tc>
          <w:tcPr>
            <w:tcW w:type="dxa" w:w="5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Registro de decisiones, con el primer incidente documentado (6.3). Falta un registro propio para la operación</w:t>
            </w:r>
          </w:p>
        </w:tc>
      </w:tr>
      <w:tr>
        <w:trPr>
          <w:cantSplit/>
        </w:trPr>
        <w:tc>
          <w:tcPr>
            <w:tcW w:type="dxa" w:w="3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Transparencia:</w:t>
            </w:r>
            <w:r>
              <w:rPr>
                <w:color w:val="000000"/>
                <w:sz w:val="18"/>
                <w:szCs w:val="18"/>
              </w:rPr>
              <w:t xml:space="preserve"> información sobre el uso de IA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Parcial</w:t>
            </w:r>
          </w:p>
        </w:tc>
        <w:tc>
          <w:tcPr>
            <w:tcW w:type="dxa" w:w="5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Al personal, en la aplicación. A las familias, pendiente</w:t>
            </w:r>
          </w:p>
        </w:tc>
      </w:tr>
      <w:tr>
        <w:trPr>
          <w:cantSplit/>
        </w:trPr>
        <w:tc>
          <w:tcPr>
            <w:tcW w:type="dxa" w:w="3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Comunicación de limitaciones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Hecho</w:t>
            </w:r>
          </w:p>
        </w:tc>
        <w:tc>
          <w:tcPr>
            <w:tcW w:type="dxa" w:w="5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Aplicación, README, ficha del modelo y pitch</w:t>
            </w:r>
          </w:p>
        </w:tc>
      </w:tr>
      <w:tr>
        <w:trPr>
          <w:cantSplit/>
        </w:trPr>
        <w:tc>
          <w:tcPr>
            <w:tcW w:type="dxa" w:w="3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Acceso a explicaciones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Parcial</w:t>
            </w:r>
          </w:p>
        </w:tc>
        <w:tc>
          <w:tcPr>
            <w:tcW w:type="dxa" w:w="5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Al personal: motivo por familia y regla pública. A las familias, pendiente del canal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6.3 Plan de respuesta a incidentes</w:t>
      </w:r>
    </w:p>
    <w:p>
      <w:pPr>
        <w:keepNext/>
        <w:spacing w:after="50" w:before="100"/>
      </w:pPr>
      <w:r>
        <w:rPr>
          <w:b/>
          <w:bCs/>
          <w:color w:val="8B1E3F"/>
          <w:sz w:val="18"/>
          <w:szCs w:val="18"/>
        </w:rPr>
        <w:t xml:space="preserve">Tabla 10. </w:t>
      </w:r>
      <w:r>
        <w:rPr>
          <w:b/>
          <w:bCs/>
          <w:sz w:val="18"/>
          <w:szCs w:val="18"/>
        </w:rPr>
        <w:t xml:space="preserve">Cinco pasos, con el incidente real del 3 de octubre de 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6"/>
        <w:gridCol w:w="4283"/>
        <w:gridCol w:w="3809"/>
      </w:tblGrid>
      <w:tr>
        <w:trPr>
          <w:tblHeader/>
        </w:trPr>
        <w:tc>
          <w:tcPr>
            <w:tcW w:type="dxa" w:w="1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3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3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hacemos</w:t>
            </w:r>
          </w:p>
        </w:tc>
        <w:tc>
          <w:tcPr>
            <w:tcW w:type="dxa" w:w="3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3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Incidente del 3-oct: error en la aplicación pública</w:t>
            </w:r>
          </w:p>
        </w:tc>
      </w:tr>
      <w:tr>
        <w:trPr>
          <w:cantSplit/>
        </w:trPr>
        <w:tc>
          <w:tcPr>
            <w:tcW w:type="dxa" w:w="1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1. Detección</w:t>
            </w:r>
          </w:p>
        </w:tc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Pruebas automáticas en cada cambio, avisos de la aplicación al cargar datos, quejas de familias y revisión de mayo</w:t>
            </w:r>
          </w:p>
        </w:tc>
        <w:tc>
          <w:tcPr>
            <w:tcW w:type="dxa" w:w="3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El Product Owner vio un error al generar la lista después de una actualización</w:t>
            </w:r>
          </w:p>
        </w:tc>
      </w:tr>
      <w:tr>
        <w:trPr>
          <w:cantSplit/>
        </w:trPr>
        <w:tc>
          <w:tcPr>
            <w:tcW w:type="dxa" w:w="1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2. Respuesta inmediata</w:t>
            </w:r>
          </w:p>
        </w:tc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Avisar al custodio y a Dirección. Contener: retirar el archivo o el acceso; si la clave se expuso, dejar de usarla. Volver al contacto habitual</w:t>
            </w:r>
          </w:p>
        </w:tc>
        <w:tc>
          <w:tcPr>
            <w:tcW w:type="dxa" w:w="3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Se reinició la aplicación. No había datos personales: la versión pública solo usa datos sintéticos</w:t>
            </w:r>
          </w:p>
        </w:tc>
      </w:tr>
      <w:tr>
        <w:trPr>
          <w:cantSplit/>
        </w:trPr>
        <w:tc>
          <w:tcPr>
            <w:tcW w:type="dxa" w:w="1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3. Investigación</w:t>
            </w:r>
          </w:p>
        </w:tc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Qué falló, qué datos y cuántas personas están afectados. Reproducir el fallo con una prueba</w:t>
            </w:r>
          </w:p>
        </w:tc>
        <w:tc>
          <w:tcPr>
            <w:tcW w:type="dxa" w:w="3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La plataforma ejecutó el programa nuevo con un módulo antiguo que seguía en memoria</w:t>
            </w:r>
          </w:p>
        </w:tc>
      </w:tr>
      <w:tr>
        <w:trPr>
          <w:cantSplit/>
        </w:trPr>
        <w:tc>
          <w:tcPr>
            <w:tcW w:type="dxa" w:w="1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4. Corrección</w:t>
            </w:r>
          </w:p>
        </w:tc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Reparar. Si hay datos personales, notificar a la autoridad y a los titulares en los plazos de ley (LOPDP, arts. 43 y 46) y dar una explicación a la familia afectada</w:t>
            </w:r>
          </w:p>
        </w:tc>
        <w:tc>
          <w:tcPr>
            <w:tcW w:type="dxa" w:w="3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La aplicación ahora detecta el código que cambió y lo vuelve a cargar</w:t>
            </w:r>
          </w:p>
        </w:tc>
      </w:tr>
      <w:tr>
        <w:trPr>
          <w:cantSplit/>
        </w:trPr>
        <w:tc>
          <w:tcPr>
            <w:tcW w:type="dxa" w:w="1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5. Prevención</w:t>
            </w:r>
          </w:p>
        </w:tc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Dejar una prueba que reproduzca el fallo, registrar lo ocurrido y ajustar el protocolo</w:t>
            </w:r>
          </w:p>
        </w:tc>
        <w:tc>
          <w:tcPr>
            <w:tcW w:type="dxa" w:w="38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Dos pruebas nuevas reproducen el fallo; quedó registrado como decisión D51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Parte 7. Consideraciones de compliance</w:t>
      </w:r>
    </w:p>
    <w:p>
      <w:pPr>
        <w:keepNext/>
        <w:spacing w:after="50" w:before="100"/>
      </w:pPr>
      <w:r>
        <w:rPr>
          <w:b/>
          <w:bCs/>
          <w:color w:val="8B1E3F"/>
          <w:sz w:val="18"/>
          <w:szCs w:val="18"/>
        </w:rPr>
        <w:t xml:space="preserve">Tabla 11. </w:t>
      </w:r>
      <w:r>
        <w:rPr>
          <w:b/>
          <w:bCs/>
          <w:sz w:val="18"/>
          <w:szCs w:val="18"/>
        </w:rPr>
        <w:t xml:space="preserve">Regulaciones revisadas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5"/>
        <w:gridCol w:w="1058"/>
        <w:gridCol w:w="2841"/>
        <w:gridCol w:w="1949"/>
        <w:gridCol w:w="1785"/>
      </w:tblGrid>
      <w:tr>
        <w:trPr>
          <w:tblHeader/>
        </w:trP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3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Regulación</w:t>
            </w:r>
          </w:p>
        </w:tc>
        <w:tc>
          <w:tcPr>
            <w:tcW w:type="dxa" w:w="1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3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¿Aplica?</w:t>
            </w:r>
          </w:p>
        </w:tc>
        <w:tc>
          <w:tcPr>
            <w:tcW w:type="dxa" w:w="2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3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requiere</w:t>
            </w:r>
          </w:p>
        </w:tc>
        <w:tc>
          <w:tcPr>
            <w:tcW w:type="dxa" w:w="1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3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¿Cumplimos?</w:t>
            </w:r>
          </w:p>
        </w:tc>
        <w:tc>
          <w:tcPr>
            <w:tcW w:type="dxa" w:w="1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3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Cambios necesarios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LOPDP</w:t>
            </w:r>
            <w:r>
              <w:rPr>
                <w:color w:val="000000"/>
                <w:sz w:val="18"/>
                <w:szCs w:val="18"/>
              </w:rPr>
              <w:t xml:space="preserve"> (Ecuador, 2021) y su reglamento [1]</w:t>
            </w:r>
          </w:p>
        </w:tc>
        <w:tc>
          <w:tcPr>
            <w:tcW w:type="dxa" w:w="1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2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Base legítima; autorización del representante para datos de menores (art. 21, según nuestra lectura); informar a los titulares (art. 12); seguridad y protección desde el diseño; evaluación de impacto (art. 42); límites a decisiones automatizadas (art. 20)</w:t>
            </w:r>
          </w:p>
        </w:tc>
        <w:tc>
          <w:tcPr>
            <w:tcW w:type="dxa" w:w="1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Parcial.</w:t>
            </w:r>
            <w:r>
              <w:rPr>
                <w:color w:val="000000"/>
                <w:sz w:val="18"/>
                <w:szCs w:val="18"/>
              </w:rPr>
              <w:t xml:space="preserve"> Seguridad y diseño, sí. Solo ordena llamadas de apoyo, sin efectos jurídicos ni impactos graves: por eso entendemos que queda fuera del art. 20</w:t>
            </w:r>
          </w:p>
        </w:tc>
        <w:tc>
          <w:tcPr>
            <w:tcW w:type="dxa" w:w="1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LEMAS: confirmar la base legal, informar a las familias, hacer la evaluación de impacto, registrar el tratamiento y revisar si el uso de Colab fue una transferencia internacional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Norma de la SPDP sobre IA y datos personales</w:t>
            </w:r>
            <w:r>
              <w:rPr>
                <w:color w:val="000000"/>
                <w:sz w:val="18"/>
                <w:szCs w:val="18"/>
              </w:rPr>
              <w:t xml:space="preserve"> (Resolución SPDP-SPD-2026-0009-R) [2]</w:t>
            </w:r>
          </w:p>
        </w:tc>
        <w:tc>
          <w:tcPr>
            <w:tcW w:type="dxa" w:w="1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2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Información clara al titular, gestión de riesgos, evaluación de impacto previa, registro y auditorías según el riesgo</w:t>
            </w:r>
          </w:p>
        </w:tc>
        <w:tc>
          <w:tcPr>
            <w:tcW w:type="dxa" w:w="1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Parcial</w:t>
            </w:r>
          </w:p>
        </w:tc>
        <w:tc>
          <w:tcPr>
            <w:tcW w:type="dxa" w:w="1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Evaluación de impacto y registro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No discriminación e interés superior del niño</w:t>
            </w:r>
            <w:r>
              <w:rPr>
                <w:color w:val="000000"/>
                <w:sz w:val="18"/>
                <w:szCs w:val="18"/>
              </w:rPr>
              <w:t xml:space="preserve"> (Constitución, arts. 11.2, 44 y 66.19; Código de la Niñez, art. 11)</w:t>
            </w:r>
          </w:p>
        </w:tc>
        <w:tc>
          <w:tcPr>
            <w:tcW w:type="dxa" w:w="1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2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No discriminar y poner primero el interés de niñas, niños y adolescentes</w:t>
            </w:r>
          </w:p>
        </w:tc>
        <w:tc>
          <w:tcPr>
            <w:tcW w:type="dxa" w:w="1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Sí en el diseño:</w:t>
            </w:r>
            <w:r>
              <w:rPr>
                <w:color w:val="000000"/>
                <w:sz w:val="18"/>
                <w:szCs w:val="18"/>
              </w:rPr>
              <w:t xml:space="preserve"> no usa nacionalidad, etnia, religión ni salud. La brecha en becadas está en observación</w:t>
            </w:r>
          </w:p>
        </w:tc>
        <w:tc>
          <w:tcPr>
            <w:tcW w:type="dxa" w:w="1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Seguimiento anual por grupo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 Act de la UE</w:t>
            </w:r>
            <w:r>
              <w:rPr>
                <w:color w:val="000000"/>
                <w:sz w:val="18"/>
                <w:szCs w:val="18"/>
              </w:rPr>
              <w:t xml:space="preserve"> (Reglamento 2024/1689) [3]</w:t>
            </w:r>
          </w:p>
        </w:tc>
        <w:tc>
          <w:tcPr>
            <w:tcW w:type="dxa" w:w="1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No (referencia)</w:t>
            </w:r>
          </w:p>
        </w:tc>
        <w:tc>
          <w:tcPr>
            <w:tcW w:type="dxa" w:w="2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Clasifica como alto riesgo los sistemas que determinan el acceso o la admisión a instituciones educativas</w:t>
            </w:r>
          </w:p>
        </w:tc>
        <w:tc>
          <w:tcPr>
            <w:tcW w:type="dxa" w:w="1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A nuestro juicio queda fuera: no decide admisiones</w:t>
            </w:r>
          </w:p>
        </w:tc>
        <w:tc>
          <w:tcPr>
            <w:tcW w:type="dxa" w:w="1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Mantener prohibido el uso para negar cupos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GDPR, CCPA, HIPAA</w:t>
            </w:r>
          </w:p>
        </w:tc>
        <w:tc>
          <w:tcPr>
            <w:tcW w:type="dxa" w:w="1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Titulares y responsable están en Ecuador; no hay datos de salud. Usamos el GDPR como referencia</w:t>
            </w:r>
          </w:p>
        </w:tc>
        <w:tc>
          <w:tcPr>
            <w:tcW w:type="dxa" w:w="1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Leyes laborales</w:t>
            </w:r>
          </w:p>
        </w:tc>
        <w:tc>
          <w:tcPr>
            <w:tcW w:type="dxa" w:w="10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El sistema no decide sobre empleo</w:t>
            </w:r>
          </w:p>
        </w:tc>
        <w:tc>
          <w:tcPr>
            <w:tcW w:type="dxa" w:w="1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color w:val="000000"/>
                <w:sz w:val="18"/>
                <w:szCs w:val="18"/>
              </w:rPr>
              <w:t xml:space="preserve">No usar la lista para evaluar al personal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i/>
          <w:iCs/>
          <w:color w:val="555555"/>
          <w:sz w:val="17"/>
          <w:szCs w:val="17"/>
        </w:rPr>
        <w:t xml:space="preserve">Esta lectura es de un equipo técnico. Para una implementación real, LEMAS necesita la asesoría de su abogado o de su delegado de protección de datos.</w:t>
      </w:r>
    </w:p>
    <w:p>
      <w:pPr>
        <w:pStyle w:val="Heading1"/>
      </w:pPr>
      <w:r>
        <w:t xml:space="preserve">Parte 8. Reflexión y compromiso</w:t>
      </w:r>
    </w:p>
    <w:p>
      <w:pPr>
        <w:pStyle w:val="Heading2"/>
      </w:pPr>
      <w:r>
        <w:t xml:space="preserve">8.1 Reflexión grupal</w:t>
      </w:r>
    </w:p>
    <w:p>
      <w:pPr>
        <w:spacing w:after="100"/>
        <w:jc w:val="both"/>
      </w:pPr>
      <w:r>
        <w:rPr>
          <w:b/>
          <w:bCs/>
        </w:rPr>
        <w:t xml:space="preserve">1. El dilema más difícil: usar o no las señales de pago.</w:t>
      </w:r>
      <w:r>
        <w:t xml:space="preserve"> Las únicas variables que ordenaron bien a las familias son de pago y de reserva, y las de pago reflejan su situación económica. Entran en conflicto dos valores. Uno es el beneficio: llegar a tiempo a quien necesita apoyo. El otro es la justicia y la dignidad: no marcar a una familia por cómo paga. Decidimos usarlas con tres condiciones: la lista solo sirve para ofrecer ayuda, la decisión es de una persona y la lista no muestra montos ni probabilidades. Si LEMAS no puede garantizar ese límite de uso, la lista no debería usarse.</w:t>
      </w:r>
    </w:p>
    <w:p>
      <w:pPr>
        <w:spacing w:after="100"/>
        <w:jc w:val="both"/>
      </w:pPr>
      <w:r>
        <w:rPr>
          <w:b/>
          <w:bCs/>
        </w:rPr>
        <w:t xml:space="preserve">2. Lo que aprendimos y no habíamos considerado.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Dimos por suficiente el interés legítimo de la institución. Al leer el art. 21 de la LOPDP entendimos que, con datos de menores, hace falta confirmar la base legal e informar a las familias.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Predecir no es ayudar. Medimos a quién encuentra la lista, pero no si la llamada cambia la decisión de la familia. Es lo que pasó con el sistema de alerta de deserción de Wisconsin: ordenaba bien a los estudiantes y no se pudo demostrar que mejorara la graduación [10].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El 70 % que la lista no alcanza no es un problema de capacidad, sino de información. En los ciclos anteriores (C2 a C4), el 86 % de los casos son familias que no registran ningún pago, y la regla las encuentra peor que a las que pagan tarde.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Un detalle técnico puede ser un asunto de justicia: entre familias con el mismo puntaje, quién entra en la lista lo decide un sorteo.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Una lista de familias que siguen sin pagar es útil para ayudar y también es casi una lista de cobranza.</w:t>
      </w:r>
    </w:p>
    <w:p>
      <w:pPr>
        <w:spacing w:after="100"/>
        <w:jc w:val="both"/>
      </w:pPr>
      <w:r>
        <w:rPr>
          <w:b/>
          <w:bCs/>
        </w:rPr>
        <w:t xml:space="preserve">3. Lo que cambiamos y lo que cambiaríamos.</w:t>
      </w:r>
      <w:r>
        <w:t xml:space="preserve"> A raíz del análisis ético de esta semana cambiamos tres cosas: la aplicación usa el mismo sorteo que se validó, las listas ya no muestran una probabilidad junto a cada familia y el listado de seguimiento advierte que no es una predicción. Si empezáramos de nuevo, informaríamos a las familias y haríamos la evaluación de impacto antes de tocar los datos, incluiríamos a representantes en el diseño y reservaríamos desde la primera campaña una parte de los contactos para familias elegidas al azar.</w:t>
      </w:r>
    </w:p>
    <w:p>
      <w:pPr>
        <w:pStyle w:val="Heading2"/>
      </w:pPr>
      <w:r>
        <w:t xml:space="preserve">8.2 Compromiso ético</w:t>
      </w:r>
    </w:p>
    <w:p>
      <w:pPr>
        <w:spacing w:after="100"/>
        <w:jc w:val="both"/>
      </w:pPr>
      <w:r>
        <w:t xml:space="preserve">Como creadores de este sistema de IA, nos comprometemos a: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Entregar a Dirección, cada mayo, el Lift de la lista con su intervalo y el recall por beca, sede y subnivel, y recomendar la suspensión si la regla no supera al azar dos años seguidos.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 recomendar el uso operativo mientras LEMAS no informe a las familias y confirme la base legal para tratar datos de menores.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 sacar de LEMAS datos con nombres ni la clave, no volver a procesar la base seudonimizada en servicios externos y mantener en el repositorio solo datos sintéticos y resultados agregados.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Actuar responsablemente si se identifican daños: avisar, corregir y dejar registro.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Priorizar el bienestar de las familias con dificultades económicas, de las becadas y de los estudiantes, que son menores de edad.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Mantener la transparencia sobre las limitaciones: la lista no alcanza al 70 % de los casos y los modelos de IA no superaron a una regla simple.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0"/>
              <w:right w:type="dxa" w:w="300"/>
            </w:tcMar>
          </w:tcPr>
          <w:p>
            <w:pPr>
              <w:spacing w:after="40" w:befor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Guillermo Leonidas Granizo Veintimilla</w:t>
            </w:r>
          </w:p>
          <w:p>
            <w:pPr>
              <w:spacing w:after="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0"/>
              <w:right w:type="dxa" w:w="300"/>
            </w:tcMar>
          </w:tcPr>
          <w:p>
            <w:pPr>
              <w:spacing w:after="40" w:before="2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José Farid Ulloa Manzur</w:t>
            </w:r>
          </w:p>
          <w:p>
            <w:pPr>
              <w:spacing w:after="0"/>
              <w:jc w:val="center"/>
            </w:pPr>
            <w:r>
              <w:rPr>
                <w:color w:val="555555"/>
                <w:sz w:val="18"/>
                <w:szCs w:val="18"/>
              </w:rPr>
              <w:t xml:space="preserve">Scrum Master</w:t>
            </w:r>
          </w:p>
        </w:tc>
      </w:tr>
    </w:tbl>
    <w:p>
      <w:pPr>
        <w:spacing w:after="160" w:before="120"/>
        <w:jc w:val="center"/>
      </w:pPr>
      <w:r>
        <w:rPr>
          <w:sz w:val="20"/>
          <w:szCs w:val="20"/>
        </w:rPr>
        <w:t xml:space="preserve">Guayaquil, 3 de octubre de 2026</w:t>
      </w:r>
    </w:p>
    <w:p>
      <w:pPr>
        <w:pStyle w:val="Heading2"/>
      </w:pPr>
      <w:r>
        <w:t xml:space="preserve">Referencias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17"/>
          <w:szCs w:val="17"/>
        </w:rPr>
        <w:t xml:space="preserve">República del Ecuador, Ley Orgánica de Protección de Datos Personales, Registro Oficial, Quinto Suplemento n.º 459, 26 de mayo de 2021.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17"/>
          <w:szCs w:val="17"/>
        </w:rPr>
        <w:t xml:space="preserve">Superintendencia de Protección de Datos Personales, Resolución SPDP-SPD-2026-0009-R, Norma general para la garantía del derecho de protección de datos personales en el uso de sistemas de inteligencia artificial, 12 de febrero de 2026.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17"/>
          <w:szCs w:val="17"/>
        </w:rPr>
        <w:t xml:space="preserve">Unión Europea, Reglamento (UE) 2024/1689 (Ley de Inteligencia Artificial), anexo III, punto 3.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17"/>
          <w:szCs w:val="17"/>
        </w:rPr>
        <w:t xml:space="preserve">UNESCO, Recomendación sobre la ética de la inteligencia artificial, 2021.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17"/>
          <w:szCs w:val="17"/>
        </w:rPr>
        <w:t xml:space="preserve">NIST, Artificial Intelligence Risk Management Framework (AI RMF 1.0), NIST AI 100-1, 2023.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17"/>
          <w:szCs w:val="17"/>
        </w:rPr>
        <w:t xml:space="preserve">M. Mitchell et al., «Model cards for model reporting», Proc. FAT*, 2019, pp. 220–229.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17"/>
          <w:szCs w:val="17"/>
        </w:rPr>
        <w:t xml:space="preserve">T. Gebru et al., «Datasheets for datasets», Communications of the ACM, vol. 64, n.º 12, pp. 86–92, 2021.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17"/>
          <w:szCs w:val="17"/>
        </w:rPr>
        <w:t xml:space="preserve">H. Weerts et al., «Fairlearn: Assessing and improving fairness of AI systems», JMLR, vol. 24, n.º 257, 2023.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17"/>
          <w:szCs w:val="17"/>
        </w:rPr>
        <w:t xml:space="preserve">R. S. Baker y A. Hawn, «Algorithmic bias in education», Int. J. Artif. Intell. Educ., vol. 32, pp. 1052–1092, 2022.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sz w:val="17"/>
          <w:szCs w:val="17"/>
        </w:rPr>
        <w:t xml:space="preserve">J. C. Perdomo, T. Britton, M. Hardt y R. Abebe, «Difficult lessons on social prediction from Wisconsin public schools», Proc. ACM FAccT, 2025.</w:t>
      </w:r>
    </w:p>
    <w:p>
      <w:pPr>
        <w:spacing w:after="120"/>
      </w:pPr>
      <w:r>
        <w:rPr>
          <w:i/>
          <w:iCs/>
          <w:color w:val="555555"/>
          <w:sz w:val="17"/>
          <w:szCs w:val="17"/>
        </w:rPr>
        <w:t xml:space="preserve">Repositorio y documentación completa: github.com/ggranizo2507/prediccion-matricula-lemas (docs/consideraciones_eticas.md, docs/ficha_modelo.md, docs/hoja_de_datos.md).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1E3F" w:sz="6" w:space="4"/>
      </w:pBdr>
      <w:jc w:val="right"/>
    </w:pPr>
    <w:r>
      <w:rPr>
        <w:color w:val="666666"/>
        <w:sz w:val="16"/>
        <w:szCs w:val="16"/>
      </w:rPr>
      <w:t xml:space="preserve">UEES · Workshop: impacto social y responsabilidad · Predicción de matrícula LEMAS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10" w:hanging="255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10" w:hanging="5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10" w:before="220"/>
      <w:outlineLvl w:val="0"/>
    </w:pPr>
    <w:rPr>
      <w:rFonts w:ascii="Calibri" w:cs="Calibri" w:eastAsia="Calibri" w:hAnsi="Calibri"/>
      <w:b/>
      <w:bCs/>
      <w:color w:val="8B1E3F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70" w:before="140"/>
      <w:outlineLvl w:val="1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Workshop: impacto social y responsabilidad · Predicción de matrícula LEMAS</dc:title>
  <dc:creator>Guillermo Granizo y José Ulloa</dc:creator>
  <cp:lastModifiedBy>Un-named</cp:lastModifiedBy>
  <cp:revision>1</cp:revision>
  <dcterms:created xsi:type="dcterms:W3CDTF">2026-10-18T14:01:05.360Z</dcterms:created>
  <dcterms:modified xsi:type="dcterms:W3CDTF">2026-10-18T14:01:05.364Z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