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(01-oct-2026),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(01-oct-2026)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Procesamiento solo en Colab autorizado; los resultados se publican agregados y con supresión de celdas menores a cinco; la reidentificación la realiza únicamente el custodio.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Estable (brecha 0,000)</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0,104</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El rendimiento es especialmente alto en Preparatoria (Precision@k = 0,38; Recall@k = 0,42), donde las transiciones tempranas combinan riesgo y señales de pago.</w:t>
      </w:r>
    </w:p>
    <w:p>
      <w:pPr>
        <w:spacing w:after="120"/>
        <w:jc w:val="both"/>
      </w:pPr>
      <w:r>
        <w:rPr>
          <w:b/>
          <w:bCs/>
        </w:rPr>
        <w:t xml:space="preserve">Dónde no funciona.</w:t>
      </w:r>
      <w:r>
        <w:t xml:space="preserve"> El </w:t>
      </w:r>
      <w:r>
        <w:rPr>
          <w:b/>
          <w:bCs/>
        </w:rPr>
        <w:t xml:space="preserve">70 % de las familias que no se matricularon quedó fuera del top-k</w:t>
      </w:r>
      <w:r>
        <w:t xml:space="preserve"> (Recall@k = 0,30). La regla solo puede adelantar a familias con señales administrativas; quienes pagaron a tiempo, reservaron en periodo ordinario y no tuvieron atrasos quedan necesariamente al final de la lista. Los motivos de esas familias (cambio de domicilio, traslado a otro colegio, decisiones familiares) no están en los datos, por lo que ningún modelo con estas variables puede anticiparlos. Esta es la principal limitación del sistema y orienta el trabajo futuro hacia nuevas fuentes de información (interacción con Secretaría, encuestas de satisfacción).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(0,104):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C4 muestra que lo que ordena a las familias es la </w:t>
      </w:r>
      <w:r>
        <w:rPr>
          <w:b/>
          <w:bCs/>
        </w:rPr>
        <w:t xml:space="preserve">reserva extraordinaria</w:t>
      </w:r>
      <w:r>
        <w:t xml:space="preserve">, los </w:t>
      </w:r>
      <w:r>
        <w:rPr>
          <w:b/>
          <w:bCs/>
        </w:rPr>
        <w:t xml:space="preserve">atrasos en pensiones</w:t>
      </w:r>
      <w:r>
        <w:t xml:space="preserve"> y la </w:t>
      </w:r>
      <w:r>
        <w:rPr>
          <w:b/>
          <w:bCs/>
        </w:rPr>
        <w:t xml:space="preserve">puntualidad del pago anterior</w:t>
      </w:r>
      <w:r>
        <w:t xml:space="preserve">; promedio y subnivel aportan muy poco, y sede, beca, hermanos, permanencia y conducta no aportan. SHAP indica que promedio y es_nuevo mueven la probabilidad, pero un efecto grande en la probabilidad no equivale a capacidad de ordenar. La información útil está en el comportamiento de pago y el tipo de reserva, exactamente lo que resume D2.</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grupos con menos de 5 eventos ocultos)." title="Recall@k de la priorización D2 por grupo en C5 (grupos con menos de 5 evento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(grupos con menos de 5 eventos ocultos).</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notebooks/00a–05</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(102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60" w:before="120"/>
        <w:jc w:val="center"/>
      </w:pPr>
      <w:r>
        <w:drawing>
          <wp:inline distT="0" distB="0" distL="0" distR="0">
            <wp:extent cx="5400675" cy="3857625"/>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7625"/>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(D01–D45).</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Limitaciones éticas reconocidas:</w:t>
      </w:r>
      <w:r>
        <w:t xml:space="preserve"> las familias no fueron consultadas (base: interés legítimo institucional con autorización); la equidad no puede afirmarse con pocos eventos por grupo; la regla refleja el pasado y debe revalidarse; no se midió el efecto causal del contacto; y la aplicación institucional muestra nombres a personal autorizado, por lo que su protección depende de que LEMAS limite quién usa el equipo y quién tiene la clave. El análisis completo está en docs/consideraciones_eticas.md.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y medir el efecto causal del contacto con un piloto controlado.</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34.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35.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36.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ética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d715376b96e5f8223a113b5d173386bf6d542bf6.png"/><Relationship Id="rId15" Type="http://schemas.openxmlformats.org/officeDocument/2006/relationships/image" Target="media/218c55f1a82d284c86bbed50bbcbee0e37277bb2.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9b301a7e7ffc5b5371c5bded91e73891399bd036.png"/><Relationship Id="rId20" Type="http://schemas.openxmlformats.org/officeDocument/2006/relationships/image" Target="media/e32fd687062255497a412b56b0c198a18062d4f5.png"/><Relationship Id="rId21" Type="http://schemas.openxmlformats.org/officeDocument/2006/relationships/image" Target="media/05d4b496cd649449ae131e5b2c4eb014417ed84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2026-10-02T02:13:34.908Z</dcterms:created>
  <dcterms:modified xsi:type="dcterms:W3CDTF">2026-10-02T02:13:34.916Z</dcterms:modified>
</cp:coreProperties>
</file>

<file path=docProps/custom.xml><?xml version="1.0" encoding="utf-8"?>
<Properties xmlns="http://schemas.openxmlformats.org/officeDocument/2006/custom-properties" xmlns:vt="http://schemas.openxmlformats.org/officeDocument/2006/docPropsVTypes"/>
</file>