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8B1E3F"/>
          <w:sz w:val="26"/>
          <w:szCs w:val="26"/>
        </w:rPr>
        <w:t xml:space="preserve">UNIVERSIDAD DE ESPECIALIDADES ESPÍRITU SANTO</w:t>
      </w:r>
    </w:p>
    <w:p>
      <w:pPr>
        <w:spacing w:after="600"/>
        <w:jc w:val="center"/>
      </w:pPr>
      <w:r>
        <w:rPr>
          <w:sz w:val="22"/>
          <w:szCs w:val="22"/>
        </w:rPr>
        <w:t xml:space="preserve">Maestría en Inteligencia Artificial · Proyecto integrador</w:t>
      </w:r>
    </w:p>
    <w:p>
      <w:pPr>
        <w:spacing w:after="200"/>
        <w:jc w:val="center"/>
      </w:pPr>
      <w:r>
        <w:rPr>
          <w:b/>
          <w:bCs/>
          <w:sz w:val="44"/>
          <w:szCs w:val="44"/>
        </w:rPr>
        <w:t xml:space="preserve">Predicción de matrícula y continuidad estudiantil</w:t>
      </w:r>
    </w:p>
    <w:p>
      <w:pPr>
        <w:spacing w:after="900"/>
        <w:jc w:val="center"/>
      </w:pPr>
      <w:r>
        <w:rPr>
          <w:i/>
          <w:iCs/>
          <w:sz w:val="26"/>
          <w:szCs w:val="26"/>
        </w:rPr>
        <w:t xml:space="preserve">Priorización de contacto a familias con reserva aprobada en la Unidad Educativa LEMAS</w:t>
      </w:r>
    </w:p>
    <w:p>
      <w:pPr>
        <w:jc w:val="center"/>
      </w:pPr>
      <w:r>
        <w:rPr>
          <w:b/>
          <w:bCs/>
          <w:sz w:val="24"/>
          <w:szCs w:val="24"/>
        </w:rPr>
        <w:t xml:space="preserve">Documento técnico final · versión 6</w:t>
      </w:r>
    </w:p>
    <w:p>
      <w:pPr>
        <w:spacing w:after="700"/>
        <w:jc w:val="center"/>
      </w:pPr>
      <w:r>
        <w:rPr>
          <w:sz w:val="22"/>
          <w:szCs w:val="22"/>
        </w:rPr>
        <w:t xml:space="preserve">Resultados con datos reales, validación temporal y prototipo desplegado</w:t>
      </w:r>
    </w:p>
    <w:p>
      <w:pPr>
        <w:jc w:val="center"/>
      </w:pPr>
      <w:r>
        <w:rPr>
          <w:b/>
          <w:bCs/>
          <w:sz w:val="22"/>
          <w:szCs w:val="22"/>
        </w:rPr>
        <w:t xml:space="preserve">Equipo</w:t>
      </w:r>
    </w:p>
    <w:p>
      <w:pPr>
        <w:jc w:val="center"/>
      </w:pPr>
      <w:r>
        <w:rPr>
          <w:sz w:val="22"/>
          <w:szCs w:val="22"/>
        </w:rPr>
        <w:t xml:space="preserve">Guillermo Leonidas Granizo Veintimilla · Product Owner</w:t>
      </w:r>
    </w:p>
    <w:p>
      <w:pPr>
        <w:spacing w:after="500"/>
        <w:jc w:val="center"/>
      </w:pPr>
      <w:r>
        <w:rPr>
          <w:sz w:val="22"/>
          <w:szCs w:val="22"/>
        </w:rPr>
        <w:t xml:space="preserve">José Farid Ulloa Manzur · Scrum Master</w:t>
      </w:r>
    </w:p>
    <w:p>
      <w:pPr>
        <w:jc w:val="center"/>
      </w:pPr>
      <w:r>
        <w:rPr>
          <w:sz w:val="20"/>
          <w:szCs w:val="20"/>
        </w:rPr>
        <w:t xml:space="preserve">Repositorio: github.com/ggranizo2507/prediccion-matricula-lemas</w:t>
      </w:r>
    </w:p>
    <w:p>
      <w:pPr>
        <w:jc w:val="center"/>
      </w:pPr>
      <w:r>
        <w:rPr>
          <w:sz w:val="20"/>
          <w:szCs w:val="20"/>
        </w:rPr>
        <w:t xml:space="preserve">Aplicación: continuidad-matricula-lemas.streamlit.app</w:t>
      </w:r>
    </w:p>
    <w:p>
      <w:pPr>
        <w:spacing w:before="500"/>
        <w:jc w:val="center"/>
      </w:pPr>
      <w:r>
        <w:rPr>
          <w:sz w:val="22"/>
          <w:szCs w:val="22"/>
        </w:rPr>
        <w:t xml:space="preserve">Guayaquil, octubre de 2026</w:t>
      </w:r>
    </w:p>
    <w:p>
      <w:pPr>
        <w:pageBreakBefore/>
      </w:pPr>
      <w:r>
        <w:rPr>
          <w:b/>
          <w:bCs/>
          <w:color w:val="8B1E3F"/>
          <w:sz w:val="32"/>
          <w:szCs w:val="32"/>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pPr>
        <w:spacing w:after="160"/>
      </w:pPr>
      <w:r>
        <w:rPr>
          <w:i/>
          <w:iCs/>
          <w:color w:val="555555"/>
          <w:sz w:val="18"/>
          <w:szCs w:val="18"/>
        </w:rPr>
        <w:t xml:space="preserve">Para actualizar el índice en Word: clic derecho sobre él → Actualizar campos → Actualizar toda la tabla.</w:t>
      </w:r>
    </w:p>
    <w:p>
      <w:pPr>
        <w:pStyle w:val="Heading1"/>
        <w:pageBreakBefore/>
      </w:pPr>
      <w:r>
        <w:t xml:space="preserve">Resumen ejecutivo</w:t>
      </w:r>
    </w:p>
    <w:p>
      <w:pPr>
        <w:spacing w:after="120"/>
        <w:jc w:val="both"/>
      </w:pPr>
      <w:r>
        <w:t xml:space="preserve">La Unidad Educativa LEMAS (Guayaquil, sedes Mucho Lote 1 y Mucho Lote 2) recibe cada año reservas gratuitas con las que las familias declaran su intención de continuar el ciclo siguiente. Una reserva aprobada no garantiza el pago de la matrícula: entre el </w:t>
      </w:r>
      <w:r>
        <w:rPr>
          <w:b/>
          <w:bCs/>
        </w:rPr>
        <w:t xml:space="preserve">6 % y el 11 %</w:t>
      </w:r>
      <w:r>
        <w:t xml:space="preserve"> de los estudiantes elegibles de cada cohorte no paga entre el 20 de febrero (corte t0) y el 30 de abril (horizonte H). La institución se entera tarde, sin tiempo para ofrecer apoyo ni planificar cupos.</w:t>
      </w:r>
    </w:p>
    <w:p>
      <w:pPr>
        <w:spacing w:after="120"/>
        <w:jc w:val="both"/>
      </w:pPr>
      <w:r>
        <w:t xml:space="preserve">El proyecto construyó un sistema que, al 20 de febrero, </w:t>
      </w:r>
      <w:r>
        <w:rPr>
          <w:b/>
          <w:bCs/>
        </w:rPr>
        <w:t xml:space="preserve">prioriza a qué familias contactar</w:t>
      </w:r>
      <w:r>
        <w:t xml:space="preserve"> dentro de la capacidad real de cada sede y </w:t>
      </w:r>
      <w:r>
        <w:rPr>
          <w:b/>
          <w:bCs/>
        </w:rPr>
        <w:t xml:space="preserve">proyecta la matrícula</w:t>
      </w:r>
      <w:r>
        <w:t xml:space="preserve"> por sede y subnivel. Se trabajó con datos reales autorizados y seudonimizados de seis ciclos (9.031 registros, 2.733 estudiantes, 2.017 representantes) y validación temporal estricta: entrenamiento con C2–C3, selección en C4 y una </w:t>
      </w:r>
      <w:r>
        <w:rPr>
          <w:b/>
          <w:bCs/>
        </w:rPr>
        <w:t xml:space="preserve">prueba única en C5</w:t>
      </w:r>
      <w:r>
        <w:t xml:space="preserve"> (matrícula 2026–2027) con el sistema congelado.</w:t>
      </w:r>
    </w:p>
    <w:p>
      <w:pPr>
        <w:keepNext/>
        <w:spacing w:after="60" w:before="120"/>
      </w:pPr>
      <w:r>
        <w:rPr>
          <w:b/>
          <w:bCs/>
          <w:color w:val="8B1E3F"/>
          <w:sz w:val="18"/>
          <w:szCs w:val="18"/>
        </w:rPr>
        <w:t xml:space="preserve">Tabla 1. </w:t>
      </w:r>
      <w:r>
        <w:rPr>
          <w:b/>
          <w:bCs/>
          <w:sz w:val="18"/>
          <w:szCs w:val="18"/>
        </w:rPr>
        <w:t xml:space="preserve">Resultados principales en la prueba final (C5)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0"/>
        <w:gridCol w:w="3504"/>
        <w:gridCol w:w="1754"/>
      </w:tblGrid>
      <w:tr>
        <w:trPr>
          <w:tblHeader/>
        </w:trPr>
        <w:tc>
          <w:tcPr>
            <w:tcW w:type="dxa" w:w="4380"/>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Indicador</w:t>
            </w:r>
          </w:p>
        </w:tc>
        <w:tc>
          <w:tcPr>
            <w:tcW w:type="dxa" w:w="3504"/>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Resultado</w:t>
            </w:r>
          </w:p>
        </w:tc>
        <w:tc>
          <w:tcPr>
            <w:tcW w:type="dxa" w:w="1754"/>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Meta</w:t>
            </w:r>
          </w:p>
        </w:tc>
      </w:tr>
      <w:tr>
        <w:trPr>
          <w:cantSplit/>
        </w:trPr>
        <w:tc>
          <w:tcPr>
            <w:tcW w:type="dxa" w:w="438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Lift@k familiar de la solución (regla D2)</w:t>
            </w:r>
          </w:p>
        </w:tc>
        <w:tc>
          <w:tcPr>
            <w:tcW w:type="dxa" w:w="350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1,97 [IC 95 %: 1,24 – 2,56]</w:t>
            </w:r>
          </w:p>
        </w:tc>
        <w:tc>
          <w:tcPr>
            <w:tcW w:type="dxa" w:w="175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 1,20 ✅</w:t>
            </w:r>
          </w:p>
        </w:tc>
      </w:tr>
      <w:tr>
        <w:trPr>
          <w:cantSplit/>
        </w:trPr>
        <w:tc>
          <w:tcPr>
            <w:tcW w:type="dxa" w:w="438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Precision@k familiar</w:t>
            </w:r>
          </w:p>
        </w:tc>
        <w:tc>
          <w:tcPr>
            <w:tcW w:type="dxa" w:w="350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0,133 (tasa base 0,068)</w:t>
            </w:r>
          </w:p>
        </w:tc>
        <w:tc>
          <w:tcPr>
            <w:tcW w:type="dxa" w:w="175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&gt; tasa base ✅</w:t>
            </w:r>
          </w:p>
        </w:tc>
      </w:tr>
      <w:tr>
        <w:trPr>
          <w:cantSplit/>
        </w:trPr>
        <w:tc>
          <w:tcPr>
            <w:tcW w:type="dxa" w:w="438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Recall@k (familias con no matrícula alcanzadas)</w:t>
            </w:r>
          </w:p>
        </w:tc>
        <w:tc>
          <w:tcPr>
            <w:tcW w:type="dxa" w:w="350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30 % contactando al 15 % de las familias</w:t>
            </w:r>
          </w:p>
        </w:tc>
        <w:tc>
          <w:tcPr>
            <w:tcW w:type="dxa" w:w="175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Reportar ✅</w:t>
            </w:r>
          </w:p>
        </w:tc>
      </w:tr>
      <w:tr>
        <w:trPr>
          <w:cantSplit/>
        </w:trPr>
        <w:tc>
          <w:tcPr>
            <w:tcW w:type="dxa" w:w="438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Brier del modelo calibrado / B1</w:t>
            </w:r>
          </w:p>
        </w:tc>
        <w:tc>
          <w:tcPr>
            <w:tcW w:type="dxa" w:w="350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0,0648 / 0,0647</w:t>
            </w:r>
          </w:p>
        </w:tc>
        <w:tc>
          <w:tcPr>
            <w:tcW w:type="dxa" w:w="175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&lt; B1 ❌ (empate)</w:t>
            </w:r>
          </w:p>
        </w:tc>
      </w:tr>
      <w:tr>
        <w:trPr>
          <w:cantSplit/>
        </w:trPr>
        <w:tc>
          <w:tcPr>
            <w:tcW w:type="dxa" w:w="438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MAPE de la proyección por sede y subnivel</w:t>
            </w:r>
          </w:p>
        </w:tc>
        <w:tc>
          <w:tcPr>
            <w:tcW w:type="dxa" w:w="350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2,8 % (B1: 2,8 %)</w:t>
            </w:r>
          </w:p>
        </w:tc>
        <w:tc>
          <w:tcPr>
            <w:tcW w:type="dxa" w:w="175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 15 % ✅ · &lt; B1 ❌</w:t>
            </w:r>
          </w:p>
        </w:tc>
      </w:tr>
    </w:tbl>
    <w:p>
      <w:pPr>
        <w:spacing w:after="120"/>
      </w:pPr>
    </w:p>
    <w:p>
      <w:pPr>
        <w:spacing w:after="120"/>
        <w:jc w:val="both"/>
      </w:pPr>
      <w:r>
        <w:rPr>
          <w:b/>
          <w:bCs/>
        </w:rPr>
        <w:t xml:space="preserve">Hallazgo central.</w:t>
      </w:r>
      <w:r>
        <w:t xml:space="preserve"> La mejor priorización fue una regla transparente derivada del análisis de datos —</w:t>
      </w:r>
      <w:r>
        <w:rPr>
          <w:b/>
          <w:bCs/>
        </w:rPr>
        <w:t xml:space="preserve">D2: primero quien pagó tarde la matrícula anterior, luego la reserva extraordinaria y luego más pensiones pagadas tarde</w:t>
      </w:r>
      <w:r>
        <w:t xml:space="preserve">—, que casi duplica la efectividad del contacto frente al azar. Tres modelos de aprendizaje automático optimizados con Optuna (regresión logística elastic-net, gradient boosting monótono y una logística híbrida) </w:t>
      </w:r>
      <w:r>
        <w:rPr>
          <w:b/>
          <w:bCs/>
        </w:rPr>
        <w:t xml:space="preserve">no superaron a la regla</w:t>
      </w:r>
      <w:r>
        <w:t xml:space="preserve"> con 193 eventos de entrenamiento: el modelo de árboles se sobreajustó y los lineales se quedaron cortos. Este resultado, previsto en el diseño y documentado con intervalos de confianza, es honesto y útil: la IA sirvió para </w:t>
      </w:r>
      <w:r>
        <w:rPr>
          <w:b/>
          <w:bCs/>
        </w:rPr>
        <w:t xml:space="preserve">descubrir, validar y cuantificar</w:t>
      </w:r>
      <w:r>
        <w:t xml:space="preserve"> la regla y para medir su incertidumbre.</w:t>
      </w:r>
    </w:p>
    <w:p>
      <w:pPr>
        <w:spacing w:after="120"/>
        <w:jc w:val="both"/>
      </w:pPr>
      <w:r>
        <w:rPr>
          <w:b/>
          <w:bCs/>
        </w:rPr>
        <w:t xml:space="preserve">Aclaración sobre el origen de D2 (revisión final, D59).</w:t>
      </w:r>
      <w:r>
        <w:t xml:space="preserve"> El orden de las señales de D2 se tomó del análisis exploratorio, que calculó las tasas de no matrícula con las cinco cohortes, incluidas C4 (selección) y C5 (prueba). Ningún parámetro se estimó con esas cohortes y nada se cambió después de ver C5, pero el diseño de la regla sí vio sus tasas de forma agregada: la prueba en C5 es </w:t>
      </w:r>
      <w:r>
        <w:rPr>
          <w:b/>
          <w:bCs/>
        </w:rPr>
        <w:t xml:space="preserve">fuera de ajuste, no fuera de diseño</w:t>
      </w:r>
      <w:r>
        <w:t xml:space="preserve">. Para comprobar si eso cambió algo, se repitió el cálculo solo con las cohortes anteriores a la selección (cuaderno 08). Con C1–C3, el riesgo relativo del pago tardío de la matrícula anterior es 2,88; el de la reserva extraordinaria, 1,47, y el de al menos una pensión pagada tarde, 1,27: </w:t>
      </w:r>
      <w:r>
        <w:rPr>
          <w:b/>
          <w:bCs/>
        </w:rPr>
        <w:t xml:space="preserve">el mismo orden de D2</w:t>
      </w:r>
      <w:r>
        <w:t xml:space="preserve">. Con C2–C3, las cohortes de entrenamiento, también (2,95; 1,50 y 1,32). Por cohorte separada, el orden de las dos últimas señales se invierte en C1 y C2, porque su diferencia es pequeña; el pago tardío es la señal más fuerte en todas las cohortes con casos suficientes. D2 se habría construido igual sin mirar C4 ni C5.</w:t>
      </w:r>
    </w:p>
    <w:p>
      <w:pPr>
        <w:spacing w:after="120"/>
        <w:jc w:val="both"/>
      </w:pPr>
      <w:r>
        <w:rPr>
          <w:b/>
          <w:bCs/>
        </w:rPr>
        <w:t xml:space="preserve">Límite principal.</w:t>
      </w:r>
      <w:r>
        <w:t xml:space="preserve"> La lista encuentra cerca del 30 % de las familias que no se matriculan y deja fuera al 70 %. Tenía más cupos (165) que casos (74), así que el límite es de señal: el 20 de febrero los datos no distinguen a la mayoría. En las otras cohortes el Lift de la regla fue menor (1,38 a 1,93), y en C4 depende del sorteo entre familias con el mismo puntaje (1,53 a 1,99; media 1,75). El 86 % de los casos son familias que no registran ningún pago, y son las que la regla encuentra peor. Un análisis descriptivo con C2 a C4 indica que la mejora está en una segunda etapa a mitad de campaña, con las familias que siguen sin pagar; la aplicación ya produce ese listado, pero la estrategia no está validada.</w:t>
      </w:r>
    </w:p>
    <w:p>
      <w:pPr>
        <w:spacing w:after="120"/>
        <w:jc w:val="both"/>
      </w:pPr>
      <w:r>
        <w:t xml:space="preserve">El prototipo es una </w:t>
      </w:r>
      <w:r>
        <w:rPr>
          <w:b/>
          <w:bCs/>
        </w:rPr>
        <w:t xml:space="preserve">aplicación Streamlit en dos modos</w:t>
      </w:r>
      <w:r>
        <w:t xml:space="preserve">: una demostración pública que solo acepta datos sintéticos y un modo institucional que se ejecuta dentro de LEMAS. La privacidad de los menores se protege con seudonimización HMAC-SHA256 con clave custodiada, supresión de celdas menores a cinco y decisión humana obligatoria.</w:t>
      </w:r>
    </w:p>
    <w:p>
      <w:pPr>
        <w:pStyle w:val="Heading1"/>
        <w:pageBreakBefore/>
      </w:pPr>
      <w:r>
        <w:t xml:space="preserve">1. Planteamiento del problema</w:t>
      </w:r>
    </w:p>
    <w:p>
      <w:pPr>
        <w:pStyle w:val="Heading2"/>
      </w:pPr>
      <w:r>
        <w:t xml:space="preserve">1.1 Situación problemática</w:t>
      </w:r>
    </w:p>
    <w:p>
      <w:pPr>
        <w:spacing w:after="120"/>
        <w:jc w:val="both"/>
      </w:pPr>
      <w:r>
        <w:t xml:space="preserve">En LEMAS, el representante de un estudiante actual declara entre septiembre y noviembre su deseo de continuar el siguiente ciclo (reserva ordinaria o extraordinaria). La reserva es gratuita y no es matrícula. Cuando el colegio la aprueba, el estudiante cumple las condiciones académicas, comportamentales y administrativas; la matrícula se confirma solo con el </w:t>
      </w:r>
      <w:r>
        <w:rPr>
          <w:b/>
          <w:bCs/>
        </w:rPr>
        <w:t xml:space="preserve">pago</w:t>
      </w:r>
      <w:r>
        <w:t xml:space="preserve">, que se abre el 20 de febrero. Algunas familias con reserva aprobada no pagan dentro del plazo, lo que genera incertidumbre para planificar paralelos, docentes, presupuesto y seguimiento.</w:t>
      </w:r>
    </w:p>
    <w:p>
      <w:pPr>
        <w:keepNext/>
        <w:spacing w:after="60" w:before="120"/>
      </w:pPr>
      <w:r>
        <w:rPr>
          <w:b/>
          <w:bCs/>
          <w:color w:val="8B1E3F"/>
          <w:sz w:val="18"/>
          <w:szCs w:val="18"/>
        </w:rPr>
        <w:t xml:space="preserve">Tabla 2. </w:t>
      </w:r>
      <w:r>
        <w:rPr>
          <w:b/>
          <w:bCs/>
          <w:sz w:val="18"/>
          <w:szCs w:val="18"/>
        </w:rPr>
        <w:t xml:space="preserve">Actores afectados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Actor</w:t>
            </w:r>
          </w:p>
        </w:tc>
        <w:tc>
          <w:tcPr>
            <w:tcW w:type="dxa" w:w="7229"/>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Afectación</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Familias y estudiantes</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Reciben comunicación tardía o poco pertinente sobre la continuidad.</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Dirección</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Decide capacidad, metas y presupuesto con incertidumbre.</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Coordinación académica</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Planifica paralelos y carga docente sin proyección temprana.</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Secretaría y Admisiones</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Contactan con criterios generales y no por prioridad.</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Finanzas</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Proyecta ingresos con información incompleta.</w:t>
            </w:r>
          </w:p>
        </w:tc>
      </w:tr>
    </w:tbl>
    <w:p>
      <w:pPr>
        <w:spacing w:after="120"/>
      </w:pPr>
    </w:p>
    <w:p>
      <w:pPr>
        <w:pStyle w:val="Heading2"/>
      </w:pPr>
      <w:r>
        <w:t xml:space="preserve">1.2 Pregunta de investigación e hipótesis</w:t>
      </w:r>
    </w:p>
    <w:p>
      <w:pPr>
        <w:spacing w:after="120"/>
        <w:jc w:val="both"/>
      </w:pPr>
      <w:r>
        <w:rPr>
          <w:b/>
          <w:bCs/>
        </w:rPr>
        <w:t xml:space="preserve">Pregunta.</w:t>
      </w:r>
      <w:r>
        <w:t xml:space="preserve"> ¿En qué medida la información disponible al 20 de febrero permite concentrar los casos de no matrícula entre las k familias que LEMAS puede contactar y proyectar la matrícula por sede y subnivel?</w:t>
      </w:r>
    </w:p>
    <w:p>
      <w:pPr>
        <w:spacing w:after="120"/>
        <w:jc w:val="both"/>
      </w:pPr>
      <w:r>
        <w:rPr>
          <w:b/>
          <w:bCs/>
        </w:rPr>
        <w:t xml:space="preserve">Hipótesis.</w:t>
      </w:r>
      <w:r>
        <w:t xml:space="preserve"> El comportamiento de pago (atrasos en pensiones y puntualidad de la matrícula anterior), el tipo de reserva, la trayectoria, la beca, los hermanos y las notas del ciclo de origen permiten priorizar mejor que una selección al azar (Lift@k ≥ 1,20) y proyectar con un error menor que la tasa histórica.</w:t>
      </w:r>
    </w:p>
    <w:p>
      <w:pPr>
        <w:pStyle w:val="Heading2"/>
      </w:pPr>
      <w:r>
        <w:t xml:space="preserve">1.3 Proceso institucional de reserva y matrícula</w:t>
      </w:r>
    </w:p>
    <w:p>
      <w:pPr>
        <w:keepNext/>
        <w:spacing w:after="60" w:before="120"/>
      </w:pPr>
      <w:r>
        <w:rPr>
          <w:b/>
          <w:bCs/>
          <w:color w:val="8B1E3F"/>
          <w:sz w:val="18"/>
          <w:szCs w:val="18"/>
        </w:rPr>
        <w:t xml:space="preserve">Tabla 3. </w:t>
      </w:r>
      <w:r>
        <w:rPr>
          <w:b/>
          <w:bCs/>
          <w:sz w:val="18"/>
          <w:szCs w:val="18"/>
        </w:rPr>
        <w:t xml:space="preserve">Calendario anual del proceso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3614"/>
        <w:gridCol w:w="3615"/>
      </w:tblGrid>
      <w:tr>
        <w:trPr>
          <w:tblHeader/>
        </w:trPr>
        <w:tc>
          <w:tcPr>
            <w:tcW w:type="dxa" w:w="2409"/>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Momento</w:t>
            </w:r>
          </w:p>
        </w:tc>
        <w:tc>
          <w:tcPr>
            <w:tcW w:type="dxa" w:w="3614"/>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Evento</w:t>
            </w:r>
          </w:p>
        </w:tc>
        <w:tc>
          <w:tcPr>
            <w:tcW w:type="dxa" w:w="3615"/>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Relevancia para el sistema</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Septiembre–octubre (ciclo de origen)</w:t>
            </w:r>
          </w:p>
        </w:tc>
        <w:tc>
          <w:tcPr>
            <w:tcW w:type="dxa" w:w="361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Reserva ordinaria mediante formulario gratuito</w:t>
            </w:r>
          </w:p>
        </w:tc>
        <w:tc>
          <w:tcPr>
            <w:tcW w:type="dxa" w:w="361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Tipo de reserva = ordinaria</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Fines de octubre–noviembre</w:t>
            </w:r>
          </w:p>
        </w:tc>
        <w:tc>
          <w:tcPr>
            <w:tcW w:type="dxa" w:w="361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Reserva extraordinaria o activación individual</w:t>
            </w:r>
          </w:p>
        </w:tc>
        <w:tc>
          <w:tcPr>
            <w:tcW w:type="dxa" w:w="361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Tipo de reserva = extraordinaria (señal de riesgo)</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Hasta enero</w:t>
            </w:r>
          </w:p>
        </w:tc>
        <w:tc>
          <w:tcPr>
            <w:tcW w:type="dxa" w:w="361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Revisión y aprobación de la reserva (académica, comportamental, administrativa)</w:t>
            </w:r>
          </w:p>
        </w:tc>
        <w:tc>
          <w:tcPr>
            <w:tcW w:type="dxa" w:w="361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Filtro de población; sin fecha de aprobación registrada</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Mayo a enero</w:t>
            </w:r>
          </w:p>
        </w:tc>
        <w:tc>
          <w:tcPr>
            <w:tcW w:type="dxa" w:w="361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Pago mensual de pensiones del ciclo de origen</w:t>
            </w:r>
          </w:p>
        </w:tc>
        <w:tc>
          <w:tcPr>
            <w:tcW w:type="dxa" w:w="361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Pensiones pagadas tarde (predictor)</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20 de febrero (t0)</w:t>
            </w:r>
          </w:p>
        </w:tc>
        <w:tc>
          <w:tcPr>
            <w:tcW w:type="dxa" w:w="361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Apertura de la matrícula ordinaria</w:t>
            </w:r>
          </w:p>
        </w:tc>
        <w:tc>
          <w:tcPr>
            <w:tcW w:type="dxa" w:w="361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Corte: se congela la información y se genera la lista</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20-feb a 30-abr (H)</w:t>
            </w:r>
          </w:p>
        </w:tc>
        <w:tc>
          <w:tcPr>
            <w:tcW w:type="dxa" w:w="361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Pago de la matrícula del ciclo siguiente</w:t>
            </w:r>
          </w:p>
        </w:tc>
        <w:tc>
          <w:tcPr>
            <w:tcW w:type="dxa" w:w="361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Etiqueta: pago en plazo = matrícula efectiva</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Después del 30 de abril</w:t>
            </w:r>
          </w:p>
        </w:tc>
        <w:tc>
          <w:tcPr>
            <w:tcW w:type="dxa" w:w="361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Matrícula tardía o extraordinaria</w:t>
            </w:r>
          </w:p>
        </w:tc>
        <w:tc>
          <w:tcPr>
            <w:tcW w:type="dxa" w:w="361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Se reporta aparte (no cambia la etiqueta)</w:t>
            </w:r>
          </w:p>
        </w:tc>
      </w:tr>
    </w:tbl>
    <w:p>
      <w:pPr>
        <w:spacing w:after="120"/>
      </w:pPr>
    </w:p>
    <w:p>
      <w:pPr>
        <w:pStyle w:val="Heading2"/>
      </w:pPr>
      <w:r>
        <w:t xml:space="preserve">1.4 Definiciones operativas</w:t>
      </w:r>
    </w:p>
    <w:p>
      <w:pPr>
        <w:keepNext/>
        <w:spacing w:after="60" w:before="120"/>
      </w:pPr>
      <w:r>
        <w:rPr>
          <w:b/>
          <w:bCs/>
          <w:color w:val="8B1E3F"/>
          <w:sz w:val="18"/>
          <w:szCs w:val="18"/>
        </w:rPr>
        <w:t xml:space="preserve">Tabla 4. </w:t>
      </w:r>
      <w:r>
        <w:rPr>
          <w:b/>
          <w:bCs/>
          <w:sz w:val="18"/>
          <w:szCs w:val="18"/>
        </w:rPr>
        <w:t xml:space="preserve">Términos y notación del proyecto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64"/>
        <w:gridCol w:w="7274"/>
      </w:tblGrid>
      <w:tr>
        <w:trPr>
          <w:tblHeader/>
        </w:trPr>
        <w:tc>
          <w:tcPr>
            <w:tcW w:type="dxa" w:w="2364"/>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Término</w:t>
            </w:r>
          </w:p>
        </w:tc>
        <w:tc>
          <w:tcPr>
            <w:tcW w:type="dxa" w:w="7274"/>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Definición aplicada</w:t>
            </w:r>
          </w:p>
        </w:tc>
      </w:tr>
      <w:tr>
        <w:trPr>
          <w:cantSplit/>
        </w:trPr>
        <w:tc>
          <w:tcPr>
            <w:tcW w:type="dxa" w:w="236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Cohorte (C1–C5)</w:t>
            </w:r>
          </w:p>
        </w:tc>
        <w:tc>
          <w:tcPr>
            <w:tcW w:type="dxa" w:w="727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Transición de un ciclo de origen al siguiente: C1 = 2021–22 → 2022–23 … C5 = 2025–26 → 2026–27.</w:t>
            </w:r>
          </w:p>
        </w:tc>
      </w:tr>
      <w:tr>
        <w:trPr>
          <w:cantSplit/>
        </w:trPr>
        <w:tc>
          <w:tcPr>
            <w:tcW w:type="dxa" w:w="236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t0 / H</w:t>
            </w:r>
          </w:p>
        </w:tc>
        <w:tc>
          <w:tcPr>
            <w:tcW w:type="dxa" w:w="727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t0 = 20 de febrero (corte: solo se usa información anterior); H = 30 de abril (cierre de matrícula ordinaria), ambos del año de destino.</w:t>
            </w:r>
          </w:p>
        </w:tc>
      </w:tr>
      <w:tr>
        <w:trPr>
          <w:cantSplit/>
        </w:trPr>
        <w:tc>
          <w:tcPr>
            <w:tcW w:type="dxa" w:w="236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Población modelable</w:t>
            </w:r>
          </w:p>
        </w:tc>
        <w:tc>
          <w:tcPr>
            <w:tcW w:type="dxa" w:w="727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Estudiantes antiguos con reserva aprobada (ordinaria o extraordinaria) registrada antes de t0, sin 3.º de bachillerato y sin matrícula pagada antes de t0.</w:t>
            </w:r>
          </w:p>
        </w:tc>
      </w:tr>
      <w:tr>
        <w:trPr>
          <w:cantSplit/>
        </w:trPr>
        <w:tc>
          <w:tcPr>
            <w:tcW w:type="dxa" w:w="236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Etiqueta</w:t>
            </w:r>
          </w:p>
        </w:tc>
        <w:tc>
          <w:tcPr>
            <w:tcW w:type="dxa" w:w="727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y_no_matricula = 1 si no hay pago entre t0 y H (equivale a 1 − matricula_efectiva). Pagos después de H se reportan como tardíos.</w:t>
            </w:r>
          </w:p>
        </w:tc>
      </w:tr>
      <w:tr>
        <w:trPr>
          <w:cantSplit/>
        </w:trPr>
        <w:tc>
          <w:tcPr>
            <w:tcW w:type="dxa" w:w="236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Familia y k</w:t>
            </w:r>
          </w:p>
        </w:tc>
        <w:tc>
          <w:tcPr>
            <w:tcW w:type="dxa" w:w="727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La familia es la unidad de contacto (representante). k es el número de familias que cada sede puede atender en la campaña.</w:t>
            </w:r>
          </w:p>
        </w:tc>
      </w:tr>
      <w:tr>
        <w:trPr>
          <w:cantSplit/>
        </w:trPr>
        <w:tc>
          <w:tcPr>
            <w:tcW w:type="dxa" w:w="236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Precision@k / Recall@k / Lift@k</w:t>
            </w:r>
          </w:p>
        </w:tc>
        <w:tc>
          <w:tcPr>
            <w:tcW w:type="dxa" w:w="727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Proporción de familias con no matrícula entre las k priorizadas; proporción de todas las familias con no matrícula que quedan en el top-k; Precision@k dividida para la tasa familiar q.</w:t>
            </w:r>
          </w:p>
        </w:tc>
      </w:tr>
      <w:tr>
        <w:trPr>
          <w:cantSplit/>
        </w:trPr>
        <w:tc>
          <w:tcPr>
            <w:tcW w:type="dxa" w:w="236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Líneas base</w:t>
            </w:r>
          </w:p>
        </w:tc>
        <w:tc>
          <w:tcPr>
            <w:tcW w:type="dxa" w:w="727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 selección al azar de k familias; R: «si reservó, continúa»; B0: clase mayoritaria; B1: tasa histórica; D y D2: reglas administrativas sin aprendizaje.</w:t>
            </w:r>
          </w:p>
        </w:tc>
      </w:tr>
      <w:tr>
        <w:trPr>
          <w:cantSplit/>
        </w:trPr>
        <w:tc>
          <w:tcPr>
            <w:tcW w:type="dxa" w:w="236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Brier / MAPE</w:t>
            </w:r>
          </w:p>
        </w:tc>
        <w:tc>
          <w:tcPr>
            <w:tcW w:type="dxa" w:w="727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Error cuadrático medio de las probabilidades; error porcentual de la proyección por grupo (solo grupos con ≥ 10 matrículas).</w:t>
            </w:r>
          </w:p>
        </w:tc>
      </w:tr>
    </w:tbl>
    <w:p>
      <w:pPr>
        <w:spacing w:after="120"/>
      </w:pPr>
    </w:p>
    <w:p>
      <w:pPr>
        <w:pStyle w:val="Heading1"/>
        <w:pageBreakBefore/>
      </w:pPr>
      <w:r>
        <w:t xml:space="preserve">2. Objetivos SMART</w:t>
      </w:r>
    </w:p>
    <w:p>
      <w:pPr>
        <w:pStyle w:val="Heading2"/>
      </w:pPr>
      <w:r>
        <w:t xml:space="preserve">2.1 Objetivo general</w:t>
      </w:r>
    </w:p>
    <w:p>
      <w:pPr>
        <w:spacing w:after="120"/>
        <w:jc w:val="both"/>
      </w:pPr>
      <w:r>
        <w:t xml:space="preserve">Desarrollar y entregar, entre el 14 de septiembre y el 25 de octubre de 2026, un MVP que, con datos seudonimizados de cinco cohortes y validación temporal, priorice al corte t0 las k familias con mayor riesgo de no matrícula, alcanzando en una prueba única sobre C5 una </w:t>
      </w:r>
      <w:r>
        <w:rPr>
          <w:b/>
          <w:bCs/>
        </w:rPr>
        <w:t xml:space="preserve">Precision@k familiar superior a la tasa base con Lift@k ≥ 1,20</w:t>
      </w:r>
      <w:r>
        <w:t xml:space="preserve"> e intervalo de confianza del 95 % por bootstrap, y entregue probabilidades calibradas y una proyección por sede y subnivel comparadas con la tasa histórica (B1).</w:t>
      </w:r>
    </w:p>
    <w:p>
      <w:pPr>
        <w:pStyle w:val="Heading2"/>
      </w:pPr>
      <w:r>
        <w:t xml:space="preserve">2.2 Objetivos específicos y cumplimiento</w:t>
      </w:r>
    </w:p>
    <w:p>
      <w:pPr>
        <w:keepNext/>
        <w:spacing w:after="60" w:before="120"/>
      </w:pPr>
      <w:r>
        <w:rPr>
          <w:b/>
          <w:bCs/>
          <w:color w:val="8B1E3F"/>
          <w:sz w:val="18"/>
          <w:szCs w:val="18"/>
        </w:rPr>
        <w:t xml:space="preserve">Tabla 5. </w:t>
      </w:r>
      <w:r>
        <w:rPr>
          <w:b/>
          <w:bCs/>
          <w:sz w:val="18"/>
          <w:szCs w:val="18"/>
        </w:rPr>
        <w:t xml:space="preserve">Objetivos específicos y estado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
        <w:gridCol w:w="4380"/>
        <w:gridCol w:w="2409"/>
        <w:gridCol w:w="2411"/>
      </w:tblGrid>
      <w:tr>
        <w:trPr>
          <w:tblHeader/>
        </w:trPr>
        <w:tc>
          <w:tcPr>
            <w:tcW w:type="dxa" w:w="438"/>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w:t>
            </w:r>
          </w:p>
        </w:tc>
        <w:tc>
          <w:tcPr>
            <w:tcW w:type="dxa" w:w="4380"/>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Objetivo específico</w:t>
            </w:r>
          </w:p>
        </w:tc>
        <w:tc>
          <w:tcPr>
            <w:tcW w:type="dxa" w:w="2409"/>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Indicador</w:t>
            </w:r>
          </w:p>
        </w:tc>
        <w:tc>
          <w:tcPr>
            <w:tcW w:type="dxa" w:w="2411"/>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Estado</w:t>
            </w:r>
          </w:p>
        </w:tc>
      </w:tr>
      <w:tr>
        <w:trPr>
          <w:cantSplit/>
        </w:trPr>
        <w:tc>
          <w:tcPr>
            <w:tcW w:type="dxa" w:w="4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w:t>
            </w:r>
          </w:p>
        </w:tc>
        <w:tc>
          <w:tcPr>
            <w:tcW w:type="dxa" w:w="438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Integrar y seudonimizar las cohortes, reconstruir la elegibilidad al corte y contabilizar exclusiones.</w:t>
            </w:r>
          </w:p>
        </w:tc>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Tabla 6.3 completa; acta SHA-256</w:t>
            </w:r>
          </w:p>
        </w:tc>
        <w:tc>
          <w:tcPr>
            <w:tcW w:type="dxa" w:w="241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 Cumplido</w:t>
            </w:r>
          </w:p>
        </w:tc>
      </w:tr>
      <w:tr>
        <w:trPr>
          <w:cantSplit/>
        </w:trPr>
        <w:tc>
          <w:tcPr>
            <w:tcW w:type="dxa" w:w="4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2</w:t>
            </w:r>
          </w:p>
        </w:tc>
        <w:tc>
          <w:tcPr>
            <w:tcW w:type="dxa" w:w="438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Comparar al menos dos modelos (logística y árboles) con líneas base A, R, B0, B1 y reglas D/D2.</w:t>
            </w:r>
          </w:p>
        </w:tc>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Tabla de selección en C4</w:t>
            </w:r>
          </w:p>
        </w:tc>
        <w:tc>
          <w:tcPr>
            <w:tcW w:type="dxa" w:w="241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 Cumplido (3 modelos)</w:t>
            </w:r>
          </w:p>
        </w:tc>
      </w:tr>
      <w:tr>
        <w:trPr>
          <w:cantSplit/>
        </w:trPr>
        <w:tc>
          <w:tcPr>
            <w:tcW w:type="dxa" w:w="4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3</w:t>
            </w:r>
          </w:p>
        </w:tc>
        <w:tc>
          <w:tcPr>
            <w:tcW w:type="dxa" w:w="438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Validar cronológicamente y evaluar una sola vez en C5 con IC bootstrap.</w:t>
            </w:r>
          </w:p>
        </w:tc>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Lift@k ≥ 1,20 con IC</w:t>
            </w:r>
          </w:p>
        </w:tc>
        <w:tc>
          <w:tcPr>
            <w:tcW w:type="dxa" w:w="241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 1,97 [1,24; 2,56]</w:t>
            </w:r>
          </w:p>
        </w:tc>
      </w:tr>
      <w:tr>
        <w:trPr>
          <w:cantSplit/>
        </w:trPr>
        <w:tc>
          <w:tcPr>
            <w:tcW w:type="dxa" w:w="4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4</w:t>
            </w:r>
          </w:p>
        </w:tc>
        <w:tc>
          <w:tcPr>
            <w:tcW w:type="dxa" w:w="438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Evaluar calibración, explicabilidad y proyección por sede y subnivel.</w:t>
            </w:r>
          </w:p>
        </w:tc>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Brier &lt; B1; MAPE ≤ 15 % y &lt; B1</w:t>
            </w:r>
          </w:p>
        </w:tc>
        <w:tc>
          <w:tcPr>
            <w:tcW w:type="dxa" w:w="241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 Calibrado y MAPE 2,8 %, sin mejorar a B1</w:t>
            </w:r>
          </w:p>
        </w:tc>
      </w:tr>
      <w:tr>
        <w:trPr>
          <w:cantSplit/>
        </w:trPr>
        <w:tc>
          <w:tcPr>
            <w:tcW w:type="dxa" w:w="4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5</w:t>
            </w:r>
          </w:p>
        </w:tc>
        <w:tc>
          <w:tcPr>
            <w:tcW w:type="dxa" w:w="438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Entregar un prototipo reproducible y validarlo con usuarios.</w:t>
            </w:r>
          </w:p>
        </w:tc>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App desplegada; utilidad ≥ 4/5</w:t>
            </w:r>
          </w:p>
        </w:tc>
        <w:tc>
          <w:tcPr>
            <w:tcW w:type="dxa" w:w="241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 App · validación con usuarios programada</w:t>
            </w:r>
          </w:p>
        </w:tc>
      </w:tr>
    </w:tbl>
    <w:p>
      <w:pPr>
        <w:spacing w:after="120"/>
      </w:pPr>
    </w:p>
    <w:p>
      <w:pPr>
        <w:pStyle w:val="Heading2"/>
      </w:pPr>
      <w:r>
        <w:t xml:space="preserve">2.3 Validación SMART actualizada</w:t>
      </w:r>
    </w:p>
    <w:p>
      <w:pPr>
        <w:spacing w:after="120"/>
        <w:jc w:val="both"/>
      </w:pPr>
      <w:r>
        <w:t xml:space="preserve">La valoración inicial (Canvas y Checklist, 20-sep-2026) fue </w:t>
      </w:r>
      <w:r>
        <w:rPr>
          <w:b/>
          <w:bCs/>
        </w:rPr>
        <w:t xml:space="preserve">25/31, nivel amarillo</w:t>
      </w:r>
      <w:r>
        <w:t xml:space="preserve">, porque dependía de la autorización, del entorno, de k, t0 y H, de la suficiencia de eventos y de la comparabilidad de C1. Al cierre de la Fase 2 </w:t>
      </w:r>
      <w:r>
        <w:rPr>
          <w:b/>
          <w:bCs/>
        </w:rPr>
        <w:t xml:space="preserve">todos esos pendientes quedaron resueltos con evidencia</w:t>
      </w:r>
      <w:r>
        <w:t xml:space="preserve">: autorización institucional y uso de Colab aprobados (30-sep-2026), t0 = 20-feb, H = 30-abr, k = 118 y 47, entre 81 y 122 eventos por cohorte y C1 auditada y excluida. Solo permanecen fuera de alcance el mantenimiento productivo y la designación formal de los cuatro validadores, por lo que la valoración actualizada es </w:t>
      </w:r>
      <w:r>
        <w:rPr>
          <w:b/>
          <w:bCs/>
        </w:rPr>
        <w:t xml:space="preserve">29/31 (nivel verde)</w:t>
      </w:r>
      <w:r>
        <w:t xml:space="preserve">.</w:t>
      </w:r>
    </w:p>
    <w:p>
      <w:pPr>
        <w:keepNext/>
        <w:spacing w:after="60" w:before="120"/>
      </w:pPr>
      <w:r>
        <w:rPr>
          <w:b/>
          <w:bCs/>
          <w:color w:val="8B1E3F"/>
          <w:sz w:val="18"/>
          <w:szCs w:val="18"/>
        </w:rPr>
        <w:t xml:space="preserve">Tabla 6. </w:t>
      </w:r>
      <w:r>
        <w:rPr>
          <w:b/>
          <w:bCs/>
          <w:sz w:val="18"/>
          <w:szCs w:val="18"/>
        </w:rPr>
        <w:t xml:space="preserve">Validación SMART: antes y después de la ejecución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2"/>
        <w:gridCol w:w="1789"/>
        <w:gridCol w:w="1789"/>
        <w:gridCol w:w="4408"/>
      </w:tblGrid>
      <w:tr>
        <w:trPr>
          <w:tblHeader/>
        </w:trPr>
        <w:tc>
          <w:tcPr>
            <w:tcW w:type="dxa" w:w="1652"/>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Criterio</w:t>
            </w:r>
          </w:p>
        </w:tc>
        <w:tc>
          <w:tcPr>
            <w:tcW w:type="dxa" w:w="1789"/>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20-sep (inicial)</w:t>
            </w:r>
          </w:p>
        </w:tc>
        <w:tc>
          <w:tcPr>
            <w:tcW w:type="dxa" w:w="1789"/>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01-oct (actual)</w:t>
            </w:r>
          </w:p>
        </w:tc>
        <w:tc>
          <w:tcPr>
            <w:tcW w:type="dxa" w:w="4408"/>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Evidencia</w:t>
            </w:r>
          </w:p>
        </w:tc>
      </w:tr>
      <w:tr>
        <w:trPr>
          <w:cantSplit/>
        </w:trPr>
        <w:tc>
          <w:tcPr>
            <w:tcW w:type="dxa" w:w="165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Específico</w:t>
            </w:r>
          </w:p>
        </w:tc>
        <w:tc>
          <w:tcPr>
            <w:tcW w:type="dxa" w:w="178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5/5</w:t>
            </w:r>
          </w:p>
        </w:tc>
        <w:tc>
          <w:tcPr>
            <w:tcW w:type="dxa" w:w="178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5/5</w:t>
            </w:r>
          </w:p>
        </w:tc>
        <w:tc>
          <w:tcPr>
            <w:tcW w:type="dxa" w:w="440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Población, predicción, usuarios y alcance definidos</w:t>
            </w:r>
          </w:p>
        </w:tc>
      </w:tr>
      <w:tr>
        <w:trPr>
          <w:cantSplit/>
        </w:trPr>
        <w:tc>
          <w:tcPr>
            <w:tcW w:type="dxa" w:w="165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Medible</w:t>
            </w:r>
          </w:p>
        </w:tc>
        <w:tc>
          <w:tcPr>
            <w:tcW w:type="dxa" w:w="178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6/7</w:t>
            </w:r>
          </w:p>
        </w:tc>
        <w:tc>
          <w:tcPr>
            <w:tcW w:type="dxa" w:w="178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7/7</w:t>
            </w:r>
          </w:p>
        </w:tc>
        <w:tc>
          <w:tcPr>
            <w:tcW w:type="dxa" w:w="440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Líneas base calculadas; k fijado antes de C5; resultados con IC</w:t>
            </w:r>
          </w:p>
        </w:tc>
      </w:tr>
      <w:tr>
        <w:trPr>
          <w:cantSplit/>
        </w:trPr>
        <w:tc>
          <w:tcPr>
            <w:tcW w:type="dxa" w:w="165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Alcanzable</w:t>
            </w:r>
          </w:p>
        </w:tc>
        <w:tc>
          <w:tcPr>
            <w:tcW w:type="dxa" w:w="178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5/7</w:t>
            </w:r>
          </w:p>
        </w:tc>
        <w:tc>
          <w:tcPr>
            <w:tcW w:type="dxa" w:w="178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6/7</w:t>
            </w:r>
          </w:p>
        </w:tc>
        <w:tc>
          <w:tcPr>
            <w:tcW w:type="dxa" w:w="440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Autorización, custodio y suficiencia de eventos confirmados; validadores por designar</w:t>
            </w:r>
          </w:p>
        </w:tc>
      </w:tr>
      <w:tr>
        <w:trPr>
          <w:cantSplit/>
        </w:trPr>
        <w:tc>
          <w:tcPr>
            <w:tcW w:type="dxa" w:w="165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Relevante</w:t>
            </w:r>
          </w:p>
        </w:tc>
        <w:tc>
          <w:tcPr>
            <w:tcW w:type="dxa" w:w="178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5/7</w:t>
            </w:r>
          </w:p>
        </w:tc>
        <w:tc>
          <w:tcPr>
            <w:tcW w:type="dxa" w:w="178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6/7</w:t>
            </w:r>
          </w:p>
        </w:tc>
        <w:tc>
          <w:tcPr>
            <w:tcW w:type="dxa" w:w="440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Lista y proyección útiles; mantenimiento productivo fuera de alcance</w:t>
            </w:r>
          </w:p>
        </w:tc>
      </w:tr>
      <w:tr>
        <w:trPr>
          <w:cantSplit/>
        </w:trPr>
        <w:tc>
          <w:tcPr>
            <w:tcW w:type="dxa" w:w="165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Temporal</w:t>
            </w:r>
          </w:p>
        </w:tc>
        <w:tc>
          <w:tcPr>
            <w:tcW w:type="dxa" w:w="178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4/5</w:t>
            </w:r>
          </w:p>
        </w:tc>
        <w:tc>
          <w:tcPr>
            <w:tcW w:type="dxa" w:w="178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5/5</w:t>
            </w:r>
          </w:p>
        </w:tc>
        <w:tc>
          <w:tcPr>
            <w:tcW w:type="dxa" w:w="440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Fases 1–3 cerradas antes de lo planificado</w:t>
            </w:r>
          </w:p>
        </w:tc>
      </w:tr>
      <w:tr>
        <w:trPr>
          <w:cantSplit/>
        </w:trPr>
        <w:tc>
          <w:tcPr>
            <w:tcW w:type="dxa" w:w="165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Total</w:t>
            </w:r>
          </w:p>
        </w:tc>
        <w:tc>
          <w:tcPr>
            <w:tcW w:type="dxa" w:w="178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25/31 (amarillo)</w:t>
            </w:r>
          </w:p>
        </w:tc>
        <w:tc>
          <w:tcPr>
            <w:tcW w:type="dxa" w:w="178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29/31 (verde)</w:t>
            </w:r>
          </w:p>
        </w:tc>
        <w:tc>
          <w:tcPr>
            <w:tcW w:type="dxa" w:w="440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Escala original del instrumento (N/A = no cumple)</w:t>
            </w:r>
          </w:p>
        </w:tc>
      </w:tr>
    </w:tbl>
    <w:p>
      <w:pPr>
        <w:spacing w:after="120"/>
      </w:pPr>
    </w:p>
    <w:p>
      <w:pPr>
        <w:pStyle w:val="Heading1"/>
        <w:pageBreakBefore/>
      </w:pPr>
      <w:r>
        <w:t xml:space="preserve">3. Mapa del estado del arte</w:t>
      </w:r>
    </w:p>
    <w:p>
      <w:pPr>
        <w:spacing w:after="120"/>
        <w:jc w:val="both"/>
      </w:pPr>
      <w:r>
        <w:t xml:space="preserve">Se revisaron </w:t>
      </w:r>
      <w:r>
        <w:rPr>
          <w:b/>
          <w:bCs/>
        </w:rPr>
        <w:t xml:space="preserve">20 trabajos publicados entre 2021 y 2026</w:t>
      </w:r>
      <w:r>
        <w:t xml:space="preserve"> sobre abandono, retención y alertas tempranas en educación. Como la matrícula efectiva escolar no es idéntica a la deserción universitaria, los resultados se usan como fundamento metodológico y no como evidencia directa del desempeño esperado en LEMAS.</w:t>
      </w:r>
    </w:p>
    <w:p>
      <w:pPr>
        <w:keepNext/>
        <w:spacing w:after="60" w:before="120"/>
      </w:pPr>
      <w:r>
        <w:rPr>
          <w:b/>
          <w:bCs/>
          <w:color w:val="8B1E3F"/>
          <w:sz w:val="18"/>
          <w:szCs w:val="18"/>
        </w:rPr>
        <w:t xml:space="preserve">Tabla 7. </w:t>
      </w:r>
      <w:r>
        <w:rPr>
          <w:b/>
          <w:bCs/>
          <w:sz w:val="18"/>
          <w:szCs w:val="18"/>
        </w:rPr>
        <w:t xml:space="preserve">Trabajos revisados (2021–2026)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5"/>
        <w:gridCol w:w="2585"/>
        <w:gridCol w:w="2820"/>
        <w:gridCol w:w="3528"/>
      </w:tblGrid>
      <w:tr>
        <w:trPr>
          <w:tblHeader/>
        </w:trPr>
        <w:tc>
          <w:tcPr>
            <w:tcW w:type="dxa" w:w="705"/>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Ref.</w:t>
            </w:r>
          </w:p>
        </w:tc>
        <w:tc>
          <w:tcPr>
            <w:tcW w:type="dxa" w:w="2585"/>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Estudio</w:t>
            </w:r>
          </w:p>
        </w:tc>
        <w:tc>
          <w:tcPr>
            <w:tcW w:type="dxa" w:w="2820"/>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Contexto y técnica</w:t>
            </w:r>
          </w:p>
        </w:tc>
        <w:tc>
          <w:tcPr>
            <w:tcW w:type="dxa" w:w="3528"/>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Aporte al proyecto</w:t>
            </w:r>
          </w:p>
        </w:tc>
      </w:tr>
      <w:tr>
        <w:trPr>
          <w:cantSplit/>
        </w:trPr>
        <w:tc>
          <w:tcPr>
            <w:tcW w:type="dxa" w:w="70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w:t>
            </w:r>
          </w:p>
        </w:tc>
        <w:tc>
          <w:tcPr>
            <w:tcW w:type="dxa" w:w="25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Krüger et al., 2023</w:t>
            </w:r>
          </w:p>
        </w:tc>
        <w:tc>
          <w:tcPr>
            <w:tcW w:type="dxa" w:w="28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Superior · ML explicable</w:t>
            </w:r>
          </w:p>
        </w:tc>
        <w:tc>
          <w:tcPr>
            <w:tcW w:type="dxa" w:w="352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Interpretación junto con desempeño</w:t>
            </w:r>
          </w:p>
        </w:tc>
      </w:tr>
      <w:tr>
        <w:trPr>
          <w:cantSplit/>
        </w:trPr>
        <w:tc>
          <w:tcPr>
            <w:tcW w:type="dxa" w:w="70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[2]</w:t>
            </w:r>
          </w:p>
        </w:tc>
        <w:tc>
          <w:tcPr>
            <w:tcW w:type="dxa" w:w="25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Nagy y Molontay, 2024</w:t>
            </w:r>
          </w:p>
        </w:tc>
        <w:tc>
          <w:tcPr>
            <w:tcW w:type="dxa" w:w="28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Superior · XAI</w:t>
            </w:r>
          </w:p>
        </w:tc>
        <w:tc>
          <w:tcPr>
            <w:tcW w:type="dxa" w:w="352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Explicaciones que orientan intervenciones</w:t>
            </w:r>
          </w:p>
        </w:tc>
      </w:tr>
      <w:tr>
        <w:trPr>
          <w:cantSplit/>
        </w:trPr>
        <w:tc>
          <w:tcPr>
            <w:tcW w:type="dxa" w:w="70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[3]</w:t>
            </w:r>
          </w:p>
        </w:tc>
        <w:tc>
          <w:tcPr>
            <w:tcW w:type="dxa" w:w="25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Realinho et al., 2022</w:t>
            </w:r>
          </w:p>
        </w:tc>
        <w:tc>
          <w:tcPr>
            <w:tcW w:type="dxa" w:w="28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Dataset público Portugal</w:t>
            </w:r>
          </w:p>
        </w:tc>
        <w:tc>
          <w:tcPr>
            <w:tcW w:type="dxa" w:w="352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Base comparativa reproducible</w:t>
            </w:r>
          </w:p>
        </w:tc>
      </w:tr>
      <w:tr>
        <w:trPr>
          <w:cantSplit/>
        </w:trPr>
        <w:tc>
          <w:tcPr>
            <w:tcW w:type="dxa" w:w="70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[4]</w:t>
            </w:r>
          </w:p>
        </w:tc>
        <w:tc>
          <w:tcPr>
            <w:tcW w:type="dxa" w:w="25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Matz et al., 2023</w:t>
            </w:r>
          </w:p>
        </w:tc>
        <w:tc>
          <w:tcPr>
            <w:tcW w:type="dxa" w:w="28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Sociodemográficos + uso de app</w:t>
            </w:r>
          </w:p>
        </w:tc>
        <w:tc>
          <w:tcPr>
            <w:tcW w:type="dxa" w:w="352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Combinar variables administrativas y de interacción</w:t>
            </w:r>
          </w:p>
        </w:tc>
      </w:tr>
      <w:tr>
        <w:trPr>
          <w:cantSplit/>
        </w:trPr>
        <w:tc>
          <w:tcPr>
            <w:tcW w:type="dxa" w:w="70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[5]</w:t>
            </w:r>
          </w:p>
        </w:tc>
        <w:tc>
          <w:tcPr>
            <w:tcW w:type="dxa" w:w="25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Palacios et al., 2021</w:t>
            </w:r>
          </w:p>
        </w:tc>
        <w:tc>
          <w:tcPr>
            <w:tcW w:type="dxa" w:w="28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Caso institucional Chile</w:t>
            </w:r>
          </w:p>
        </w:tc>
        <w:tc>
          <w:tcPr>
            <w:tcW w:type="dxa" w:w="352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Contexto latinoamericano de retención</w:t>
            </w:r>
          </w:p>
        </w:tc>
      </w:tr>
      <w:tr>
        <w:trPr>
          <w:cantSplit/>
        </w:trPr>
        <w:tc>
          <w:tcPr>
            <w:tcW w:type="dxa" w:w="70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[6]</w:t>
            </w:r>
          </w:p>
        </w:tc>
        <w:tc>
          <w:tcPr>
            <w:tcW w:type="dxa" w:w="25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Niyogisubizo et al., 2022</w:t>
            </w:r>
          </w:p>
        </w:tc>
        <w:tc>
          <w:tcPr>
            <w:tcW w:type="dxa" w:w="28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Stacking en cursos</w:t>
            </w:r>
          </w:p>
        </w:tc>
        <w:tc>
          <w:tcPr>
            <w:tcW w:type="dxa" w:w="352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Ensambles para clasificación</w:t>
            </w:r>
          </w:p>
        </w:tc>
      </w:tr>
      <w:tr>
        <w:trPr>
          <w:cantSplit/>
        </w:trPr>
        <w:tc>
          <w:tcPr>
            <w:tcW w:type="dxa" w:w="70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[7]</w:t>
            </w:r>
          </w:p>
        </w:tc>
        <w:tc>
          <w:tcPr>
            <w:tcW w:type="dxa" w:w="25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Oqaidi et al., 2022</w:t>
            </w:r>
          </w:p>
        </w:tc>
        <w:tc>
          <w:tcPr>
            <w:tcW w:type="dxa" w:w="28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Comparación de algoritmos</w:t>
            </w:r>
          </w:p>
        </w:tc>
        <w:tc>
          <w:tcPr>
            <w:tcW w:type="dxa" w:w="352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Selección de variables y modelos</w:t>
            </w:r>
          </w:p>
        </w:tc>
      </w:tr>
      <w:tr>
        <w:trPr>
          <w:cantSplit/>
        </w:trPr>
        <w:tc>
          <w:tcPr>
            <w:tcW w:type="dxa" w:w="70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[8]</w:t>
            </w:r>
          </w:p>
        </w:tc>
        <w:tc>
          <w:tcPr>
            <w:tcW w:type="dxa" w:w="25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Kabathova y Drlík, 2021</w:t>
            </w:r>
          </w:p>
        </w:tc>
        <w:tc>
          <w:tcPr>
            <w:tcW w:type="dxa" w:w="28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Cursos universitarios</w:t>
            </w:r>
          </w:p>
        </w:tc>
        <w:tc>
          <w:tcPr>
            <w:tcW w:type="dxa" w:w="352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Comparación de técnicas de ML</w:t>
            </w:r>
          </w:p>
        </w:tc>
      </w:tr>
      <w:tr>
        <w:trPr>
          <w:cantSplit/>
        </w:trPr>
        <w:tc>
          <w:tcPr>
            <w:tcW w:type="dxa" w:w="70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[9]</w:t>
            </w:r>
          </w:p>
        </w:tc>
        <w:tc>
          <w:tcPr>
            <w:tcW w:type="dxa" w:w="25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Kim et al., 2023</w:t>
            </w:r>
          </w:p>
        </w:tc>
        <w:tc>
          <w:tcPr>
            <w:tcW w:type="dxa" w:w="28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Universidad</w:t>
            </w:r>
          </w:p>
        </w:tc>
        <w:tc>
          <w:tcPr>
            <w:tcW w:type="dxa" w:w="352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Énfasis en precisión y recall</w:t>
            </w:r>
          </w:p>
        </w:tc>
      </w:tr>
      <w:tr>
        <w:trPr>
          <w:cantSplit/>
        </w:trPr>
        <w:tc>
          <w:tcPr>
            <w:tcW w:type="dxa" w:w="70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[10]</w:t>
            </w:r>
          </w:p>
        </w:tc>
        <w:tc>
          <w:tcPr>
            <w:tcW w:type="dxa" w:w="25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Song et al., 2023</w:t>
            </w:r>
          </w:p>
        </w:tc>
        <w:tc>
          <w:tcPr>
            <w:tcW w:type="dxa" w:w="28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Trayectoria anual</w:t>
            </w:r>
          </w:p>
        </w:tc>
        <w:tc>
          <w:tcPr>
            <w:tcW w:type="dxa" w:w="352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Predicción en distintos momentos del año</w:t>
            </w:r>
          </w:p>
        </w:tc>
      </w:tr>
      <w:tr>
        <w:trPr>
          <w:cantSplit/>
        </w:trPr>
        <w:tc>
          <w:tcPr>
            <w:tcW w:type="dxa" w:w="70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[11]</w:t>
            </w:r>
          </w:p>
        </w:tc>
        <w:tc>
          <w:tcPr>
            <w:tcW w:type="dxa" w:w="25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Vaarma y Li, 2024</w:t>
            </w:r>
          </w:p>
        </w:tc>
        <w:tc>
          <w:tcPr>
            <w:tcW w:type="dxa" w:w="28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Datos reales de retención</w:t>
            </w:r>
          </w:p>
        </w:tc>
        <w:tc>
          <w:tcPr>
            <w:tcW w:type="dxa" w:w="352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Validación empírica de ML</w:t>
            </w:r>
          </w:p>
        </w:tc>
      </w:tr>
      <w:tr>
        <w:trPr>
          <w:cantSplit/>
        </w:trPr>
        <w:tc>
          <w:tcPr>
            <w:tcW w:type="dxa" w:w="70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[12]</w:t>
            </w:r>
          </w:p>
        </w:tc>
        <w:tc>
          <w:tcPr>
            <w:tcW w:type="dxa" w:w="25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Villar y Andrade, 2024</w:t>
            </w:r>
          </w:p>
        </w:tc>
        <w:tc>
          <w:tcPr>
            <w:tcW w:type="dxa" w:w="28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Modelos supervisados</w:t>
            </w:r>
          </w:p>
        </w:tc>
        <w:tc>
          <w:tcPr>
            <w:tcW w:type="dxa" w:w="352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Comparación para abandono y éxito</w:t>
            </w:r>
          </w:p>
        </w:tc>
      </w:tr>
      <w:tr>
        <w:trPr>
          <w:cantSplit/>
        </w:trPr>
        <w:tc>
          <w:tcPr>
            <w:tcW w:type="dxa" w:w="70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[13]</w:t>
            </w:r>
          </w:p>
        </w:tc>
        <w:tc>
          <w:tcPr>
            <w:tcW w:type="dxa" w:w="25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Psyridou et al., 2024</w:t>
            </w:r>
          </w:p>
        </w:tc>
        <w:tc>
          <w:tcPr>
            <w:tcW w:type="dxa" w:w="28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Educación secundaria</w:t>
            </w:r>
          </w:p>
        </w:tc>
        <w:tc>
          <w:tcPr>
            <w:tcW w:type="dxa" w:w="352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Señales históricas anticipan abandono</w:t>
            </w:r>
          </w:p>
        </w:tc>
      </w:tr>
      <w:tr>
        <w:trPr>
          <w:cantSplit/>
        </w:trPr>
        <w:tc>
          <w:tcPr>
            <w:tcW w:type="dxa" w:w="70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[14]</w:t>
            </w:r>
          </w:p>
        </w:tc>
        <w:tc>
          <w:tcPr>
            <w:tcW w:type="dxa" w:w="25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Marcolino et al., 2025</w:t>
            </w:r>
          </w:p>
        </w:tc>
        <w:tc>
          <w:tcPr>
            <w:tcW w:type="dxa" w:w="28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Logs de Moodle + optimización</w:t>
            </w:r>
          </w:p>
        </w:tc>
        <w:tc>
          <w:tcPr>
            <w:tcW w:type="dxa" w:w="352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Optimización de hiperparámetros</w:t>
            </w:r>
          </w:p>
        </w:tc>
      </w:tr>
      <w:tr>
        <w:trPr>
          <w:cantSplit/>
        </w:trPr>
        <w:tc>
          <w:tcPr>
            <w:tcW w:type="dxa" w:w="70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[15]</w:t>
            </w:r>
          </w:p>
        </w:tc>
        <w:tc>
          <w:tcPr>
            <w:tcW w:type="dxa" w:w="25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Carballo Mendívil et al., 2025</w:t>
            </w:r>
          </w:p>
        </w:tc>
        <w:tc>
          <w:tcPr>
            <w:tcW w:type="dxa" w:w="28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XGBoost pre-matrícula</w:t>
            </w:r>
          </w:p>
        </w:tc>
        <w:tc>
          <w:tcPr>
            <w:tcW w:type="dxa" w:w="352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Predicción con datos previos a matrícula</w:t>
            </w:r>
          </w:p>
        </w:tc>
      </w:tr>
      <w:tr>
        <w:trPr>
          <w:cantSplit/>
        </w:trPr>
        <w:tc>
          <w:tcPr>
            <w:tcW w:type="dxa" w:w="70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[16]</w:t>
            </w:r>
          </w:p>
        </w:tc>
        <w:tc>
          <w:tcPr>
            <w:tcW w:type="dxa" w:w="25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Bettahi et al., 2025</w:t>
            </w:r>
          </w:p>
        </w:tc>
        <w:tc>
          <w:tcPr>
            <w:tcW w:type="dxa" w:w="28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Pipeline modular explicable</w:t>
            </w:r>
          </w:p>
        </w:tc>
        <w:tc>
          <w:tcPr>
            <w:tcW w:type="dxa" w:w="352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Preparación, predicción y explicación</w:t>
            </w:r>
          </w:p>
        </w:tc>
      </w:tr>
      <w:tr>
        <w:trPr>
          <w:cantSplit/>
        </w:trPr>
        <w:tc>
          <w:tcPr>
            <w:tcW w:type="dxa" w:w="70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[17]</w:t>
            </w:r>
          </w:p>
        </w:tc>
        <w:tc>
          <w:tcPr>
            <w:tcW w:type="dxa" w:w="25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Cheng et al., 2025</w:t>
            </w:r>
          </w:p>
        </w:tc>
        <w:tc>
          <w:tcPr>
            <w:tcW w:type="dxa" w:w="28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Cambios conductuales</w:t>
            </w:r>
          </w:p>
        </w:tc>
        <w:tc>
          <w:tcPr>
            <w:tcW w:type="dxa" w:w="352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Señales abruptas con pocos datos</w:t>
            </w:r>
          </w:p>
        </w:tc>
      </w:tr>
      <w:tr>
        <w:trPr>
          <w:cantSplit/>
        </w:trPr>
        <w:tc>
          <w:tcPr>
            <w:tcW w:type="dxa" w:w="70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[18]</w:t>
            </w:r>
          </w:p>
        </w:tc>
        <w:tc>
          <w:tcPr>
            <w:tcW w:type="dxa" w:w="25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Fields et al., 2026</w:t>
            </w:r>
          </w:p>
        </w:tc>
        <w:tc>
          <w:tcPr>
            <w:tcW w:type="dxa" w:w="28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Privacidad interinstitucional</w:t>
            </w:r>
          </w:p>
        </w:tc>
        <w:tc>
          <w:tcPr>
            <w:tcW w:type="dxa" w:w="352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Modelado con datos sensibles</w:t>
            </w:r>
          </w:p>
        </w:tc>
      </w:tr>
      <w:tr>
        <w:trPr>
          <w:cantSplit/>
        </w:trPr>
        <w:tc>
          <w:tcPr>
            <w:tcW w:type="dxa" w:w="70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[19]</w:t>
            </w:r>
          </w:p>
        </w:tc>
        <w:tc>
          <w:tcPr>
            <w:tcW w:type="dxa" w:w="25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Nti y Ramanayake, 2026</w:t>
            </w:r>
          </w:p>
        </w:tc>
        <w:tc>
          <w:tcPr>
            <w:tcW w:type="dxa" w:w="28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XAI e intervención</w:t>
            </w:r>
          </w:p>
        </w:tc>
        <w:tc>
          <w:tcPr>
            <w:tcW w:type="dxa" w:w="352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Riesgo explicado → acción personalizada</w:t>
            </w:r>
          </w:p>
        </w:tc>
      </w:tr>
      <w:tr>
        <w:trPr>
          <w:cantSplit/>
        </w:trPr>
        <w:tc>
          <w:tcPr>
            <w:tcW w:type="dxa" w:w="70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[20]</w:t>
            </w:r>
          </w:p>
        </w:tc>
        <w:tc>
          <w:tcPr>
            <w:tcW w:type="dxa" w:w="25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López Muñoz et al., 2026</w:t>
            </w:r>
          </w:p>
        </w:tc>
        <w:tc>
          <w:tcPr>
            <w:tcW w:type="dxa" w:w="28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Revisión sistemática</w:t>
            </w:r>
          </w:p>
        </w:tc>
        <w:tc>
          <w:tcPr>
            <w:tcW w:type="dxa" w:w="352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Métodos y factores de riesgo recientes</w:t>
            </w:r>
          </w:p>
        </w:tc>
      </w:tr>
    </w:tbl>
    <w:p>
      <w:pPr>
        <w:spacing w:after="120"/>
      </w:pPr>
    </w:p>
    <w:p>
      <w:pPr>
        <w:pStyle w:val="Heading2"/>
      </w:pPr>
      <w:r>
        <w:t xml:space="preserve">3.1 Evolución del área (2021–2026)</w:t>
      </w:r>
    </w:p>
    <w:p>
      <w:pPr>
        <w:keepNext/>
        <w:spacing w:after="60" w:before="120"/>
      </w:pPr>
      <w:r>
        <w:rPr>
          <w:b/>
          <w:bCs/>
          <w:color w:val="8B1E3F"/>
          <w:sz w:val="18"/>
          <w:szCs w:val="18"/>
        </w:rPr>
        <w:t xml:space="preserve">Tabla 8. </w:t>
      </w:r>
      <w:r>
        <w:rPr>
          <w:b/>
          <w:bCs/>
          <w:sz w:val="18"/>
          <w:szCs w:val="18"/>
        </w:rPr>
        <w:t xml:space="preserve">Línea de tiempo de avances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4380"/>
        <w:gridCol w:w="4382"/>
      </w:tblGrid>
      <w:tr>
        <w:trPr>
          <w:tblHeader/>
        </w:trPr>
        <w:tc>
          <w:tcPr>
            <w:tcW w:type="dxa" w:w="876"/>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Año</w:t>
            </w:r>
          </w:p>
        </w:tc>
        <w:tc>
          <w:tcPr>
            <w:tcW w:type="dxa" w:w="4380"/>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Avance observado</w:t>
            </w:r>
          </w:p>
        </w:tc>
        <w:tc>
          <w:tcPr>
            <w:tcW w:type="dxa" w:w="4382"/>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Implicación para el proyecto</w:t>
            </w:r>
          </w:p>
        </w:tc>
      </w:tr>
      <w:tr>
        <w:trPr>
          <w:cantSplit/>
        </w:trPr>
        <w:tc>
          <w:tcPr>
            <w:tcW w:type="dxa" w:w="87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2021</w:t>
            </w:r>
          </w:p>
        </w:tc>
        <w:tc>
          <w:tcPr>
            <w:tcW w:type="dxa" w:w="438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Modelos clásicos y casos institucionales de retención</w:t>
            </w:r>
          </w:p>
        </w:tc>
        <w:tc>
          <w:tcPr>
            <w:tcW w:type="dxa" w:w="438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Mantener una línea base interpretable</w:t>
            </w:r>
          </w:p>
        </w:tc>
      </w:tr>
      <w:tr>
        <w:trPr>
          <w:cantSplit/>
        </w:trPr>
        <w:tc>
          <w:tcPr>
            <w:tcW w:type="dxa" w:w="87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2022</w:t>
            </w:r>
          </w:p>
        </w:tc>
        <w:tc>
          <w:tcPr>
            <w:tcW w:type="dxa" w:w="438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Ensambles, datasets reproducibles y alertas tempranas</w:t>
            </w:r>
          </w:p>
        </w:tc>
        <w:tc>
          <w:tcPr>
            <w:tcW w:type="dxa" w:w="438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Comparar modelos con test temporal separado</w:t>
            </w:r>
          </w:p>
        </w:tc>
      </w:tr>
      <w:tr>
        <w:trPr>
          <w:cantSplit/>
        </w:trPr>
        <w:tc>
          <w:tcPr>
            <w:tcW w:type="dxa" w:w="87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2023</w:t>
            </w:r>
          </w:p>
        </w:tc>
        <w:tc>
          <w:tcPr>
            <w:tcW w:type="dxa" w:w="438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XAI e intervención personalizada</w:t>
            </w:r>
          </w:p>
        </w:tc>
        <w:tc>
          <w:tcPr>
            <w:tcW w:type="dxa" w:w="438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Explicar factores y ligar el riesgo a acciones humanas</w:t>
            </w:r>
          </w:p>
        </w:tc>
      </w:tr>
      <w:tr>
        <w:trPr>
          <w:cantSplit/>
        </w:trPr>
        <w:tc>
          <w:tcPr>
            <w:tcW w:type="dxa" w:w="87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2024</w:t>
            </w:r>
          </w:p>
        </w:tc>
        <w:tc>
          <w:tcPr>
            <w:tcW w:type="dxa" w:w="438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Estudios nacionales y escolares</w:t>
            </w:r>
          </w:p>
        </w:tc>
        <w:tc>
          <w:tcPr>
            <w:tcW w:type="dxa" w:w="438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No asumir transferencia automática entre instituciones</w:t>
            </w:r>
          </w:p>
        </w:tc>
      </w:tr>
      <w:tr>
        <w:trPr>
          <w:cantSplit/>
        </w:trPr>
        <w:tc>
          <w:tcPr>
            <w:tcW w:type="dxa" w:w="87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2025</w:t>
            </w:r>
          </w:p>
        </w:tc>
        <w:tc>
          <w:tcPr>
            <w:tcW w:type="dxa" w:w="438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Pipelines modulares y predicción pre-matrícula</w:t>
            </w:r>
          </w:p>
        </w:tc>
        <w:tc>
          <w:tcPr>
            <w:tcW w:type="dxa" w:w="438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Usar solo información disponible antes de t0</w:t>
            </w:r>
          </w:p>
        </w:tc>
      </w:tr>
      <w:tr>
        <w:trPr>
          <w:cantSplit/>
        </w:trPr>
        <w:tc>
          <w:tcPr>
            <w:tcW w:type="dxa" w:w="87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2026</w:t>
            </w:r>
          </w:p>
        </w:tc>
        <w:tc>
          <w:tcPr>
            <w:tcW w:type="dxa" w:w="438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Privacidad y enfoque responsable</w:t>
            </w:r>
          </w:p>
        </w:tc>
        <w:tc>
          <w:tcPr>
            <w:tcW w:type="dxa" w:w="438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Gobierno de datos y ruta de privacidad avanzada</w:t>
            </w:r>
          </w:p>
        </w:tc>
      </w:tr>
    </w:tbl>
    <w:p>
      <w:pPr>
        <w:spacing w:after="120"/>
      </w:pPr>
    </w:p>
    <w:p>
      <w:pPr>
        <w:pStyle w:val="Heading2"/>
      </w:pPr>
      <w:r>
        <w:t xml:space="preserve">3.2 Matriz de fortalezas y debilidades</w:t>
      </w:r>
    </w:p>
    <w:p>
      <w:pPr>
        <w:keepNext/>
        <w:spacing w:after="60" w:before="120"/>
      </w:pPr>
      <w:r>
        <w:rPr>
          <w:b/>
          <w:bCs/>
          <w:color w:val="8B1E3F"/>
          <w:sz w:val="18"/>
          <w:szCs w:val="18"/>
        </w:rPr>
        <w:t xml:space="preserve">Tabla 9. </w:t>
      </w:r>
      <w:r>
        <w:rPr>
          <w:b/>
          <w:bCs/>
          <w:sz w:val="18"/>
          <w:szCs w:val="18"/>
        </w:rPr>
        <w:t xml:space="preserve">Comparación de enfoques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3"/>
        <w:gridCol w:w="2344"/>
        <w:gridCol w:w="2344"/>
        <w:gridCol w:w="2867"/>
      </w:tblGrid>
      <w:tr>
        <w:trPr>
          <w:tblHeader/>
        </w:trPr>
        <w:tc>
          <w:tcPr>
            <w:tcW w:type="dxa" w:w="2083"/>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Enfoque</w:t>
            </w:r>
          </w:p>
        </w:tc>
        <w:tc>
          <w:tcPr>
            <w:tcW w:type="dxa" w:w="2344"/>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Fortalezas</w:t>
            </w:r>
          </w:p>
        </w:tc>
        <w:tc>
          <w:tcPr>
            <w:tcW w:type="dxa" w:w="2344"/>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Debilidades</w:t>
            </w:r>
          </w:p>
        </w:tc>
        <w:tc>
          <w:tcPr>
            <w:tcW w:type="dxa" w:w="2867"/>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Uso en el proyecto</w:t>
            </w:r>
          </w:p>
        </w:tc>
      </w:tr>
      <w:tr>
        <w:trPr>
          <w:cantSplit/>
        </w:trPr>
        <w:tc>
          <w:tcPr>
            <w:tcW w:type="dxa" w:w="208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Reglas y líneas base</w:t>
            </w:r>
          </w:p>
        </w:tc>
        <w:tc>
          <w:tcPr>
            <w:tcW w:type="dxa" w:w="234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Simples, transparentes, rápidas</w:t>
            </w:r>
          </w:p>
        </w:tc>
        <w:tc>
          <w:tcPr>
            <w:tcW w:type="dxa" w:w="234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No capturan interacciones ni incertidumbre</w:t>
            </w:r>
          </w:p>
        </w:tc>
        <w:tc>
          <w:tcPr>
            <w:tcW w:type="dxa" w:w="286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Obligatorias; D2 resultó la mejor</w:t>
            </w:r>
          </w:p>
        </w:tc>
      </w:tr>
      <w:tr>
        <w:trPr>
          <w:cantSplit/>
        </w:trPr>
        <w:tc>
          <w:tcPr>
            <w:tcW w:type="dxa" w:w="208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Regresión logística</w:t>
            </w:r>
          </w:p>
        </w:tc>
        <w:tc>
          <w:tcPr>
            <w:tcW w:type="dxa" w:w="234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Interpretable, apta para pocos datos</w:t>
            </w:r>
          </w:p>
        </w:tc>
        <w:tc>
          <w:tcPr>
            <w:tcW w:type="dxa" w:w="234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Relaciones lineales</w:t>
            </w:r>
          </w:p>
        </w:tc>
        <w:tc>
          <w:tcPr>
            <w:tcW w:type="dxa" w:w="286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Modelo obligatorio (elastic-net e híbrida)</w:t>
            </w:r>
          </w:p>
        </w:tc>
      </w:tr>
      <w:tr>
        <w:trPr>
          <w:cantSplit/>
        </w:trPr>
        <w:tc>
          <w:tcPr>
            <w:tcW w:type="dxa" w:w="208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Ensambles de árboles</w:t>
            </w:r>
          </w:p>
        </w:tc>
        <w:tc>
          <w:tcPr>
            <w:tcW w:type="dxa" w:w="234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Buen desempeño tabular y no lineal</w:t>
            </w:r>
          </w:p>
        </w:tc>
        <w:tc>
          <w:tcPr>
            <w:tcW w:type="dxa" w:w="234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Sobreajuste y menor interpretabilidad</w:t>
            </w:r>
          </w:p>
        </w:tc>
        <w:tc>
          <w:tcPr>
            <w:tcW w:type="dxa" w:w="286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Modelo obligatorio (gradient boosting monótono)</w:t>
            </w:r>
          </w:p>
        </w:tc>
      </w:tr>
      <w:tr>
        <w:trPr>
          <w:cantSplit/>
        </w:trPr>
        <w:tc>
          <w:tcPr>
            <w:tcW w:type="dxa" w:w="208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Stacking / deep learning</w:t>
            </w:r>
          </w:p>
        </w:tc>
        <w:tc>
          <w:tcPr>
            <w:tcW w:type="dxa" w:w="234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Robustez con muchos datos</w:t>
            </w:r>
          </w:p>
        </w:tc>
        <w:tc>
          <w:tcPr>
            <w:tcW w:type="dxa" w:w="234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Excesivos para ~200 eventos</w:t>
            </w:r>
          </w:p>
        </w:tc>
        <w:tc>
          <w:tcPr>
            <w:tcW w:type="dxa" w:w="286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Fuera de alcance</w:t>
            </w:r>
          </w:p>
        </w:tc>
      </w:tr>
      <w:tr>
        <w:trPr>
          <w:cantSplit/>
        </w:trPr>
        <w:tc>
          <w:tcPr>
            <w:tcW w:type="dxa" w:w="208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Explicabilidad (SHAP, permutación)</w:t>
            </w:r>
          </w:p>
        </w:tc>
        <w:tc>
          <w:tcPr>
            <w:tcW w:type="dxa" w:w="234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Confianza y revisión humana</w:t>
            </w:r>
          </w:p>
        </w:tc>
        <w:tc>
          <w:tcPr>
            <w:tcW w:type="dxa" w:w="234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No implica causalidad</w:t>
            </w:r>
          </w:p>
        </w:tc>
        <w:tc>
          <w:tcPr>
            <w:tcW w:type="dxa" w:w="286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Aplicada al modelo calibrado</w:t>
            </w:r>
          </w:p>
        </w:tc>
      </w:tr>
      <w:tr>
        <w:trPr>
          <w:cantSplit/>
        </w:trPr>
        <w:tc>
          <w:tcPr>
            <w:tcW w:type="dxa" w:w="208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Privacidad avanzada</w:t>
            </w:r>
          </w:p>
        </w:tc>
        <w:tc>
          <w:tcPr>
            <w:tcW w:type="dxa" w:w="234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Menor exposición de datos</w:t>
            </w:r>
          </w:p>
        </w:tc>
        <w:tc>
          <w:tcPr>
            <w:tcW w:type="dxa" w:w="234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Infraestructura adicional</w:t>
            </w:r>
          </w:p>
        </w:tc>
        <w:tc>
          <w:tcPr>
            <w:tcW w:type="dxa" w:w="286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Seudonimización + datos sintéticos</w:t>
            </w:r>
          </w:p>
        </w:tc>
      </w:tr>
    </w:tbl>
    <w:p>
      <w:pPr>
        <w:spacing w:after="120"/>
      </w:pPr>
    </w:p>
    <w:p>
      <w:pPr>
        <w:pStyle w:val="Heading2"/>
      </w:pPr>
      <w:r>
        <w:t xml:space="preserve">3.3 Brecha identificada</w:t>
      </w:r>
    </w:p>
    <w:p>
      <w:pPr>
        <w:spacing w:after="120"/>
        <w:jc w:val="both"/>
      </w:pPr>
      <w:r>
        <w:t xml:space="preserve">La literatura se concentra en abandono universitario o rendimiento en cursos. Hay poca evidencia sobre la </w:t>
      </w:r>
      <w:r>
        <w:rPr>
          <w:b/>
          <w:bCs/>
        </w:rPr>
        <w:t xml:space="preserve">conversión de reservas aprobadas en matrícula pagada</w:t>
      </w:r>
      <w:r>
        <w:t xml:space="preserve"> de estudiantes antiguos en colegios privados, usando el historial de pagos y la relación temporal entre reserva, corte y matrícula, y evaluando con la </w:t>
      </w:r>
      <w:r>
        <w:rPr>
          <w:b/>
          <w:bCs/>
        </w:rPr>
        <w:t xml:space="preserve">capacidad real de contacto</w:t>
      </w:r>
      <w:r>
        <w:t xml:space="preserve"> (Precision@k por familia) en lugar de métricas globales. El proyecto aborda esa brecha y, además, compara explícitamente los modelos con reglas administrativas simples, algo poco frecuente en los estudios revisados.</w:t>
      </w:r>
    </w:p>
    <w:p>
      <w:pPr>
        <w:pStyle w:val="Heading1"/>
        <w:pageBreakBefore/>
      </w:pPr>
      <w:r>
        <w:t xml:space="preserve">4. Análisis del dataset institucional</w:t>
      </w:r>
    </w:p>
    <w:p>
      <w:pPr>
        <w:pStyle w:val="Heading2"/>
      </w:pPr>
      <w:r>
        <w:t xml:space="preserve">4.1 Descripción técnica</w:t>
      </w:r>
    </w:p>
    <w:p>
      <w:pPr>
        <w:keepNext/>
        <w:spacing w:after="60" w:before="120"/>
      </w:pPr>
      <w:r>
        <w:rPr>
          <w:b/>
          <w:bCs/>
          <w:color w:val="8B1E3F"/>
          <w:sz w:val="18"/>
          <w:szCs w:val="18"/>
        </w:rPr>
        <w:t xml:space="preserve">Tabla 10. </w:t>
      </w:r>
      <w:r>
        <w:rPr>
          <w:b/>
          <w:bCs/>
          <w:sz w:val="18"/>
          <w:szCs w:val="18"/>
        </w:rPr>
        <w:t xml:space="preserve">Descripción del dataset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64"/>
        <w:gridCol w:w="7274"/>
      </w:tblGrid>
      <w:tr>
        <w:trPr>
          <w:tblHeader/>
        </w:trPr>
        <w:tc>
          <w:tcPr>
            <w:tcW w:type="dxa" w:w="2364"/>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Aspecto</w:t>
            </w:r>
          </w:p>
        </w:tc>
        <w:tc>
          <w:tcPr>
            <w:tcW w:type="dxa" w:w="7274"/>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Detalle</w:t>
            </w:r>
          </w:p>
        </w:tc>
      </w:tr>
      <w:tr>
        <w:trPr>
          <w:cantSplit/>
        </w:trPr>
        <w:tc>
          <w:tcPr>
            <w:tcW w:type="dxa" w:w="236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Fuente y formato</w:t>
            </w:r>
          </w:p>
        </w:tc>
        <w:tc>
          <w:tcPr>
            <w:tcW w:type="dxa" w:w="727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Excel institucional con una hoja por ciclo lectivo (2021–2022 a 2026–2027), 23 columnas.</w:t>
            </w:r>
          </w:p>
        </w:tc>
      </w:tr>
      <w:tr>
        <w:trPr>
          <w:cantSplit/>
        </w:trPr>
        <w:tc>
          <w:tcPr>
            <w:tcW w:type="dxa" w:w="236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Volumen</w:t>
            </w:r>
          </w:p>
        </w:tc>
        <w:tc>
          <w:tcPr>
            <w:tcW w:type="dxa" w:w="727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9.031 filas estudiante-ciclo; 2.733 estudiantes; 2.017 representantes; 1.299 a 1.582 filas por ciclo.</w:t>
            </w:r>
          </w:p>
        </w:tc>
      </w:tr>
      <w:tr>
        <w:trPr>
          <w:cantSplit/>
        </w:trPr>
        <w:tc>
          <w:tcPr>
            <w:tcW w:type="dxa" w:w="236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Sedes</w:t>
            </w:r>
          </w:p>
        </w:tc>
        <w:tc>
          <w:tcPr>
            <w:tcW w:type="dxa" w:w="727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Mucho Lote 1 (62 %) y Mucho Lote 2 (38 %); ML2 crece de 334 a 726 estudiantes.</w:t>
            </w:r>
          </w:p>
        </w:tc>
      </w:tr>
      <w:tr>
        <w:trPr>
          <w:cantSplit/>
        </w:trPr>
        <w:tc>
          <w:tcPr>
            <w:tcW w:type="dxa" w:w="236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Variables usadas</w:t>
            </w:r>
          </w:p>
        </w:tc>
        <w:tc>
          <w:tcPr>
            <w:tcW w:type="dxa" w:w="727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Sede, nivel/paralelo, promedio (0–10), conducta (A–E), fecha de pago de la matrícula, reserva, estado de la reserva, fecha y tipo de reserva, beca, pensiones pagadas tarde (mayo–enero), año de ingreso.</w:t>
            </w:r>
          </w:p>
        </w:tc>
      </w:tr>
      <w:tr>
        <w:trPr>
          <w:cantSplit/>
        </w:trPr>
        <w:tc>
          <w:tcPr>
            <w:tcW w:type="dxa" w:w="236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Llaves seudonimizadas</w:t>
            </w:r>
          </w:p>
        </w:tc>
        <w:tc>
          <w:tcPr>
            <w:tcW w:type="dxa" w:w="727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Cédula del estudiante (id_seudonimo) y del representante (id_familia_seudonimo).</w:t>
            </w:r>
          </w:p>
        </w:tc>
      </w:tr>
      <w:tr>
        <w:trPr>
          <w:cantSplit/>
        </w:trPr>
        <w:tc>
          <w:tcPr>
            <w:tcW w:type="dxa" w:w="236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Población modelable</w:t>
            </w:r>
          </w:p>
        </w:tc>
        <w:tc>
          <w:tcPr>
            <w:tcW w:type="dxa" w:w="727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1.035 a 1.411 elegibles por cohorte; 81 a 122 eventos de no matrícula.</w:t>
            </w:r>
          </w:p>
        </w:tc>
      </w:tr>
    </w:tbl>
    <w:p>
      <w:pPr>
        <w:spacing w:after="120"/>
      </w:pPr>
    </w:p>
    <w:p>
      <w:pPr>
        <w:pStyle w:val="Heading2"/>
      </w:pPr>
      <w:r>
        <w:t xml:space="preserve">4.2 Procedencia, licencia y accesibilidad</w:t>
      </w:r>
    </w:p>
    <w:p>
      <w:pPr>
        <w:spacing w:after="120"/>
        <w:jc w:val="both"/>
      </w:pPr>
      <w:r>
        <w:t xml:space="preserve">Los datos pertenecen a LEMAS y se usan con </w:t>
      </w:r>
      <w:r>
        <w:rPr>
          <w:b/>
          <w:bCs/>
        </w:rPr>
        <w:t xml:space="preserve">autorización institucional</w:t>
      </w:r>
      <w:r>
        <w:t xml:space="preserve"> (30-sep-2026) para fines académicos y de planificación. No tienen licencia pública ni costo. El acceso es restringido: la base identificable no sale de la institución; el equipo trabaja con la versión seudonimizada en Google Colab autorizado, y el repositorio público contiene solo código, una </w:t>
      </w:r>
      <w:r>
        <w:rPr>
          <w:b/>
          <w:bCs/>
        </w:rPr>
        <w:t xml:space="preserve">base sintética</w:t>
      </w:r>
      <w:r>
        <w:t xml:space="preserve"> con la misma estructura (calibrada con totales agregados) y resultados agregados con supresión de celdas menores a cinco.</w:t>
      </w:r>
    </w:p>
    <w:p>
      <w:pPr>
        <w:pStyle w:val="Heading2"/>
      </w:pPr>
      <w:r>
        <w:t xml:space="preserve">4.3 Calidad: completitud, consistencia y representatividad</w:t>
      </w:r>
    </w:p>
    <w:p>
      <w:pPr>
        <w:keepNext/>
        <w:spacing w:after="60" w:before="120"/>
      </w:pPr>
      <w:r>
        <w:rPr>
          <w:b/>
          <w:bCs/>
          <w:color w:val="8B1E3F"/>
          <w:sz w:val="18"/>
          <w:szCs w:val="18"/>
        </w:rPr>
        <w:t xml:space="preserve">Tabla 11. </w:t>
      </w:r>
      <w:r>
        <w:rPr>
          <w:b/>
          <w:bCs/>
          <w:sz w:val="18"/>
          <w:szCs w:val="18"/>
        </w:rPr>
        <w:t xml:space="preserve">Hallazgos de calidad y tratamiento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26"/>
        <w:gridCol w:w="5012"/>
      </w:tblGrid>
      <w:tr>
        <w:trPr>
          <w:tblHeader/>
        </w:trPr>
        <w:tc>
          <w:tcPr>
            <w:tcW w:type="dxa" w:w="4626"/>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Hallazgo</w:t>
            </w:r>
          </w:p>
        </w:tc>
        <w:tc>
          <w:tcPr>
            <w:tcW w:type="dxa" w:w="5012"/>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Tratamiento</w:t>
            </w:r>
          </w:p>
        </w:tc>
      </w:tr>
      <w:tr>
        <w:trPr>
          <w:cantSplit/>
        </w:trPr>
        <w:tc>
          <w:tcPr>
            <w:tcW w:type="dxa" w:w="4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Encabezados distintos entre hojas (anoaa / anoa; Fecha / Fecha Reserva)</w:t>
            </w:r>
          </w:p>
        </w:tc>
        <w:tc>
          <w:tcPr>
            <w:tcW w:type="dxa" w:w="501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Unificación por alias al leer; Excel corregido.</w:t>
            </w:r>
          </w:p>
        </w:tc>
      </w:tr>
      <w:tr>
        <w:trPr>
          <w:cantSplit/>
        </w:trPr>
        <w:tc>
          <w:tcPr>
            <w:tcW w:type="dxa" w:w="4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Dos formatos de curso («Segundo Grado EGB» / «Segundo Grado»; «Tercer Curso» / «Tercero de bachillerato»)</w:t>
            </w:r>
          </w:p>
        </w:tc>
        <w:tc>
          <w:tcPr>
            <w:tcW w:type="dxa" w:w="501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Normalización del curso; el último curso se detecta en ambos formatos.</w:t>
            </w:r>
          </w:p>
        </w:tc>
      </w:tr>
      <w:tr>
        <w:trPr>
          <w:cantSplit/>
        </w:trPr>
        <w:tc>
          <w:tcPr>
            <w:tcW w:type="dxa" w:w="4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Cédula genérica para familias extranjeras sin cédula ecuatoriana (39 estudiantes)</w:t>
            </w:r>
          </w:p>
        </w:tc>
        <w:tc>
          <w:tcPr>
            <w:tcW w:type="dxa" w:w="501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Cada estudiante es su propio contacto; la marca no es predictor (equivaldría a usar nacionalidad).</w:t>
            </w:r>
          </w:p>
        </w:tc>
      </w:tr>
      <w:tr>
        <w:trPr>
          <w:cantSplit/>
        </w:trPr>
        <w:tc>
          <w:tcPr>
            <w:tcW w:type="dxa" w:w="4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fecha_pago vacía (0,13 %), conducta «-» (&lt; 5 casos), año de ingreso vacío (0,01 %)</w:t>
            </w:r>
          </w:p>
        </w:tc>
        <w:tc>
          <w:tcPr>
            <w:tcW w:type="dxa" w:w="501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Sin pago = no matrícula en el destino; imputación en el preprocesamiento.</w:t>
            </w:r>
          </w:p>
        </w:tc>
      </w:tr>
      <w:tr>
        <w:trPr>
          <w:cantSplit/>
        </w:trPr>
        <w:tc>
          <w:tcPr>
            <w:tcW w:type="dxa" w:w="4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Hoja 2026–2027 sin notas ni reservas (ciclo en curso)</w:t>
            </w:r>
          </w:p>
        </w:tc>
        <w:tc>
          <w:tcPr>
            <w:tcW w:type="dxa" w:w="501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Se usa solo como destino de C5 (fecha de pago).</w:t>
            </w:r>
          </w:p>
        </w:tc>
      </w:tr>
      <w:tr>
        <w:trPr>
          <w:cantSplit/>
        </w:trPr>
        <w:tc>
          <w:tcPr>
            <w:tcW w:type="dxa" w:w="4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Conducta concentrada (94 % A; 18 % B en 2022 por la conversión a letras)</w:t>
            </w:r>
          </w:p>
        </w:tc>
        <w:tc>
          <w:tcPr>
            <w:tcW w:type="dxa" w:w="501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Conversión confirmada por la institución; baja varianza documentada.</w:t>
            </w:r>
          </w:p>
        </w:tc>
      </w:tr>
    </w:tbl>
    <w:p>
      <w:pPr>
        <w:spacing w:after="120"/>
      </w:pPr>
    </w:p>
    <w:p>
      <w:pPr>
        <w:keepNext/>
        <w:spacing w:after="60" w:before="120"/>
      </w:pPr>
      <w:r>
        <w:rPr>
          <w:b/>
          <w:bCs/>
          <w:color w:val="8B1E3F"/>
          <w:sz w:val="18"/>
          <w:szCs w:val="18"/>
        </w:rPr>
        <w:t xml:space="preserve">Tabla 12. </w:t>
      </w:r>
      <w:r>
        <w:rPr>
          <w:b/>
          <w:bCs/>
          <w:sz w:val="18"/>
          <w:szCs w:val="18"/>
        </w:rPr>
        <w:t xml:space="preserve">Población y eventos por cohorte (sección 6.3 del v5)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1"/>
        <w:gridCol w:w="1014"/>
        <w:gridCol w:w="1014"/>
        <w:gridCol w:w="1014"/>
        <w:gridCol w:w="811"/>
        <w:gridCol w:w="913"/>
        <w:gridCol w:w="1014"/>
        <w:gridCol w:w="913"/>
        <w:gridCol w:w="1014"/>
        <w:gridCol w:w="1120"/>
      </w:tblGrid>
      <w:tr>
        <w:trPr>
          <w:tblHeader/>
        </w:trPr>
        <w:tc>
          <w:tcPr>
            <w:tcW w:type="dxa" w:w="811"/>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Cohorte</w:t>
            </w:r>
          </w:p>
        </w:tc>
        <w:tc>
          <w:tcPr>
            <w:tcW w:type="dxa" w:w="1014"/>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N elegibles</w:t>
            </w:r>
          </w:p>
        </w:tc>
        <w:tc>
          <w:tcPr>
            <w:tcW w:type="dxa" w:w="1014"/>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M matrículas</w:t>
            </w:r>
          </w:p>
        </w:tc>
        <w:tc>
          <w:tcPr>
            <w:tcW w:type="dxa" w:w="1014"/>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U no matrículas</w:t>
            </w:r>
          </w:p>
        </w:tc>
        <w:tc>
          <w:tcPr>
            <w:tcW w:type="dxa" w:w="811"/>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q = U/N</w:t>
            </w:r>
          </w:p>
        </w:tc>
        <w:tc>
          <w:tcPr>
            <w:tcW w:type="dxa" w:w="913"/>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Familias</w:t>
            </w:r>
          </w:p>
        </w:tc>
        <w:tc>
          <w:tcPr>
            <w:tcW w:type="dxa" w:w="1014"/>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Fam. con no matr.</w:t>
            </w:r>
          </w:p>
        </w:tc>
        <w:tc>
          <w:tcPr>
            <w:tcW w:type="dxa" w:w="913"/>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q familiar</w:t>
            </w:r>
          </w:p>
        </w:tc>
        <w:tc>
          <w:tcPr>
            <w:tcW w:type="dxa" w:w="1014"/>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Exclusiones</w:t>
            </w:r>
          </w:p>
        </w:tc>
        <w:tc>
          <w:tcPr>
            <w:tcW w:type="dxa" w:w="1120"/>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Comparable</w:t>
            </w:r>
          </w:p>
        </w:tc>
      </w:tr>
      <w:tr>
        <w:trPr>
          <w:cantSplit/>
        </w:trPr>
        <w:tc>
          <w:tcPr>
            <w:tcW w:type="dxa" w:w="81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C1</w:t>
            </w:r>
          </w:p>
        </w:tc>
        <w:tc>
          <w:tcPr>
            <w:tcW w:type="dxa" w:w="101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1.035</w:t>
            </w:r>
          </w:p>
        </w:tc>
        <w:tc>
          <w:tcPr>
            <w:tcW w:type="dxa" w:w="101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920</w:t>
            </w:r>
          </w:p>
        </w:tc>
        <w:tc>
          <w:tcPr>
            <w:tcW w:type="dxa" w:w="101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115</w:t>
            </w:r>
          </w:p>
        </w:tc>
        <w:tc>
          <w:tcPr>
            <w:tcW w:type="dxa" w:w="81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0,111</w:t>
            </w:r>
          </w:p>
        </w:tc>
        <w:tc>
          <w:tcPr>
            <w:tcW w:type="dxa" w:w="91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797</w:t>
            </w:r>
          </w:p>
        </w:tc>
        <w:tc>
          <w:tcPr>
            <w:tcW w:type="dxa" w:w="101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102</w:t>
            </w:r>
          </w:p>
        </w:tc>
        <w:tc>
          <w:tcPr>
            <w:tcW w:type="dxa" w:w="91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0,128</w:t>
            </w:r>
          </w:p>
        </w:tc>
        <w:tc>
          <w:tcPr>
            <w:tcW w:type="dxa" w:w="101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263</w:t>
            </w:r>
          </w:p>
        </w:tc>
        <w:tc>
          <w:tcPr>
            <w:tcW w:type="dxa" w:w="11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No (excluida)</w:t>
            </w:r>
          </w:p>
        </w:tc>
      </w:tr>
      <w:tr>
        <w:trPr>
          <w:cantSplit/>
        </w:trPr>
        <w:tc>
          <w:tcPr>
            <w:tcW w:type="dxa" w:w="81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C2</w:t>
            </w:r>
          </w:p>
        </w:tc>
        <w:tc>
          <w:tcPr>
            <w:tcW w:type="dxa" w:w="101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1.236</w:t>
            </w:r>
          </w:p>
        </w:tc>
        <w:tc>
          <w:tcPr>
            <w:tcW w:type="dxa" w:w="101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1.124</w:t>
            </w:r>
          </w:p>
        </w:tc>
        <w:tc>
          <w:tcPr>
            <w:tcW w:type="dxa" w:w="101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112</w:t>
            </w:r>
          </w:p>
        </w:tc>
        <w:tc>
          <w:tcPr>
            <w:tcW w:type="dxa" w:w="81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0,091</w:t>
            </w:r>
          </w:p>
        </w:tc>
        <w:tc>
          <w:tcPr>
            <w:tcW w:type="dxa" w:w="91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948</w:t>
            </w:r>
          </w:p>
        </w:tc>
        <w:tc>
          <w:tcPr>
            <w:tcW w:type="dxa" w:w="101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96</w:t>
            </w:r>
          </w:p>
        </w:tc>
        <w:tc>
          <w:tcPr>
            <w:tcW w:type="dxa" w:w="91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0,101</w:t>
            </w:r>
          </w:p>
        </w:tc>
        <w:tc>
          <w:tcPr>
            <w:tcW w:type="dxa" w:w="101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247</w:t>
            </w:r>
          </w:p>
        </w:tc>
        <w:tc>
          <w:tcPr>
            <w:tcW w:type="dxa" w:w="11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Sí</w:t>
            </w:r>
          </w:p>
        </w:tc>
      </w:tr>
      <w:tr>
        <w:trPr>
          <w:cantSplit/>
        </w:trPr>
        <w:tc>
          <w:tcPr>
            <w:tcW w:type="dxa" w:w="81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C3</w:t>
            </w:r>
          </w:p>
        </w:tc>
        <w:tc>
          <w:tcPr>
            <w:tcW w:type="dxa" w:w="101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1.305</w:t>
            </w:r>
          </w:p>
        </w:tc>
        <w:tc>
          <w:tcPr>
            <w:tcW w:type="dxa" w:w="101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1.224</w:t>
            </w:r>
          </w:p>
        </w:tc>
        <w:tc>
          <w:tcPr>
            <w:tcW w:type="dxa" w:w="101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81</w:t>
            </w:r>
          </w:p>
        </w:tc>
        <w:tc>
          <w:tcPr>
            <w:tcW w:type="dxa" w:w="81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0,062</w:t>
            </w:r>
          </w:p>
        </w:tc>
        <w:tc>
          <w:tcPr>
            <w:tcW w:type="dxa" w:w="91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996</w:t>
            </w:r>
          </w:p>
        </w:tc>
        <w:tc>
          <w:tcPr>
            <w:tcW w:type="dxa" w:w="101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69</w:t>
            </w:r>
          </w:p>
        </w:tc>
        <w:tc>
          <w:tcPr>
            <w:tcW w:type="dxa" w:w="91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0,069</w:t>
            </w:r>
          </w:p>
        </w:tc>
        <w:tc>
          <w:tcPr>
            <w:tcW w:type="dxa" w:w="101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208</w:t>
            </w:r>
          </w:p>
        </w:tc>
        <w:tc>
          <w:tcPr>
            <w:tcW w:type="dxa" w:w="11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Sí</w:t>
            </w:r>
          </w:p>
        </w:tc>
      </w:tr>
      <w:tr>
        <w:trPr>
          <w:cantSplit/>
        </w:trPr>
        <w:tc>
          <w:tcPr>
            <w:tcW w:type="dxa" w:w="81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C4</w:t>
            </w:r>
          </w:p>
        </w:tc>
        <w:tc>
          <w:tcPr>
            <w:tcW w:type="dxa" w:w="101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1.374</w:t>
            </w:r>
          </w:p>
        </w:tc>
        <w:tc>
          <w:tcPr>
            <w:tcW w:type="dxa" w:w="101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1.252</w:t>
            </w:r>
          </w:p>
        </w:tc>
        <w:tc>
          <w:tcPr>
            <w:tcW w:type="dxa" w:w="101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122</w:t>
            </w:r>
          </w:p>
        </w:tc>
        <w:tc>
          <w:tcPr>
            <w:tcW w:type="dxa" w:w="81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0,089</w:t>
            </w:r>
          </w:p>
        </w:tc>
        <w:tc>
          <w:tcPr>
            <w:tcW w:type="dxa" w:w="91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1.042</w:t>
            </w:r>
          </w:p>
        </w:tc>
        <w:tc>
          <w:tcPr>
            <w:tcW w:type="dxa" w:w="101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95</w:t>
            </w:r>
          </w:p>
        </w:tc>
        <w:tc>
          <w:tcPr>
            <w:tcW w:type="dxa" w:w="91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0,091</w:t>
            </w:r>
          </w:p>
        </w:tc>
        <w:tc>
          <w:tcPr>
            <w:tcW w:type="dxa" w:w="101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205</w:t>
            </w:r>
          </w:p>
        </w:tc>
        <w:tc>
          <w:tcPr>
            <w:tcW w:type="dxa" w:w="11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Sí</w:t>
            </w:r>
          </w:p>
        </w:tc>
      </w:tr>
      <w:tr>
        <w:trPr>
          <w:cantSplit/>
        </w:trPr>
        <w:tc>
          <w:tcPr>
            <w:tcW w:type="dxa" w:w="81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C5</w:t>
            </w:r>
          </w:p>
        </w:tc>
        <w:tc>
          <w:tcPr>
            <w:tcW w:type="dxa" w:w="101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1.411</w:t>
            </w:r>
          </w:p>
        </w:tc>
        <w:tc>
          <w:tcPr>
            <w:tcW w:type="dxa" w:w="101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1.313</w:t>
            </w:r>
          </w:p>
        </w:tc>
        <w:tc>
          <w:tcPr>
            <w:tcW w:type="dxa" w:w="101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98</w:t>
            </w:r>
          </w:p>
        </w:tc>
        <w:tc>
          <w:tcPr>
            <w:tcW w:type="dxa" w:w="81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0,069</w:t>
            </w:r>
          </w:p>
        </w:tc>
        <w:tc>
          <w:tcPr>
            <w:tcW w:type="dxa" w:w="91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1.093</w:t>
            </w:r>
          </w:p>
        </w:tc>
        <w:tc>
          <w:tcPr>
            <w:tcW w:type="dxa" w:w="101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74</w:t>
            </w:r>
          </w:p>
        </w:tc>
        <w:tc>
          <w:tcPr>
            <w:tcW w:type="dxa" w:w="91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0,068</w:t>
            </w:r>
          </w:p>
        </w:tc>
        <w:tc>
          <w:tcPr>
            <w:tcW w:type="dxa" w:w="101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161</w:t>
            </w:r>
          </w:p>
        </w:tc>
        <w:tc>
          <w:tcPr>
            <w:tcW w:type="dxa" w:w="11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Sí</w:t>
            </w:r>
          </w:p>
        </w:tc>
      </w:tr>
    </w:tbl>
    <w:p>
      <w:pPr>
        <w:spacing w:after="120"/>
      </w:pPr>
    </w:p>
    <w:p>
      <w:pPr>
        <w:spacing w:after="160"/>
      </w:pPr>
      <w:r>
        <w:rPr>
          <w:i/>
          <w:iCs/>
          <w:color w:val="555555"/>
          <w:sz w:val="18"/>
          <w:szCs w:val="18"/>
        </w:rPr>
        <w:t xml:space="preserve">Exclusiones: sin reserva aprobada, reservas pendientes, reservas posteriores a t0, 3.º de bachillerato y pagos confirmados antes de t0. Todas las cohortes superan el mínimo de 30 eventos. Con solo reservas «Aprobar», q baja entre 0,2 y 1,1 puntos (sensibilidad).</w:t>
      </w:r>
    </w:p>
    <w:p>
      <w:pPr>
        <w:spacing w:after="60" w:before="120"/>
        <w:jc w:val="center"/>
      </w:pPr>
      <w:r>
        <w:drawing>
          <wp:inline distT="0" distB="0" distL="0" distR="0">
            <wp:extent cx="5040630" cy="1959504"/>
            <wp:effectExtent t="0" r="0" b="0" l="0"/>
            <wp:docPr id="1" name="fig1" descr="Población modelable y casos de no matrícula por cohorte (datos reales agregados)." title="Población modelable y casos de no matrícula por cohorte (datos reales agreg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40630" cy="1959504"/>
                    </a:xfrm>
                    <a:prstGeom prst="rect">
                      <a:avLst/>
                    </a:prstGeom>
                  </pic:spPr>
                </pic:pic>
              </a:graphicData>
            </a:graphic>
          </wp:inline>
        </w:drawing>
      </w:r>
    </w:p>
    <w:p>
      <w:pPr>
        <w:spacing w:after="200"/>
        <w:jc w:val="center"/>
      </w:pPr>
      <w:r>
        <w:rPr>
          <w:b/>
          <w:bCs/>
          <w:sz w:val="18"/>
          <w:szCs w:val="18"/>
        </w:rPr>
        <w:t xml:space="preserve">Figura 1. </w:t>
      </w:r>
      <w:r>
        <w:rPr>
          <w:i/>
          <w:iCs/>
          <w:sz w:val="18"/>
          <w:szCs w:val="18"/>
        </w:rPr>
        <w:t xml:space="preserve">Población modelable y casos de no matrícula por cohorte (datos reales agregados).</w:t>
      </w:r>
    </w:p>
    <w:p>
      <w:pPr>
        <w:pStyle w:val="Heading2"/>
      </w:pPr>
      <w:r>
        <w:t xml:space="preserve">4.4 Idoneidad: señales disponibles al corte</w:t>
      </w:r>
    </w:p>
    <w:p>
      <w:pPr>
        <w:spacing w:after="120"/>
        <w:jc w:val="both"/>
      </w:pPr>
      <w:r>
        <w:t xml:space="preserve">Al 99 % de los estudiantes antiguos les corresponde el pago entre t0 y H (2023–2026), lo que valida el corte del 20 de febrero. Las señales univariadas más fuertes son el </w:t>
      </w:r>
      <w:r>
        <w:rPr>
          <w:b/>
          <w:bCs/>
        </w:rPr>
        <w:t xml:space="preserve">pago tardío de la matrícula anterior</w:t>
      </w:r>
      <w:r>
        <w:t xml:space="preserve"> (≈ 24 % de no matrícula frente a 7,6 %), los </w:t>
      </w:r>
      <w:r>
        <w:rPr>
          <w:b/>
          <w:bCs/>
        </w:rPr>
        <w:t xml:space="preserve">atrasos en pensiones</w:t>
      </w:r>
      <w:r>
        <w:t xml:space="preserve"> (de 7 % con cero atrasos a ≈ 15,6 % con cinco), la </w:t>
      </w:r>
      <w:r>
        <w:rPr>
          <w:b/>
          <w:bCs/>
        </w:rPr>
        <w:t xml:space="preserve">reserva extraordinaria</w:t>
      </w:r>
      <w:r>
        <w:t xml:space="preserve"> (≈ 12,7 %) y el subnivel Preparatoria (≈ 11,4 %). Sede, beca, promedio y años de permanencia no muestran diferencias relevantes; todas las correlaciones con el resultado son débiles (|ρ| ≤ 0,07).</w:t>
      </w:r>
    </w:p>
    <w:p>
      <w:pPr>
        <w:spacing w:after="60" w:before="120"/>
        <w:jc w:val="center"/>
      </w:pPr>
      <w:r>
        <w:drawing>
          <wp:inline distT="0" distB="0" distL="0" distR="0">
            <wp:extent cx="5760720" cy="2868699"/>
            <wp:effectExtent t="0" r="0" b="0" l="0"/>
            <wp:docPr id="1" name="fig2" descr="Tasa de no matrícula por variable categórica (línea punteada: tasa global)." title="Tasa de no matrícula por variable categórica (línea punteada: tasa glob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2868699"/>
                    </a:xfrm>
                    <a:prstGeom prst="rect">
                      <a:avLst/>
                    </a:prstGeom>
                  </pic:spPr>
                </pic:pic>
              </a:graphicData>
            </a:graphic>
          </wp:inline>
        </w:drawing>
      </w:r>
    </w:p>
    <w:p>
      <w:pPr>
        <w:spacing w:after="200"/>
        <w:jc w:val="center"/>
      </w:pPr>
      <w:r>
        <w:rPr>
          <w:b/>
          <w:bCs/>
          <w:sz w:val="18"/>
          <w:szCs w:val="18"/>
        </w:rPr>
        <w:t xml:space="preserve">Figura 2. </w:t>
      </w:r>
      <w:r>
        <w:rPr>
          <w:i/>
          <w:iCs/>
          <w:sz w:val="18"/>
          <w:szCs w:val="18"/>
        </w:rPr>
        <w:t xml:space="preserve">Tasa de no matrícula por variable categórica (línea punteada: tasa global).</w:t>
      </w:r>
    </w:p>
    <w:p>
      <w:pPr>
        <w:spacing w:after="60" w:before="120"/>
        <w:jc w:val="center"/>
      </w:pPr>
      <w:r>
        <w:drawing>
          <wp:inline distT="0" distB="0" distL="0" distR="0">
            <wp:extent cx="5760720" cy="1500157"/>
            <wp:effectExtent t="0" r="0" b="0" l="0"/>
            <wp:docPr id="1" name="fig3" descr="Tasa de no matrícula según pensiones pagadas tarde y hermanos en LEMAS." title="Tasa de no matrícula según pensiones pagadas tarde y hermanos en LE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1500157"/>
                    </a:xfrm>
                    <a:prstGeom prst="rect">
                      <a:avLst/>
                    </a:prstGeom>
                  </pic:spPr>
                </pic:pic>
              </a:graphicData>
            </a:graphic>
          </wp:inline>
        </w:drawing>
      </w:r>
    </w:p>
    <w:p>
      <w:pPr>
        <w:spacing w:after="200"/>
        <w:jc w:val="center"/>
      </w:pPr>
      <w:r>
        <w:rPr>
          <w:b/>
          <w:bCs/>
          <w:sz w:val="18"/>
          <w:szCs w:val="18"/>
        </w:rPr>
        <w:t xml:space="preserve">Figura 3. </w:t>
      </w:r>
      <w:r>
        <w:rPr>
          <w:i/>
          <w:iCs/>
          <w:sz w:val="18"/>
          <w:szCs w:val="18"/>
        </w:rPr>
        <w:t xml:space="preserve">Tasa de no matrícula según pensiones pagadas tarde y hermanos en LEMAS.</w:t>
      </w:r>
    </w:p>
    <w:p>
      <w:pPr>
        <w:pStyle w:val="Heading2"/>
      </w:pPr>
      <w:r>
        <w:t xml:space="preserve">4.5 Protección de datos y seudonimización</w:t>
      </w:r>
    </w:p>
    <w:p>
      <w:pPr>
        <w:pStyle w:val="ListParagraph"/>
        <w:numPr>
          <w:ilvl w:val="0"/>
          <w:numId w:val="2"/>
        </w:numPr>
        <w:spacing w:after="60"/>
      </w:pPr>
      <w:r>
        <w:t xml:space="preserve">Exportación del Excel dentro de LEMAS con la lista mínima de campos; se eliminan nombres, código interno y columnas financieras (saldo, deuda, estado).</w:t>
      </w:r>
    </w:p>
    <w:p>
      <w:pPr>
        <w:pStyle w:val="ListParagraph"/>
        <w:numPr>
          <w:ilvl w:val="0"/>
          <w:numId w:val="2"/>
        </w:numPr>
        <w:spacing w:after="60"/>
      </w:pPr>
      <w:r>
        <w:t xml:space="preserve">Seudonimización con </w:t>
      </w:r>
      <w:r>
        <w:rPr>
          <w:b/>
          <w:bCs/>
        </w:rPr>
        <w:t xml:space="preserve">HMAC-SHA256</w:t>
      </w:r>
      <w:r>
        <w:t xml:space="preserve"> y clave secreta del custodio: la cédula del estudiante y la del representante se reemplazan por códigos estables entre ciclos; el año de ingreso se deriva antes de borrar el código interno.</w:t>
      </w:r>
    </w:p>
    <w:p>
      <w:pPr>
        <w:pStyle w:val="ListParagraph"/>
        <w:numPr>
          <w:ilvl w:val="0"/>
          <w:numId w:val="2"/>
        </w:numPr>
        <w:spacing w:after="60"/>
      </w:pPr>
      <w:r>
        <w:t xml:space="preserve">Acta con la huella SHA-256 del archivo resultante y verificación automática de que no quedan identificadores.</w:t>
      </w:r>
    </w:p>
    <w:p>
      <w:pPr>
        <w:pStyle w:val="ListParagraph"/>
        <w:numPr>
          <w:ilvl w:val="0"/>
          <w:numId w:val="2"/>
        </w:numPr>
        <w:spacing w:after="60"/>
      </w:pPr>
      <w:r>
        <w:t xml:space="preserve">El análisis académico se hizo en Colab autorizado, con la base seudonimizada. El uso operativo ocurre en un equipo de LEMAS (modo institucional), donde los nombres solo los ve el custodio o el personal autorizado. Los resultados se publican agregados y con supresión de celdas menores a cinco.</w:t>
      </w:r>
    </w:p>
    <w:p>
      <w:pPr>
        <w:pStyle w:val="Heading1"/>
        <w:pageBreakBefore/>
      </w:pPr>
      <w:r>
        <w:t xml:space="preserve">5. Métricas de éxito</w:t>
      </w:r>
    </w:p>
    <w:p>
      <w:pPr>
        <w:pStyle w:val="Heading2"/>
      </w:pPr>
      <w:r>
        <w:t xml:space="preserve">5.1 Métricas técnicas</w:t>
      </w:r>
    </w:p>
    <w:p>
      <w:pPr>
        <w:keepNext/>
        <w:spacing w:after="60" w:before="120"/>
      </w:pPr>
      <w:r>
        <w:rPr>
          <w:b/>
          <w:bCs/>
          <w:color w:val="8B1E3F"/>
          <w:sz w:val="18"/>
          <w:szCs w:val="18"/>
        </w:rPr>
        <w:t xml:space="preserve">Tabla 13. </w:t>
      </w:r>
      <w:r>
        <w:rPr>
          <w:b/>
          <w:bCs/>
          <w:sz w:val="18"/>
          <w:szCs w:val="18"/>
        </w:rPr>
        <w:t xml:space="preserve">Métricas técnicas, umbrales y resultado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36"/>
        <w:gridCol w:w="1460"/>
        <w:gridCol w:w="1606"/>
        <w:gridCol w:w="1898"/>
        <w:gridCol w:w="2338"/>
      </w:tblGrid>
      <w:tr>
        <w:trPr>
          <w:tblHeader/>
        </w:trPr>
        <w:tc>
          <w:tcPr>
            <w:tcW w:type="dxa" w:w="2336"/>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Métrica</w:t>
            </w:r>
          </w:p>
        </w:tc>
        <w:tc>
          <w:tcPr>
            <w:tcW w:type="dxa" w:w="1460"/>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Rol</w:t>
            </w:r>
          </w:p>
        </w:tc>
        <w:tc>
          <w:tcPr>
            <w:tcW w:type="dxa" w:w="1606"/>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Umbral mínimo</w:t>
            </w:r>
          </w:p>
        </w:tc>
        <w:tc>
          <w:tcPr>
            <w:tcW w:type="dxa" w:w="1898"/>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Meta de excelencia</w:t>
            </w:r>
          </w:p>
        </w:tc>
        <w:tc>
          <w:tcPr>
            <w:tcW w:type="dxa" w:w="2338"/>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Resultado C5</w:t>
            </w:r>
          </w:p>
        </w:tc>
      </w:tr>
      <w:tr>
        <w:trPr>
          <w:cantSplit/>
        </w:trPr>
        <w:tc>
          <w:tcPr>
            <w:tcW w:type="dxa" w:w="23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Precision@k familiar</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Primaria</w:t>
            </w:r>
          </w:p>
        </w:tc>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&gt; q familiar</w:t>
            </w:r>
          </w:p>
        </w:tc>
        <w:tc>
          <w:tcPr>
            <w:tcW w:type="dxa" w:w="189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Lift ≥ 1,20 con IC</w:t>
            </w:r>
          </w:p>
        </w:tc>
        <w:tc>
          <w:tcPr>
            <w:tcW w:type="dxa" w:w="23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0,133 (q = 0,068) ✅</w:t>
            </w:r>
          </w:p>
        </w:tc>
      </w:tr>
      <w:tr>
        <w:trPr>
          <w:cantSplit/>
        </w:trPr>
        <w:tc>
          <w:tcPr>
            <w:tcW w:type="dxa" w:w="23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Lift@k familiar</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Primaria</w:t>
            </w:r>
          </w:p>
        </w:tc>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 1,20</w:t>
            </w:r>
          </w:p>
        </w:tc>
        <w:tc>
          <w:tcPr>
            <w:tcW w:type="dxa" w:w="189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Límite inferior del IC &gt; 1</w:t>
            </w:r>
          </w:p>
        </w:tc>
        <w:tc>
          <w:tcPr>
            <w:tcW w:type="dxa" w:w="23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1,97 [1,24; 2,56] ✅</w:t>
            </w:r>
          </w:p>
        </w:tc>
      </w:tr>
      <w:tr>
        <w:trPr>
          <w:cantSplit/>
        </w:trPr>
        <w:tc>
          <w:tcPr>
            <w:tcW w:type="dxa" w:w="23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Recall@k familiar</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Secundaria</w:t>
            </w:r>
          </w:p>
        </w:tc>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Reportar a igual k</w:t>
            </w:r>
          </w:p>
        </w:tc>
        <w:tc>
          <w:tcPr>
            <w:tcW w:type="dxa" w:w="189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Mayor que el azar</w:t>
            </w:r>
          </w:p>
        </w:tc>
        <w:tc>
          <w:tcPr>
            <w:tcW w:type="dxa" w:w="23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0,30 vs 0,16 ✅</w:t>
            </w:r>
          </w:p>
        </w:tc>
      </w:tr>
      <w:tr>
        <w:trPr>
          <w:cantSplit/>
        </w:trPr>
        <w:tc>
          <w:tcPr>
            <w:tcW w:type="dxa" w:w="23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AP (PR-AUC) por estudiante</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Secundaria</w:t>
            </w:r>
          </w:p>
        </w:tc>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&gt; tasa base</w:t>
            </w:r>
          </w:p>
        </w:tc>
        <w:tc>
          <w:tcPr>
            <w:tcW w:type="dxa" w:w="189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w:t>
            </w:r>
          </w:p>
        </w:tc>
        <w:tc>
          <w:tcPr>
            <w:tcW w:type="dxa" w:w="23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0,097 vs 0,070 ✅</w:t>
            </w:r>
          </w:p>
        </w:tc>
      </w:tr>
      <w:tr>
        <w:trPr>
          <w:cantSplit/>
        </w:trPr>
        <w:tc>
          <w:tcPr>
            <w:tcW w:type="dxa" w:w="23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ROC-AUC</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Secundaria</w:t>
            </w:r>
          </w:p>
        </w:tc>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Reportar</w:t>
            </w:r>
          </w:p>
        </w:tc>
        <w:tc>
          <w:tcPr>
            <w:tcW w:type="dxa" w:w="189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w:t>
            </w:r>
          </w:p>
        </w:tc>
        <w:tc>
          <w:tcPr>
            <w:tcW w:type="dxa" w:w="23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0,58 (D2)</w:t>
            </w:r>
          </w:p>
        </w:tc>
      </w:tr>
      <w:tr>
        <w:trPr>
          <w:cantSplit/>
        </w:trPr>
        <w:tc>
          <w:tcPr>
            <w:tcW w:type="dxa" w:w="23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Brier por estudiante</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Calibración</w:t>
            </w:r>
          </w:p>
        </w:tc>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&lt; B1</w:t>
            </w:r>
          </w:p>
        </w:tc>
        <w:tc>
          <w:tcPr>
            <w:tcW w:type="dxa" w:w="189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w:t>
            </w:r>
          </w:p>
        </w:tc>
        <w:tc>
          <w:tcPr>
            <w:tcW w:type="dxa" w:w="23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0,0648 vs 0,0647 ❌</w:t>
            </w:r>
          </w:p>
        </w:tc>
      </w:tr>
      <w:tr>
        <w:trPr>
          <w:cantSplit/>
        </w:trPr>
        <w:tc>
          <w:tcPr>
            <w:tcW w:type="dxa" w:w="23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MAPE por sede y subnivel</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Proyección</w:t>
            </w:r>
          </w:p>
        </w:tc>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 15 % y &lt; B1</w:t>
            </w:r>
          </w:p>
        </w:tc>
        <w:tc>
          <w:tcPr>
            <w:tcW w:type="dxa" w:w="189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 10 %</w:t>
            </w:r>
          </w:p>
        </w:tc>
        <w:tc>
          <w:tcPr>
            <w:tcW w:type="dxa" w:w="23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2,8 % vs 2,8 % ⚠️</w:t>
            </w:r>
          </w:p>
        </w:tc>
      </w:tr>
      <w:tr>
        <w:trPr>
          <w:cantSplit/>
        </w:trPr>
        <w:tc>
          <w:tcPr>
            <w:tcW w:type="dxa" w:w="23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Tiempo de ejecución</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Eficiencia</w:t>
            </w:r>
          </w:p>
        </w:tc>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 5 minutos</w:t>
            </w:r>
          </w:p>
        </w:tc>
        <w:tc>
          <w:tcPr>
            <w:tcW w:type="dxa" w:w="189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w:t>
            </w:r>
          </w:p>
        </w:tc>
        <w:tc>
          <w:tcPr>
            <w:tcW w:type="dxa" w:w="23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&lt; 10 s en la app ✅</w:t>
            </w:r>
          </w:p>
        </w:tc>
      </w:tr>
    </w:tbl>
    <w:p>
      <w:pPr>
        <w:spacing w:after="120"/>
      </w:pPr>
    </w:p>
    <w:p>
      <w:pPr>
        <w:pStyle w:val="Heading2"/>
      </w:pPr>
      <w:r>
        <w:t xml:space="preserve">5.2 Métricas de impacto y adopción</w:t>
      </w:r>
    </w:p>
    <w:p>
      <w:pPr>
        <w:keepNext/>
        <w:spacing w:after="60" w:before="120"/>
      </w:pPr>
      <w:r>
        <w:rPr>
          <w:b/>
          <w:bCs/>
          <w:color w:val="8B1E3F"/>
          <w:sz w:val="18"/>
          <w:szCs w:val="18"/>
        </w:rPr>
        <w:t xml:space="preserve">Tabla 14. </w:t>
      </w:r>
      <w:r>
        <w:rPr>
          <w:b/>
          <w:bCs/>
          <w:sz w:val="18"/>
          <w:szCs w:val="18"/>
        </w:rPr>
        <w:t xml:space="preserve">KPIs de impacto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570"/>
        <w:gridCol w:w="4177"/>
      </w:tblGrid>
      <w:tr>
        <w:trPr>
          <w:tblHeader/>
        </w:trPr>
        <w:tc>
          <w:tcPr>
            <w:tcW w:type="dxa" w:w="2891"/>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KPI</w:t>
            </w:r>
          </w:p>
        </w:tc>
        <w:tc>
          <w:tcPr>
            <w:tcW w:type="dxa" w:w="2570"/>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Meta</w:t>
            </w:r>
          </w:p>
        </w:tc>
        <w:tc>
          <w:tcPr>
            <w:tcW w:type="dxa" w:w="4177"/>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Medición</w:t>
            </w:r>
          </w:p>
        </w:tc>
      </w:tr>
      <w:tr>
        <w:trPr>
          <w:cantSplit/>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Cobertura de casos con capacidad fija</w:t>
            </w:r>
          </w:p>
        </w:tc>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Alcanzar más casos que el azar</w:t>
            </w:r>
          </w:p>
        </w:tc>
        <w:tc>
          <w:tcPr>
            <w:tcW w:type="dxa" w:w="417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30 % de las familias con no matrícula contactando al 15 % (C5)</w:t>
            </w:r>
          </w:p>
        </w:tc>
      </w:tr>
      <w:tr>
        <w:trPr>
          <w:cantSplit/>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Anticipación</w:t>
            </w:r>
          </w:p>
        </w:tc>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69 días entre t0 y H</w:t>
            </w:r>
          </w:p>
        </w:tc>
        <w:tc>
          <w:tcPr>
            <w:tcW w:type="dxa" w:w="417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Lista disponible el 20 de febrero</w:t>
            </w:r>
          </w:p>
        </w:tc>
      </w:tr>
      <w:tr>
        <w:trPr>
          <w:cantSplit/>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Utilidad percibida</w:t>
            </w:r>
          </w:p>
        </w:tc>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 4/5 (4 usuarios, 3 áreas)</w:t>
            </w:r>
          </w:p>
        </w:tc>
        <w:tc>
          <w:tcPr>
            <w:tcW w:type="dxa" w:w="417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Encuesta del Anexo E (programada)</w:t>
            </w:r>
          </w:p>
        </w:tc>
      </w:tr>
      <w:tr>
        <w:trPr>
          <w:cantSplit/>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Comprensión</w:t>
            </w:r>
          </w:p>
        </w:tc>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 80 % interpreta bien la lista</w:t>
            </w:r>
          </w:p>
        </w:tc>
        <w:tc>
          <w:tcPr>
            <w:tcW w:type="dxa" w:w="417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Tareas de interpretación (programada)</w:t>
            </w:r>
          </w:p>
        </w:tc>
      </w:tr>
      <w:tr>
        <w:trPr>
          <w:cantSplit/>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Ahorro de preparación</w:t>
            </w:r>
          </w:p>
        </w:tc>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 50 % del tiempo manual</w:t>
            </w:r>
          </w:p>
        </w:tc>
        <w:tc>
          <w:tcPr>
            <w:tcW w:type="dxa" w:w="417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Tiempo de generar la lista en la app (&lt; 1 minuto)</w:t>
            </w:r>
          </w:p>
        </w:tc>
      </w:tr>
      <w:tr>
        <w:trPr>
          <w:cantSplit/>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Respeto de capacidad</w:t>
            </w:r>
          </w:p>
        </w:tc>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 k familias, cero duplicados</w:t>
            </w:r>
          </w:p>
        </w:tc>
        <w:tc>
          <w:tcPr>
            <w:tcW w:type="dxa" w:w="417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Verificado por pruebas automáticas</w:t>
            </w:r>
          </w:p>
        </w:tc>
      </w:tr>
    </w:tbl>
    <w:p>
      <w:pPr>
        <w:spacing w:after="120"/>
      </w:pPr>
    </w:p>
    <w:p>
      <w:pPr>
        <w:spacing w:after="120"/>
        <w:jc w:val="both"/>
      </w:pPr>
      <w:r>
        <w:rPr>
          <w:b/>
          <w:bCs/>
        </w:rPr>
        <w:t xml:space="preserve">Benchmark.</w:t>
      </w:r>
      <w:r>
        <w:t xml:space="preserve"> La literatura reporta mejoras sobre el azar en contextos universitarios con miles de eventos; por eso la meta del proyecto se fijó en términos relativos a la capacidad (Lift@k ≥ 1,20) y no en valores absolutos de exactitud, que serían engañosos con clases desbalanceadas (≈ 8 % de eventos).</w:t>
      </w:r>
    </w:p>
    <w:p>
      <w:pPr>
        <w:pStyle w:val="Heading1"/>
        <w:pageBreakBefore/>
      </w:pPr>
      <w:r>
        <w:t xml:space="preserve">6. Metodología, modelado y resultados</w:t>
      </w:r>
    </w:p>
    <w:p>
      <w:pPr>
        <w:pStyle w:val="Heading2"/>
      </w:pPr>
      <w:r>
        <w:t xml:space="preserve">6.1 Protocolo temporal</w:t>
      </w:r>
    </w:p>
    <w:p>
      <w:pPr>
        <w:keepNext/>
        <w:spacing w:after="60" w:before="120"/>
      </w:pPr>
      <w:r>
        <w:rPr>
          <w:b/>
          <w:bCs/>
          <w:color w:val="8B1E3F"/>
          <w:sz w:val="18"/>
          <w:szCs w:val="18"/>
        </w:rPr>
        <w:t xml:space="preserve">Tabla 15. </w:t>
      </w:r>
      <w:r>
        <w:rPr>
          <w:b/>
          <w:bCs/>
          <w:sz w:val="18"/>
          <w:szCs w:val="18"/>
        </w:rPr>
        <w:t xml:space="preserve">Partición temporal y uso de cada cohorte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48"/>
        <w:gridCol w:w="1606"/>
        <w:gridCol w:w="5784"/>
      </w:tblGrid>
      <w:tr>
        <w:trPr>
          <w:tblHeader/>
        </w:trPr>
        <w:tc>
          <w:tcPr>
            <w:tcW w:type="dxa" w:w="2248"/>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Rol</w:t>
            </w:r>
          </w:p>
        </w:tc>
        <w:tc>
          <w:tcPr>
            <w:tcW w:type="dxa" w:w="1606"/>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Cohorte</w:t>
            </w:r>
          </w:p>
        </w:tc>
        <w:tc>
          <w:tcPr>
            <w:tcW w:type="dxa" w:w="5784"/>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Uso</w:t>
            </w:r>
          </w:p>
        </w:tc>
      </w:tr>
      <w:tr>
        <w:trPr>
          <w:cantSplit/>
        </w:trPr>
        <w:tc>
          <w:tcPr>
            <w:tcW w:type="dxa" w:w="224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Entrenamiento</w:t>
            </w:r>
          </w:p>
        </w:tc>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C2 + C3</w:t>
            </w:r>
          </w:p>
        </w:tc>
        <w:tc>
          <w:tcPr>
            <w:tcW w:type="dxa" w:w="578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Ajuste de preprocesamiento y modelos; C1 excluida por la auditoría</w:t>
            </w:r>
          </w:p>
        </w:tc>
      </w:tr>
      <w:tr>
        <w:trPr>
          <w:cantSplit/>
        </w:trPr>
        <w:tc>
          <w:tcPr>
            <w:tcW w:type="dxa" w:w="224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Optimización interna</w:t>
            </w:r>
          </w:p>
        </w:tc>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C2 → C3</w:t>
            </w:r>
          </w:p>
        </w:tc>
        <w:tc>
          <w:tcPr>
            <w:tcW w:type="dxa" w:w="578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Optuna maximiza la PR-AUC sin tocar C4 ni C5</w:t>
            </w:r>
          </w:p>
        </w:tc>
      </w:tr>
      <w:tr>
        <w:trPr>
          <w:cantSplit/>
        </w:trPr>
        <w:tc>
          <w:tcPr>
            <w:tcW w:type="dxa" w:w="224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Selección y calibración</w:t>
            </w:r>
          </w:p>
        </w:tc>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C4</w:t>
            </w:r>
          </w:p>
        </w:tc>
        <w:tc>
          <w:tcPr>
            <w:tcW w:type="dxa" w:w="578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Lift@k frente a reglas D y D2; calibración de Platt</w:t>
            </w:r>
          </w:p>
        </w:tc>
      </w:tr>
      <w:tr>
        <w:trPr>
          <w:cantSplit/>
        </w:trPr>
        <w:tc>
          <w:tcPr>
            <w:tcW w:type="dxa" w:w="224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Prueba final</w:t>
            </w:r>
          </w:p>
        </w:tc>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C5</w:t>
            </w:r>
          </w:p>
        </w:tc>
        <w:tc>
          <w:tcPr>
            <w:tcW w:type="dxa" w:w="578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Una sola evaluación con el sistema congelado (huella SHA-256)</w:t>
            </w:r>
          </w:p>
        </w:tc>
      </w:tr>
    </w:tbl>
    <w:p>
      <w:pPr>
        <w:spacing w:after="120"/>
      </w:pPr>
    </w:p>
    <w:p>
      <w:pPr>
        <w:pStyle w:val="Heading2"/>
      </w:pPr>
      <w:r>
        <w:t xml:space="preserve">6.2 Auditoría y decisión sobre C1</w:t>
      </w:r>
    </w:p>
    <w:p>
      <w:pPr>
        <w:spacing w:after="120"/>
        <w:jc w:val="both"/>
      </w:pPr>
      <w:r>
        <w:t xml:space="preserve">C1 (2021–22, pospandemia) presentó diferencias estandarizadas mayores a 0,20 en promedio (+0,24), proporción de nuevos (−0,23), sede (±0,22) y conducta (+0,21). Al entrenar con C1+C2+C3, la Precision@k en C4 bajó de 0,139 a 0,112 (Δ = −0,027, mayor que la tolerancia registrada de 0,02; IC 95 % bootstrap [−0,061; +0,012]). Por la regla definida antes de ver resultados, </w:t>
      </w:r>
      <w:r>
        <w:rPr>
          <w:b/>
          <w:bCs/>
        </w:rPr>
        <w:t xml:space="preserve">C1 se excluyó</w:t>
      </w:r>
      <w:r>
        <w:t xml:space="preserve">.</w:t>
      </w:r>
    </w:p>
    <w:p>
      <w:pPr>
        <w:spacing w:after="60" w:before="120"/>
        <w:jc w:val="center"/>
      </w:pPr>
      <w:r>
        <w:drawing>
          <wp:inline distT="0" distB="0" distL="0" distR="0">
            <wp:extent cx="4320540" cy="2460585"/>
            <wp:effectExtent t="0" r="0" b="0" l="0"/>
            <wp:docPr id="1" name="fig4" descr="Diferencias estandarizadas de C1 frente a C2–C4 (umbral ±0,20)." title="Diferencias estandarizadas de C1 frente a C2–C4 (umbral ±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20540" cy="2460585"/>
                    </a:xfrm>
                    <a:prstGeom prst="rect">
                      <a:avLst/>
                    </a:prstGeom>
                  </pic:spPr>
                </pic:pic>
              </a:graphicData>
            </a:graphic>
          </wp:inline>
        </w:drawing>
      </w:r>
    </w:p>
    <w:p>
      <w:pPr>
        <w:spacing w:after="200"/>
        <w:jc w:val="center"/>
      </w:pPr>
      <w:r>
        <w:rPr>
          <w:b/>
          <w:bCs/>
          <w:sz w:val="18"/>
          <w:szCs w:val="18"/>
        </w:rPr>
        <w:t xml:space="preserve">Figura 4. </w:t>
      </w:r>
      <w:r>
        <w:rPr>
          <w:i/>
          <w:iCs/>
          <w:sz w:val="18"/>
          <w:szCs w:val="18"/>
        </w:rPr>
        <w:t xml:space="preserve">Diferencias estandarizadas de C1 frente a C2–C4 (umbral ±0,20).</w:t>
      </w:r>
    </w:p>
    <w:p>
      <w:pPr>
        <w:pStyle w:val="Heading2"/>
      </w:pPr>
      <w:r>
        <w:t xml:space="preserve">6.3 Candidatos y optimización de hiperparámetros</w:t>
      </w:r>
    </w:p>
    <w:p>
      <w:pPr>
        <w:spacing w:after="120"/>
        <w:jc w:val="both"/>
      </w:pPr>
      <w:r>
        <w:t xml:space="preserve">Se compararon dos modelos obligatorios y un intento adicional registrado antes de evaluarlo: (1) </w:t>
      </w:r>
      <w:r>
        <w:rPr>
          <w:b/>
          <w:bCs/>
        </w:rPr>
        <w:t xml:space="preserve">regresión logística elastic-net</w:t>
      </w:r>
      <w:r>
        <w:t xml:space="preserve">; (2) </w:t>
      </w:r>
      <w:r>
        <w:rPr>
          <w:b/>
          <w:bCs/>
        </w:rPr>
        <w:t xml:space="preserve">gradient boosting</w:t>
      </w:r>
      <w:r>
        <w:t xml:space="preserve"> (HistGradientBoosting) con monotonía creciente en atrasos; (3) </w:t>
      </w:r>
      <w:r>
        <w:rPr>
          <w:b/>
          <w:bCs/>
        </w:rPr>
        <w:t xml:space="preserve">logística híbrida</w:t>
      </w:r>
      <w:r>
        <w:t xml:space="preserve"> con las señales de D2 más variables académicas. Cada uno se optimizó con </w:t>
      </w:r>
      <w:r>
        <w:rPr>
          <w:b/>
          <w:bCs/>
        </w:rPr>
        <w:t xml:space="preserve">Optuna</w:t>
      </w:r>
      <w:r>
        <w:t xml:space="preserve"> (TPE, semilla 42, 60 trials) maximizando la PR-AUC en la validación interna C2 → C3. Las curvas se estabilizan antes del trial 30 (Figura 5).</w:t>
      </w:r>
    </w:p>
    <w:p>
      <w:pPr>
        <w:spacing w:after="60" w:before="120"/>
        <w:jc w:val="center"/>
      </w:pPr>
      <w:r>
        <w:drawing>
          <wp:inline distT="0" distB="0" distL="0" distR="0">
            <wp:extent cx="5400675" cy="2083934"/>
            <wp:effectExtent t="0" r="0" b="0" l="0"/>
            <wp:docPr id="1" name="fig5" descr="Mejor PR-AUC acumulada por trial en la optimización con Optuna (validación interna C2 → C3)." title="Mejor PR-AUC acumulada por trial en la optimización con Optuna (validación interna C2 → 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2083934"/>
                    </a:xfrm>
                    <a:prstGeom prst="rect">
                      <a:avLst/>
                    </a:prstGeom>
                  </pic:spPr>
                </pic:pic>
              </a:graphicData>
            </a:graphic>
          </wp:inline>
        </w:drawing>
      </w:r>
    </w:p>
    <w:p>
      <w:pPr>
        <w:spacing w:after="200"/>
        <w:jc w:val="center"/>
      </w:pPr>
      <w:r>
        <w:rPr>
          <w:b/>
          <w:bCs/>
          <w:sz w:val="18"/>
          <w:szCs w:val="18"/>
        </w:rPr>
        <w:t xml:space="preserve">Figura 5. </w:t>
      </w:r>
      <w:r>
        <w:rPr>
          <w:i/>
          <w:iCs/>
          <w:sz w:val="18"/>
          <w:szCs w:val="18"/>
        </w:rPr>
        <w:t xml:space="preserve">Mejor PR-AUC acumulada por trial en la optimización con Optuna (validación interna C2 → C3).</w:t>
      </w:r>
    </w:p>
    <w:p>
      <w:pPr>
        <w:keepNext/>
        <w:spacing w:after="60" w:before="120"/>
      </w:pPr>
      <w:r>
        <w:rPr>
          <w:b/>
          <w:bCs/>
          <w:color w:val="8B1E3F"/>
          <w:sz w:val="18"/>
          <w:szCs w:val="18"/>
        </w:rPr>
        <w:t xml:space="preserve">Tabla 16. </w:t>
      </w:r>
      <w:r>
        <w:rPr>
          <w:b/>
          <w:bCs/>
          <w:sz w:val="18"/>
          <w:szCs w:val="18"/>
        </w:rPr>
        <w:t xml:space="preserve">Resultado de la optimización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44"/>
        <w:gridCol w:w="2628"/>
        <w:gridCol w:w="4966"/>
      </w:tblGrid>
      <w:tr>
        <w:trPr>
          <w:tblHeader/>
        </w:trPr>
        <w:tc>
          <w:tcPr>
            <w:tcW w:type="dxa" w:w="2044"/>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Modelo</w:t>
            </w:r>
          </w:p>
        </w:tc>
        <w:tc>
          <w:tcPr>
            <w:tcW w:type="dxa" w:w="2628"/>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PR-AUC interna (mín · mediana · máx)</w:t>
            </w:r>
          </w:p>
        </w:tc>
        <w:tc>
          <w:tcPr>
            <w:tcW w:type="dxa" w:w="4966"/>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Mejores hiperparámetros</w:t>
            </w:r>
          </w:p>
        </w:tc>
      </w:tr>
      <w:tr>
        <w:trPr>
          <w:cantSplit/>
        </w:trPr>
        <w:tc>
          <w:tcPr>
            <w:tcW w:type="dxa" w:w="204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Regresión logística</w:t>
            </w:r>
          </w:p>
        </w:tc>
        <w:tc>
          <w:tcPr>
            <w:tcW w:type="dxa" w:w="262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0,062 · 0,102 · 0,106</w:t>
            </w:r>
          </w:p>
        </w:tc>
        <w:tc>
          <w:tcPr>
            <w:tcW w:type="dxa" w:w="496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 = 2,75; l1_ratio = 0,87; sin balanceo; todas las variables</w:t>
            </w:r>
          </w:p>
        </w:tc>
      </w:tr>
      <w:tr>
        <w:trPr>
          <w:cantSplit/>
        </w:trPr>
        <w:tc>
          <w:tcPr>
            <w:tcW w:type="dxa" w:w="204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Gradient boosting</w:t>
            </w:r>
          </w:p>
        </w:tc>
        <w:tc>
          <w:tcPr>
            <w:tcW w:type="dxa" w:w="262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0,067 · 0,084 · 0,089</w:t>
            </w:r>
          </w:p>
        </w:tc>
        <w:tc>
          <w:tcPr>
            <w:tcW w:type="dxa" w:w="496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lr = 0,035; profundidad 3; 6 hojas; min_samples_leaf = 101; l2 = 4,25; 359 iteraciones</w:t>
            </w:r>
          </w:p>
        </w:tc>
      </w:tr>
      <w:tr>
        <w:trPr>
          <w:cantSplit/>
        </w:trPr>
        <w:tc>
          <w:tcPr>
            <w:tcW w:type="dxa" w:w="204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Logística híbrida</w:t>
            </w:r>
          </w:p>
        </w:tc>
        <w:tc>
          <w:tcPr>
            <w:tcW w:type="dxa" w:w="262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0,084 · 0,087 · 0,088</w:t>
            </w:r>
          </w:p>
        </w:tc>
        <w:tc>
          <w:tcPr>
            <w:tcW w:type="dxa" w:w="496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 = 9,0; con balanceo</w:t>
            </w:r>
          </w:p>
        </w:tc>
      </w:tr>
    </w:tbl>
    <w:p>
      <w:pPr>
        <w:spacing w:after="120"/>
      </w:pPr>
    </w:p>
    <w:p>
      <w:pPr>
        <w:pStyle w:val="Heading2"/>
      </w:pPr>
      <w:r>
        <w:t xml:space="preserve">6.4 Selección en C4 y diagnóstico de ajuste</w:t>
      </w:r>
    </w:p>
    <w:p>
      <w:pPr>
        <w:keepNext/>
        <w:spacing w:after="60" w:before="120"/>
      </w:pPr>
      <w:r>
        <w:rPr>
          <w:b/>
          <w:bCs/>
          <w:color w:val="8B1E3F"/>
          <w:sz w:val="18"/>
          <w:szCs w:val="18"/>
        </w:rPr>
        <w:t xml:space="preserve">Tabla 17. </w:t>
      </w:r>
      <w:r>
        <w:rPr>
          <w:b/>
          <w:bCs/>
          <w:sz w:val="18"/>
          <w:szCs w:val="18"/>
        </w:rPr>
        <w:t xml:space="preserve">Candidatos y reglas en C4 (selección)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27"/>
        <w:gridCol w:w="1285"/>
        <w:gridCol w:w="1028"/>
        <w:gridCol w:w="1156"/>
        <w:gridCol w:w="1028"/>
        <w:gridCol w:w="2314"/>
      </w:tblGrid>
      <w:tr>
        <w:trPr>
          <w:tblHeader/>
        </w:trPr>
        <w:tc>
          <w:tcPr>
            <w:tcW w:type="dxa" w:w="2827"/>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Candidato</w:t>
            </w:r>
          </w:p>
        </w:tc>
        <w:tc>
          <w:tcPr>
            <w:tcW w:type="dxa" w:w="1285"/>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Precision@k</w:t>
            </w:r>
          </w:p>
        </w:tc>
        <w:tc>
          <w:tcPr>
            <w:tcW w:type="dxa" w:w="1028"/>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Lift@k</w:t>
            </w:r>
          </w:p>
        </w:tc>
        <w:tc>
          <w:tcPr>
            <w:tcW w:type="dxa" w:w="1156"/>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Recall@k</w:t>
            </w:r>
          </w:p>
        </w:tc>
        <w:tc>
          <w:tcPr>
            <w:tcW w:type="dxa" w:w="1028"/>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PR-AUC</w:t>
            </w:r>
          </w:p>
        </w:tc>
        <w:tc>
          <w:tcPr>
            <w:tcW w:type="dxa" w:w="2314"/>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Diagnóstico</w:t>
            </w:r>
          </w:p>
        </w:tc>
      </w:tr>
      <w:tr>
        <w:trPr>
          <w:cantSplit/>
        </w:trPr>
        <w:tc>
          <w:tcPr>
            <w:tcW w:type="dxa" w:w="2827"/>
            <w:tcBorders>
              <w:top w:val="single" w:color="BFBFBF" w:sz="4"/>
              <w:left w:val="single" w:color="BFBFBF" w:sz="4"/>
              <w:bottom w:val="single" w:color="BFBFBF" w:sz="4"/>
              <w:right w:val="single" w:color="BFBFBF" w:sz="4"/>
            </w:tcBorders>
            <w:shd w:fill="F7EDF0" w:color="auto" w:val="clear"/>
            <w:tcMar>
              <w:top w:type="dxa" w:w="50"/>
              <w:left w:type="dxa" w:w="90"/>
              <w:bottom w:type="dxa" w:w="50"/>
              <w:right w:type="dxa" w:w="90"/>
            </w:tcMar>
            <w:vAlign w:val="center"/>
          </w:tcPr>
          <w:p>
            <w:pPr>
              <w:spacing w:after="0"/>
            </w:pPr>
            <w:r>
              <w:rPr>
                <w:color w:val="000000"/>
                <w:sz w:val="18"/>
                <w:szCs w:val="18"/>
              </w:rPr>
              <w:t xml:space="preserve">D2 · señales administrativas</w:t>
            </w:r>
          </w:p>
        </w:tc>
        <w:tc>
          <w:tcPr>
            <w:tcW w:type="dxa" w:w="1285"/>
            <w:tcBorders>
              <w:top w:val="single" w:color="BFBFBF" w:sz="4"/>
              <w:left w:val="single" w:color="BFBFBF" w:sz="4"/>
              <w:bottom w:val="single" w:color="BFBFBF" w:sz="4"/>
              <w:right w:val="single" w:color="BFBFBF" w:sz="4"/>
            </w:tcBorders>
            <w:shd w:fill="F7EDF0" w:color="auto" w:val="clear"/>
            <w:tcMar>
              <w:top w:type="dxa" w:w="50"/>
              <w:left w:type="dxa" w:w="90"/>
              <w:bottom w:type="dxa" w:w="50"/>
              <w:right w:type="dxa" w:w="90"/>
            </w:tcMar>
            <w:vAlign w:val="center"/>
          </w:tcPr>
          <w:p>
            <w:pPr>
              <w:spacing w:after="0"/>
            </w:pPr>
            <w:r>
              <w:rPr>
                <w:color w:val="000000"/>
                <w:sz w:val="18"/>
                <w:szCs w:val="18"/>
              </w:rPr>
              <w:t xml:space="preserve">0,176</w:t>
            </w:r>
          </w:p>
        </w:tc>
        <w:tc>
          <w:tcPr>
            <w:tcW w:type="dxa" w:w="1028"/>
            <w:tcBorders>
              <w:top w:val="single" w:color="BFBFBF" w:sz="4"/>
              <w:left w:val="single" w:color="BFBFBF" w:sz="4"/>
              <w:bottom w:val="single" w:color="BFBFBF" w:sz="4"/>
              <w:right w:val="single" w:color="BFBFBF" w:sz="4"/>
            </w:tcBorders>
            <w:shd w:fill="F7EDF0" w:color="auto" w:val="clear"/>
            <w:tcMar>
              <w:top w:type="dxa" w:w="50"/>
              <w:left w:type="dxa" w:w="90"/>
              <w:bottom w:type="dxa" w:w="50"/>
              <w:right w:type="dxa" w:w="90"/>
            </w:tcMar>
            <w:vAlign w:val="center"/>
          </w:tcPr>
          <w:p>
            <w:pPr>
              <w:spacing w:after="0"/>
            </w:pPr>
            <w:r>
              <w:rPr>
                <w:color w:val="000000"/>
                <w:sz w:val="18"/>
                <w:szCs w:val="18"/>
              </w:rPr>
              <w:t xml:space="preserve">1,93</w:t>
            </w:r>
          </w:p>
        </w:tc>
        <w:tc>
          <w:tcPr>
            <w:tcW w:type="dxa" w:w="1156"/>
            <w:tcBorders>
              <w:top w:val="single" w:color="BFBFBF" w:sz="4"/>
              <w:left w:val="single" w:color="BFBFBF" w:sz="4"/>
              <w:bottom w:val="single" w:color="BFBFBF" w:sz="4"/>
              <w:right w:val="single" w:color="BFBFBF" w:sz="4"/>
            </w:tcBorders>
            <w:shd w:fill="F7EDF0" w:color="auto" w:val="clear"/>
            <w:tcMar>
              <w:top w:type="dxa" w:w="50"/>
              <w:left w:type="dxa" w:w="90"/>
              <w:bottom w:type="dxa" w:w="50"/>
              <w:right w:type="dxa" w:w="90"/>
            </w:tcMar>
            <w:vAlign w:val="center"/>
          </w:tcPr>
          <w:p>
            <w:pPr>
              <w:spacing w:after="0"/>
            </w:pPr>
            <w:r>
              <w:rPr>
                <w:color w:val="000000"/>
                <w:sz w:val="18"/>
                <w:szCs w:val="18"/>
              </w:rPr>
              <w:t xml:space="preserve">0,31</w:t>
            </w:r>
          </w:p>
        </w:tc>
        <w:tc>
          <w:tcPr>
            <w:tcW w:type="dxa" w:w="1028"/>
            <w:tcBorders>
              <w:top w:val="single" w:color="BFBFBF" w:sz="4"/>
              <w:left w:val="single" w:color="BFBFBF" w:sz="4"/>
              <w:bottom w:val="single" w:color="BFBFBF" w:sz="4"/>
              <w:right w:val="single" w:color="BFBFBF" w:sz="4"/>
            </w:tcBorders>
            <w:shd w:fill="F7EDF0" w:color="auto" w:val="clear"/>
            <w:tcMar>
              <w:top w:type="dxa" w:w="50"/>
              <w:left w:type="dxa" w:w="90"/>
              <w:bottom w:type="dxa" w:w="50"/>
              <w:right w:type="dxa" w:w="90"/>
            </w:tcMar>
            <w:vAlign w:val="center"/>
          </w:tcPr>
          <w:p>
            <w:pPr>
              <w:spacing w:after="0"/>
            </w:pPr>
            <w:r>
              <w:rPr>
                <w:color w:val="000000"/>
                <w:sz w:val="18"/>
                <w:szCs w:val="18"/>
              </w:rPr>
              <w:t xml:space="preserve">0,137</w:t>
            </w:r>
          </w:p>
        </w:tc>
        <w:tc>
          <w:tcPr>
            <w:tcW w:type="dxa" w:w="2314"/>
            <w:tcBorders>
              <w:top w:val="single" w:color="BFBFBF" w:sz="4"/>
              <w:left w:val="single" w:color="BFBFBF" w:sz="4"/>
              <w:bottom w:val="single" w:color="BFBFBF" w:sz="4"/>
              <w:right w:val="single" w:color="BFBFBF" w:sz="4"/>
            </w:tcBorders>
            <w:shd w:fill="F7EDF0" w:color="auto" w:val="clear"/>
            <w:tcMar>
              <w:top w:type="dxa" w:w="50"/>
              <w:left w:type="dxa" w:w="90"/>
              <w:bottom w:type="dxa" w:w="50"/>
              <w:right w:type="dxa" w:w="90"/>
            </w:tcMar>
            <w:vAlign w:val="center"/>
          </w:tcPr>
          <w:p>
            <w:pPr>
              <w:spacing w:after="0"/>
            </w:pPr>
            <w:r>
              <w:rPr>
                <w:color w:val="000000"/>
                <w:sz w:val="18"/>
                <w:szCs w:val="18"/>
              </w:rPr>
              <w:t xml:space="preserve">Regla transparente</w:t>
            </w:r>
          </w:p>
        </w:tc>
      </w:tr>
      <w:tr>
        <w:trPr>
          <w:cantSplit/>
        </w:trPr>
        <w:tc>
          <w:tcPr>
            <w:tcW w:type="dxa" w:w="282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D · más atrasos primero</w:t>
            </w:r>
          </w:p>
        </w:tc>
        <w:tc>
          <w:tcPr>
            <w:tcW w:type="dxa" w:w="12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0,170</w:t>
            </w:r>
          </w:p>
        </w:tc>
        <w:tc>
          <w:tcPr>
            <w:tcW w:type="dxa" w:w="102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1,86</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0,29</w:t>
            </w:r>
          </w:p>
        </w:tc>
        <w:tc>
          <w:tcPr>
            <w:tcW w:type="dxa" w:w="102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0,112</w:t>
            </w:r>
          </w:p>
        </w:tc>
        <w:tc>
          <w:tcPr>
            <w:tcW w:type="dxa" w:w="231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Regla</w:t>
            </w:r>
          </w:p>
        </w:tc>
      </w:tr>
      <w:tr>
        <w:trPr>
          <w:cantSplit/>
        </w:trPr>
        <w:tc>
          <w:tcPr>
            <w:tcW w:type="dxa" w:w="282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Logística híbrida</w:t>
            </w:r>
          </w:p>
        </w:tc>
        <w:tc>
          <w:tcPr>
            <w:tcW w:type="dxa" w:w="12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0,139</w:t>
            </w:r>
          </w:p>
        </w:tc>
        <w:tc>
          <w:tcPr>
            <w:tcW w:type="dxa" w:w="102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1,53</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0,24</w:t>
            </w:r>
          </w:p>
        </w:tc>
        <w:tc>
          <w:tcPr>
            <w:tcW w:type="dxa" w:w="102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0,125</w:t>
            </w:r>
          </w:p>
        </w:tc>
        <w:tc>
          <w:tcPr>
            <w:tcW w:type="dxa" w:w="231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Límite de señal: sin brecha, 1,41 veces el azar</w:t>
            </w:r>
          </w:p>
        </w:tc>
      </w:tr>
      <w:tr>
        <w:trPr>
          <w:cantSplit/>
        </w:trPr>
        <w:tc>
          <w:tcPr>
            <w:tcW w:type="dxa" w:w="282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Regresión logística</w:t>
            </w:r>
          </w:p>
        </w:tc>
        <w:tc>
          <w:tcPr>
            <w:tcW w:type="dxa" w:w="12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0,127</w:t>
            </w:r>
          </w:p>
        </w:tc>
        <w:tc>
          <w:tcPr>
            <w:tcW w:type="dxa" w:w="102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1,40</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0,22</w:t>
            </w:r>
          </w:p>
        </w:tc>
        <w:tc>
          <w:tcPr>
            <w:tcW w:type="dxa" w:w="102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0,113</w:t>
            </w:r>
          </w:p>
        </w:tc>
        <w:tc>
          <w:tcPr>
            <w:tcW w:type="dxa" w:w="231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Límite de señal: 1,28 veces el azar</w:t>
            </w:r>
          </w:p>
        </w:tc>
      </w:tr>
      <w:tr>
        <w:trPr>
          <w:cantSplit/>
        </w:trPr>
        <w:tc>
          <w:tcPr>
            <w:tcW w:type="dxa" w:w="282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Gradient boosting</w:t>
            </w:r>
          </w:p>
        </w:tc>
        <w:tc>
          <w:tcPr>
            <w:tcW w:type="dxa" w:w="12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0,097</w:t>
            </w:r>
          </w:p>
        </w:tc>
        <w:tc>
          <w:tcPr>
            <w:tcW w:type="dxa" w:w="102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1,06</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0,17</w:t>
            </w:r>
          </w:p>
        </w:tc>
        <w:tc>
          <w:tcPr>
            <w:tcW w:type="dxa" w:w="102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0,103</w:t>
            </w:r>
          </w:p>
        </w:tc>
        <w:tc>
          <w:tcPr>
            <w:tcW w:type="dxa" w:w="231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Sobreajuste (brecha 0,14; 58 % relativa)</w:t>
            </w:r>
          </w:p>
        </w:tc>
      </w:tr>
    </w:tbl>
    <w:p>
      <w:pPr>
        <w:spacing w:after="120"/>
      </w:pPr>
    </w:p>
    <w:p>
      <w:pPr>
        <w:spacing w:after="120"/>
        <w:jc w:val="both"/>
      </w:pPr>
      <w:r>
        <w:t xml:space="preserve">El orden de los modelos </w:t>
      </w:r>
      <w:r>
        <w:rPr>
          <w:b/>
          <w:bCs/>
        </w:rPr>
        <w:t xml:space="preserve">cambió entre C3 y C4</w:t>
      </w:r>
      <w:r>
        <w:t xml:space="preserve">: en la validación interna ganó la logística regularizada y en C4 la híbrida. Con pocos eventos y tasas que varían entre años, lo óptimo en una cohorte no se traslada a la siguiente. Ningún modelo superó a D2, por lo que la </w:t>
      </w:r>
      <w:r>
        <w:rPr>
          <w:b/>
          <w:bCs/>
        </w:rPr>
        <w:t xml:space="preserve">priorización final es la regla D2</w:t>
      </w:r>
      <w:r>
        <w:t xml:space="preserve"> (decisión D40); la logística híbrida calibrada se conserva para probabilidades y proyección.</w:t>
      </w:r>
    </w:p>
    <w:p>
      <w:pPr>
        <w:spacing w:after="120"/>
        <w:jc w:val="both"/>
      </w:pPr>
      <w:r>
        <w:rPr>
          <w:b/>
          <w:bCs/>
        </w:rPr>
        <w:t xml:space="preserve">Diagnóstico de ajuste (semana 3, revisado en D54).</w:t>
      </w:r>
      <w:r>
        <w:t xml:space="preserve"> Con curvas de aprendizaje y dos reglas (sobreajuste si la PR-AUC pierde más del 30 % entre entrenamiento y C4; subajuste si, sin esa brecha, no llega a 1,5 veces el azar), el gradient boosting sobreajusta. Las dos regresiones logísticas quedan por debajo de 1,5 veces el azar, pero una segunda etapa muestra que no son rígidas: con más capacidad (C hasta 100) su validación no cambia (0,000) y más datos tampoco ayudan de forma concluyente. Por eso las nombramos </w:t>
      </w:r>
      <w:r>
        <w:rPr>
          <w:b/>
          <w:bCs/>
        </w:rPr>
        <w:t xml:space="preserve">límite de señal</w:t>
      </w:r>
      <w:r>
        <w:t xml:space="preserve">, y reservamos «subajuste (falta capacidad)» para el control sobrerregularizado, que sí mejora (+0,016).</w:t>
      </w:r>
    </w:p>
    <w:p>
      <w:pPr>
        <w:spacing w:after="120"/>
        <w:jc w:val="both"/>
      </w:pPr>
      <w:r>
        <w:t xml:space="preserve">Probamos siete estrategias que cambian una sola cosa cada una, con un intervalo bootstrap por familias, una réplica en C2 → C3 y cinco semillas, y una regla de veredicto fijada antes de repetir el análisis con datos reales. </w:t>
      </w:r>
      <w:r>
        <w:rPr>
          <w:b/>
          <w:bCs/>
        </w:rPr>
        <w:t xml:space="preserve">Ninguna mejora ni empeora la PR-AUC en C4 de forma demostrable.</w:t>
      </w:r>
      <w:r>
        <w:t xml:space="preserve"> Separar variables (E4a: 0,113 → 0,120) e hiperparámetros (E4b: 0,120 → 0,125) mostró que ninguno de los dos pasos es concluyente por sí solo, y dar más capacidad a la híbrida con interacciones solo la hizo memorizar (entrenamiento 0,126 → 0,227; C4 0,127). El detalle está en docs/diagnostic_report.pdf y en el cuaderno overfitting_analysis.</w:t>
      </w:r>
    </w:p>
    <w:p>
      <w:pPr>
        <w:spacing w:after="120"/>
        <w:jc w:val="both"/>
      </w:pPr>
      <w:r>
        <w:rPr>
          <w:b/>
          <w:bCs/>
        </w:rPr>
        <w:t xml:space="preserve">Una advertencia sobre el 1,93.</w:t>
      </w:r>
      <w:r>
        <w:t xml:space="preserve"> Muchas familias tienen el mismo puntaje D2 y el corte de la lista cae entre ellas; el orden entre empatadas sale de un sorteo de semilla fija. Al repetir ese sorteo cien veces (análisis posterior, D50), el Lift@k de D2 en C4 va de 1,53 a 1,99, con una media de 1,75. En promedio D2 sigue por encima de la logística híbrida (1,53), pero su ventaja en C4 es menor y menos firme de lo que sugiere una sola cifra. Lo que sostiene la decisión es la prueba única en C5.</w:t>
      </w:r>
    </w:p>
    <w:p>
      <w:pPr>
        <w:spacing w:after="120"/>
        <w:jc w:val="both"/>
      </w:pPr>
      <w:r>
        <w:rPr>
          <w:b/>
          <w:bCs/>
        </w:rPr>
        <w:t xml:space="preserve">Actualización con 500 sorteos y comparación con D (D59).</w:t>
      </w:r>
      <w:r>
        <w:t xml:space="preserve"> Con 500 sorteos, el Lift@k de D2 en C4 tiene una media de 1,77 (percentiles 5 y 95: 1,60 y 1,93; extremos: 1,40 y 2,06); el 1,93 de la semilla oficial supera al 87 % de los sorteos. Un bootstrap pareado, con las dos reglas sobre las mismas remuestras de familias y un sorteo nuevo en cada una, da una diferencia D2 − D de 0,00 [IC 95 %: −0,62; 0,62]: </w:t>
      </w:r>
      <w:r>
        <w:rPr>
          <w:b/>
          <w:bCs/>
        </w:rPr>
        <w:t xml:space="preserve">en C4 no se puede afirmar que D2 sea mejor que la regla D</w:t>
      </w:r>
      <w:r>
        <w:t xml:space="preserve">, aunque en promedio las dos quedan por encima de la logística híbrida (1,53). D2 se mantiene por la regla de decisión registrada de antemano y porque explica mejor a Secretaría por qué se llama a cada familia. Por último, la referencia del azar (1,08 en C5 y 1,12 en C4) supera a 1 porque el sorteo es por estudiante y las familias con caso tienen más hijos en promedio (1,45 frente a 1,30); con un sorteo uniforme por familia da 1,00.</w:t>
      </w:r>
    </w:p>
    <w:p>
      <w:pPr>
        <w:spacing w:after="60" w:before="120"/>
        <w:jc w:val="center"/>
      </w:pPr>
      <w:r>
        <w:drawing>
          <wp:inline distT="0" distB="0" distL="0" distR="0">
            <wp:extent cx="5760720" cy="1645920"/>
            <wp:effectExtent t="0" r="0" b="0" l="0"/>
            <wp:docPr id="1" name="fig6" descr="Lift@k en C4 (izquierda) y PR-AUC en entrenamiento frente a C4 (derecha): diagnóstico de sobreajuste y subajuste." title="Lift@k en C4 (izquierda) y PR-AUC en entrenamiento frente a C4 (derecha): diagnóstico de sobreajuste y subaju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0720" cy="1645920"/>
                    </a:xfrm>
                    <a:prstGeom prst="rect">
                      <a:avLst/>
                    </a:prstGeom>
                  </pic:spPr>
                </pic:pic>
              </a:graphicData>
            </a:graphic>
          </wp:inline>
        </w:drawing>
      </w:r>
    </w:p>
    <w:p>
      <w:pPr>
        <w:spacing w:after="200"/>
        <w:jc w:val="center"/>
      </w:pPr>
      <w:r>
        <w:rPr>
          <w:b/>
          <w:bCs/>
          <w:sz w:val="18"/>
          <w:szCs w:val="18"/>
        </w:rPr>
        <w:t xml:space="preserve">Figura 6. </w:t>
      </w:r>
      <w:r>
        <w:rPr>
          <w:i/>
          <w:iCs/>
          <w:sz w:val="18"/>
          <w:szCs w:val="18"/>
        </w:rPr>
        <w:t xml:space="preserve">Lift@k en C4 (izquierda) y PR-AUC en entrenamiento frente a C4 (derecha): diagnóstico de sobreajuste y subajuste.</w:t>
      </w:r>
    </w:p>
    <w:p>
      <w:pPr>
        <w:spacing w:after="60" w:before="120"/>
        <w:jc w:val="center"/>
      </w:pPr>
      <w:r>
        <w:drawing>
          <wp:inline distT="0" distB="0" distL="0" distR="0">
            <wp:extent cx="5760720" cy="1536192"/>
            <wp:effectExtent t="0" r="0" b="0" l="0"/>
            <wp:docPr id="1" name="fig7" descr="Efecto de los hiperparámetros principales en la PR-AUC interna (cada punto es un trial de Optuna)." title="Efecto de los hiperparámetros principales en la PR-AUC interna (cada punto es un trial de Opt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0720" cy="1536192"/>
                    </a:xfrm>
                    <a:prstGeom prst="rect">
                      <a:avLst/>
                    </a:prstGeom>
                  </pic:spPr>
                </pic:pic>
              </a:graphicData>
            </a:graphic>
          </wp:inline>
        </w:drawing>
      </w:r>
    </w:p>
    <w:p>
      <w:pPr>
        <w:spacing w:after="200"/>
        <w:jc w:val="center"/>
      </w:pPr>
      <w:r>
        <w:rPr>
          <w:b/>
          <w:bCs/>
          <w:sz w:val="18"/>
          <w:szCs w:val="18"/>
        </w:rPr>
        <w:t xml:space="preserve">Figura 7. </w:t>
      </w:r>
      <w:r>
        <w:rPr>
          <w:i/>
          <w:iCs/>
          <w:sz w:val="18"/>
          <w:szCs w:val="18"/>
        </w:rPr>
        <w:t xml:space="preserve">Efecto de los hiperparámetros principales en la PR-AUC interna (cada punto es un trial de Optuna).</w:t>
      </w:r>
    </w:p>
    <w:p>
      <w:pPr>
        <w:pStyle w:val="Heading2"/>
      </w:pPr>
      <w:r>
        <w:t xml:space="preserve">6.5 Prueba final en C5</w:t>
      </w:r>
    </w:p>
    <w:p>
      <w:pPr>
        <w:keepNext/>
        <w:spacing w:after="60" w:before="120"/>
      </w:pPr>
      <w:r>
        <w:rPr>
          <w:b/>
          <w:bCs/>
          <w:color w:val="8B1E3F"/>
          <w:sz w:val="18"/>
          <w:szCs w:val="18"/>
        </w:rPr>
        <w:t xml:space="preserve">Tabla 18. </w:t>
      </w:r>
      <w:r>
        <w:rPr>
          <w:b/>
          <w:bCs/>
          <w:sz w:val="18"/>
          <w:szCs w:val="18"/>
        </w:rPr>
        <w:t xml:space="preserve">Resultados de la prueba única en C5 (k = 118 y 47; 1.093 familias)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29"/>
        <w:gridCol w:w="2202"/>
        <w:gridCol w:w="2202"/>
        <w:gridCol w:w="2205"/>
      </w:tblGrid>
      <w:tr>
        <w:trPr>
          <w:tblHeader/>
        </w:trPr>
        <w:tc>
          <w:tcPr>
            <w:tcW w:type="dxa" w:w="3029"/>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Sistema</w:t>
            </w:r>
          </w:p>
        </w:tc>
        <w:tc>
          <w:tcPr>
            <w:tcW w:type="dxa" w:w="2202"/>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Precision@k [IC 95 %]</w:t>
            </w:r>
          </w:p>
        </w:tc>
        <w:tc>
          <w:tcPr>
            <w:tcW w:type="dxa" w:w="2202"/>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Lift@k [IC 95 %]</w:t>
            </w:r>
          </w:p>
        </w:tc>
        <w:tc>
          <w:tcPr>
            <w:tcW w:type="dxa" w:w="2205"/>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Recall@k [IC 95 %]</w:t>
            </w:r>
          </w:p>
        </w:tc>
      </w:tr>
      <w:tr>
        <w:trPr>
          <w:cantSplit/>
        </w:trPr>
        <w:tc>
          <w:tcPr>
            <w:tcW w:type="dxa" w:w="3029"/>
            <w:tcBorders>
              <w:top w:val="single" w:color="BFBFBF" w:sz="4"/>
              <w:left w:val="single" w:color="BFBFBF" w:sz="4"/>
              <w:bottom w:val="single" w:color="BFBFBF" w:sz="4"/>
              <w:right w:val="single" w:color="BFBFBF" w:sz="4"/>
            </w:tcBorders>
            <w:shd w:fill="F7EDF0" w:color="auto" w:val="clear"/>
            <w:tcMar>
              <w:top w:type="dxa" w:w="50"/>
              <w:left w:type="dxa" w:w="90"/>
              <w:bottom w:type="dxa" w:w="50"/>
              <w:right w:type="dxa" w:w="90"/>
            </w:tcMar>
            <w:vAlign w:val="center"/>
          </w:tcPr>
          <w:p>
            <w:pPr>
              <w:spacing w:after="0"/>
            </w:pPr>
            <w:r>
              <w:rPr>
                <w:color w:val="000000"/>
                <w:sz w:val="18"/>
                <w:szCs w:val="18"/>
              </w:rPr>
              <w:t xml:space="preserve">D2 · señales administrativas</w:t>
            </w:r>
          </w:p>
        </w:tc>
        <w:tc>
          <w:tcPr>
            <w:tcW w:type="dxa" w:w="2202"/>
            <w:tcBorders>
              <w:top w:val="single" w:color="BFBFBF" w:sz="4"/>
              <w:left w:val="single" w:color="BFBFBF" w:sz="4"/>
              <w:bottom w:val="single" w:color="BFBFBF" w:sz="4"/>
              <w:right w:val="single" w:color="BFBFBF" w:sz="4"/>
            </w:tcBorders>
            <w:shd w:fill="F7EDF0" w:color="auto" w:val="clear"/>
            <w:tcMar>
              <w:top w:type="dxa" w:w="50"/>
              <w:left w:type="dxa" w:w="90"/>
              <w:bottom w:type="dxa" w:w="50"/>
              <w:right w:type="dxa" w:w="90"/>
            </w:tcMar>
            <w:vAlign w:val="center"/>
          </w:tcPr>
          <w:p>
            <w:pPr>
              <w:spacing w:after="0"/>
            </w:pPr>
            <w:r>
              <w:rPr>
                <w:color w:val="000000"/>
                <w:sz w:val="18"/>
                <w:szCs w:val="18"/>
              </w:rPr>
              <w:t xml:space="preserve">0,133 [0,079; 0,182]</w:t>
            </w:r>
          </w:p>
        </w:tc>
        <w:tc>
          <w:tcPr>
            <w:tcW w:type="dxa" w:w="2202"/>
            <w:tcBorders>
              <w:top w:val="single" w:color="BFBFBF" w:sz="4"/>
              <w:left w:val="single" w:color="BFBFBF" w:sz="4"/>
              <w:bottom w:val="single" w:color="BFBFBF" w:sz="4"/>
              <w:right w:val="single" w:color="BFBFBF" w:sz="4"/>
            </w:tcBorders>
            <w:shd w:fill="F7EDF0" w:color="auto" w:val="clear"/>
            <w:tcMar>
              <w:top w:type="dxa" w:w="50"/>
              <w:left w:type="dxa" w:w="90"/>
              <w:bottom w:type="dxa" w:w="50"/>
              <w:right w:type="dxa" w:w="90"/>
            </w:tcMar>
            <w:vAlign w:val="center"/>
          </w:tcPr>
          <w:p>
            <w:pPr>
              <w:spacing w:after="0"/>
            </w:pPr>
            <w:r>
              <w:rPr>
                <w:color w:val="000000"/>
                <w:sz w:val="18"/>
                <w:szCs w:val="18"/>
              </w:rPr>
              <w:t xml:space="preserve">1,97 [1,24; 2,56]</w:t>
            </w:r>
          </w:p>
        </w:tc>
        <w:tc>
          <w:tcPr>
            <w:tcW w:type="dxa" w:w="2205"/>
            <w:tcBorders>
              <w:top w:val="single" w:color="BFBFBF" w:sz="4"/>
              <w:left w:val="single" w:color="BFBFBF" w:sz="4"/>
              <w:bottom w:val="single" w:color="BFBFBF" w:sz="4"/>
              <w:right w:val="single" w:color="BFBFBF" w:sz="4"/>
            </w:tcBorders>
            <w:shd w:fill="F7EDF0" w:color="auto" w:val="clear"/>
            <w:tcMar>
              <w:top w:type="dxa" w:w="50"/>
              <w:left w:type="dxa" w:w="90"/>
              <w:bottom w:type="dxa" w:w="50"/>
              <w:right w:type="dxa" w:w="90"/>
            </w:tcMar>
            <w:vAlign w:val="center"/>
          </w:tcPr>
          <w:p>
            <w:pPr>
              <w:spacing w:after="0"/>
            </w:pPr>
            <w:r>
              <w:rPr>
                <w:color w:val="000000"/>
                <w:sz w:val="18"/>
                <w:szCs w:val="18"/>
              </w:rPr>
              <w:t xml:space="preserve">0,30 [0,19; 0,39]</w:t>
            </w:r>
          </w:p>
        </w:tc>
      </w:tr>
      <w:tr>
        <w:trPr>
          <w:cantSplit/>
        </w:trPr>
        <w:tc>
          <w:tcPr>
            <w:tcW w:type="dxa" w:w="302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D · más atrasos primero</w:t>
            </w:r>
          </w:p>
        </w:tc>
        <w:tc>
          <w:tcPr>
            <w:tcW w:type="dxa" w:w="22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0,115 [0,067; 0,164]</w:t>
            </w:r>
          </w:p>
        </w:tc>
        <w:tc>
          <w:tcPr>
            <w:tcW w:type="dxa" w:w="22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1,70 [1,03; 2,30]</w:t>
            </w:r>
          </w:p>
        </w:tc>
        <w:tc>
          <w:tcPr>
            <w:tcW w:type="dxa" w:w="220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0,26 [0,16; 0,35]</w:t>
            </w:r>
          </w:p>
        </w:tc>
      </w:tr>
      <w:tr>
        <w:trPr>
          <w:cantSplit/>
        </w:trPr>
        <w:tc>
          <w:tcPr>
            <w:tcW w:type="dxa" w:w="302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Logística híbrida (calibrada)</w:t>
            </w:r>
          </w:p>
        </w:tc>
        <w:tc>
          <w:tcPr>
            <w:tcW w:type="dxa" w:w="22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0,067 [0,030; 0,103]</w:t>
            </w:r>
          </w:p>
        </w:tc>
        <w:tc>
          <w:tcPr>
            <w:tcW w:type="dxa" w:w="22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0,98 [0,47; 1,52]</w:t>
            </w:r>
          </w:p>
        </w:tc>
        <w:tc>
          <w:tcPr>
            <w:tcW w:type="dxa" w:w="220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0,15 [0,07; 0,23]</w:t>
            </w:r>
          </w:p>
        </w:tc>
      </w:tr>
      <w:tr>
        <w:trPr>
          <w:cantSplit/>
        </w:trPr>
        <w:tc>
          <w:tcPr>
            <w:tcW w:type="dxa" w:w="302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 · selección al azar</w:t>
            </w:r>
          </w:p>
        </w:tc>
        <w:tc>
          <w:tcPr>
            <w:tcW w:type="dxa" w:w="22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0,073</w:t>
            </w:r>
          </w:p>
        </w:tc>
        <w:tc>
          <w:tcPr>
            <w:tcW w:type="dxa" w:w="22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1,08</w:t>
            </w:r>
          </w:p>
        </w:tc>
        <w:tc>
          <w:tcPr>
            <w:tcW w:type="dxa" w:w="220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0,16</w:t>
            </w:r>
          </w:p>
        </w:tc>
      </w:tr>
    </w:tbl>
    <w:p>
      <w:pPr>
        <w:spacing w:after="120"/>
      </w:pPr>
    </w:p>
    <w:p>
      <w:pPr>
        <w:spacing w:after="60" w:before="120"/>
        <w:jc w:val="center"/>
      </w:pPr>
      <w:r>
        <w:drawing>
          <wp:inline distT="0" distB="0" distL="0" distR="0">
            <wp:extent cx="5040630" cy="2001845"/>
            <wp:effectExtent t="0" r="0" b="0" l="0"/>
            <wp:docPr id="1" name="fig8" descr="Lift@k en la prueba final (C5) con intervalos de confianza del 95 %." title="Lift@k en la prueba final (C5) con intervalos de confianza del 9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40630" cy="2001845"/>
                    </a:xfrm>
                    <a:prstGeom prst="rect">
                      <a:avLst/>
                    </a:prstGeom>
                  </pic:spPr>
                </pic:pic>
              </a:graphicData>
            </a:graphic>
          </wp:inline>
        </w:drawing>
      </w:r>
    </w:p>
    <w:p>
      <w:pPr>
        <w:spacing w:after="200"/>
        <w:jc w:val="center"/>
      </w:pPr>
      <w:r>
        <w:rPr>
          <w:b/>
          <w:bCs/>
          <w:sz w:val="18"/>
          <w:szCs w:val="18"/>
        </w:rPr>
        <w:t xml:space="preserve">Figura 8. </w:t>
      </w:r>
      <w:r>
        <w:rPr>
          <w:i/>
          <w:iCs/>
          <w:sz w:val="18"/>
          <w:szCs w:val="18"/>
        </w:rPr>
        <w:t xml:space="preserve">Lift@k en la prueba final (C5) con intervalos de confianza del 95 %.</w:t>
      </w:r>
    </w:p>
    <w:p>
      <w:pPr>
        <w:spacing w:after="120"/>
        <w:jc w:val="both"/>
      </w:pPr>
      <w:r>
        <w:rPr>
          <w:b/>
          <w:bCs/>
        </w:rPr>
        <w:t xml:space="preserve">Calibración y proyección.</w:t>
      </w:r>
      <w:r>
        <w:t xml:space="preserve"> El modelo calibrado obtiene un Brier de 0,0648, igual a B1 (0,0647) y mejor que R/B0 (0,0695): sus probabilidades son correctas en promedio pero no distinguen el riesgo individual más allá de la tasa histórica. La proyección por sede y subnivel tiene un MAPE de 2,8 %, igual a B1.</w:t>
      </w:r>
    </w:p>
    <w:p>
      <w:pPr>
        <w:spacing w:after="60" w:before="120"/>
        <w:jc w:val="center"/>
      </w:pPr>
      <w:r>
        <w:drawing>
          <wp:inline distT="0" distB="0" distL="0" distR="0">
            <wp:extent cx="3240405" cy="2690186"/>
            <wp:effectExtent t="0" r="0" b="0" l="0"/>
            <wp:docPr id="1" name="fig9" descr="Curva de calibración en C4 antes y después de Platt (el Brier válido es el de C5)." title="Curva de calibración en C4 antes y después de Platt (el Brier válido es el de 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40405" cy="2690186"/>
                    </a:xfrm>
                    <a:prstGeom prst="rect">
                      <a:avLst/>
                    </a:prstGeom>
                  </pic:spPr>
                </pic:pic>
              </a:graphicData>
            </a:graphic>
          </wp:inline>
        </w:drawing>
      </w:r>
    </w:p>
    <w:p>
      <w:pPr>
        <w:spacing w:after="200"/>
        <w:jc w:val="center"/>
      </w:pPr>
      <w:r>
        <w:rPr>
          <w:b/>
          <w:bCs/>
          <w:sz w:val="18"/>
          <w:szCs w:val="18"/>
        </w:rPr>
        <w:t xml:space="preserve">Figura 9. </w:t>
      </w:r>
      <w:r>
        <w:rPr>
          <w:i/>
          <w:iCs/>
          <w:sz w:val="18"/>
          <w:szCs w:val="18"/>
        </w:rPr>
        <w:t xml:space="preserve">Curva de calibración en C4 antes y después de Platt (el Brier válido es el de C5).</w:t>
      </w:r>
    </w:p>
    <w:p>
      <w:pPr>
        <w:pStyle w:val="Heading2"/>
      </w:pPr>
      <w:r>
        <w:t xml:space="preserve">6.6 Análisis de errores: dónde funciona y dónde no</w:t>
      </w:r>
    </w:p>
    <w:p>
      <w:pPr>
        <w:spacing w:after="120"/>
        <w:jc w:val="both"/>
      </w:pPr>
      <w:r>
        <w:rPr>
          <w:b/>
          <w:bCs/>
        </w:rPr>
        <w:t xml:space="preserve">Dónde funciona.</w:t>
      </w:r>
      <w:r>
        <w:t xml:space="preserve"> D2 concentra los casos cuando la familia ya mostró señales administrativas: en C5, de las 165 familias seleccionadas, alrededor de una de cada siete no se matriculó (Precision@k = 0,133), frente a una de cada catorce en el conjunto (q = 0,068). En Preparatoria el resultado es más alto (Precision@k = 0,38; Recall@k = 0,42), pero con 12 eventos esa cifra es incierta.</w:t>
      </w:r>
    </w:p>
    <w:p>
      <w:pPr>
        <w:spacing w:after="120"/>
        <w:jc w:val="both"/>
      </w:pPr>
      <w:r>
        <w:rPr>
          <w:b/>
          <w:bCs/>
        </w:rPr>
        <w:t xml:space="preserve">Dónde no funciona.</w:t>
      </w:r>
      <w:r>
        <w:t xml:space="preserve"> El </w:t>
      </w:r>
      <w:r>
        <w:rPr>
          <w:b/>
          <w:bCs/>
        </w:rPr>
        <w:t xml:space="preserve">70 % de las familias que no pagaron en plazo quedó fuera de la lista</w:t>
      </w:r>
      <w:r>
        <w:t xml:space="preserve">: se encontraron 22 de 74 (Recall@k = 0,30). La lista tenía 165 cupos, más que casos, de modo que un orden perfecto las habría encontrado a todas: </w:t>
      </w:r>
      <w:r>
        <w:rPr>
          <w:b/>
          <w:bCs/>
        </w:rPr>
        <w:t xml:space="preserve">el límite es de señal, no de capacidad</w:t>
      </w:r>
      <w:r>
        <w:t xml:space="preserve">. La regla solo puede adelantar a familias con señales administrativas; quienes pagaron a tiempo, reservaron en periodo ordinario y no tuvieron atrasos quedan al final. No tenemos datos de los motivos de esas familias. Hay tres críticas al diseño que dejamos planteadas: el evento mezcla a quien paga unos días tarde con quien no vuelve; k fue una decisión y no una medida de la capacidad real; y la lista es una foto del 20 de febrero que no aprovecha la señal de quién sigue sin pagar. El cuaderno 06_alcance_lista las analiza de forma descriptiva con C2 a C4, sin usar C5 (docs/alcance_lista.md). Cuatro resultados: el 86 % de los casos son familias que no registran ningún pago (solo el 5 % paga todo después del 30 de abril), y la lista encuentra al 24 % de ellas frente al 43 % de las que pagan tarde o en parte; la regla añade entre 9 y 12 puntos de recall sobre el azar con cualquier tamaño de lista, y su Lift va de 1,38 a 1,93 según la cohorte; el 77 % de las familias paga en las primeras cuatro semanas, y hacia el día 35 quedan unas 200 pendientes por año, de las que el 44 % son casos; y desde la cuarta semana la regla no ordena mejor que el azar entre las familias pendientes. Esta es la principal limitación del sistema. Orienta el trabajo futuro hacia una campaña en dos etapas: la lista D2 al inicio y, cuatro o cinco semanas después, todas las familias que siguen sin pagar. La aplicación ya lista a esas familias a una fecha de corte (pestaña Seguimiento, D51); la estrategia debe probarse en 2027 con un grupo de comparación.</w:t>
      </w:r>
    </w:p>
    <w:p>
      <w:pPr>
        <w:spacing w:after="120"/>
        <w:jc w:val="both"/>
      </w:pPr>
      <w:r>
        <w:rPr>
          <w:b/>
          <w:bCs/>
        </w:rPr>
        <w:t xml:space="preserve">Falsos positivos.</w:t>
      </w:r>
      <w:r>
        <w:t xml:space="preserve"> Aproximadamente seis de cada siete familias priorizadas sí se matricularon: para ellas el contacto es un costo bajo (una llamada de apoyo) y puede ser útil en sí mismo (planes de pago). Por eso la métrica relevante es la concentración de casos a capacidad fija y no la exactitud global.</w:t>
      </w:r>
    </w:p>
    <w:p>
      <w:pPr>
        <w:spacing w:after="120"/>
        <w:jc w:val="both"/>
      </w:pPr>
      <w:r>
        <w:rPr>
          <w:b/>
          <w:bCs/>
        </w:rPr>
        <w:t xml:space="preserve">Errores de los modelos.</w:t>
      </w:r>
      <w:r>
        <w:t xml:space="preserve"> El gradient boosting duplicó su PR-AUC en entrenamiento (0,245) sin mejorar en C4 (0,103): aprendió particularidades de C2–C3 que no se repitieron. La logística híbrida, con pocas variables, no distinguió el riesgo individual más allá de la tasa histórica en C5 (Lift 0,98; Brier igual a B1).</w:t>
      </w:r>
    </w:p>
    <w:p>
      <w:pPr>
        <w:pStyle w:val="Heading2"/>
      </w:pPr>
      <w:r>
        <w:t xml:space="preserve">6.7 Explicabilidad</w:t>
      </w:r>
    </w:p>
    <w:p>
      <w:pPr>
        <w:spacing w:after="120"/>
        <w:jc w:val="both"/>
      </w:pPr>
      <w:r>
        <w:t xml:space="preserve">La importancia por permutación en la logística híbrida (C4) muestra que lo que más aporta al orden es la </w:t>
      </w:r>
      <w:r>
        <w:rPr>
          <w:b/>
          <w:bCs/>
        </w:rPr>
        <w:t xml:space="preserve">reserva extraordinaria</w:t>
      </w:r>
      <w:r>
        <w:t xml:space="preserve"> y los </w:t>
      </w:r>
      <w:r>
        <w:rPr>
          <w:b/>
          <w:bCs/>
        </w:rPr>
        <w:t xml:space="preserve">atrasos en pensiones</w:t>
      </w:r>
      <w:r>
        <w:t xml:space="preserve">; la puntualidad del pago anterior, el subnivel y el promedio tienen una variación tan grande como su efecto. Este modelo no recibe la sede, la beca ni los hermanos, así que la permutación no dice nada de ellos. SHAP indica que promedio y es_nuevo mueven la probabilidad, pero un efecto grande en la probabilidad no equivale a capacidad de ordenar. La permutación es coherente con D2, que se eligió por su Lift@k en C4.</w:t>
      </w:r>
    </w:p>
    <w:p>
      <w:pPr>
        <w:spacing w:after="60" w:before="120"/>
        <w:jc w:val="center"/>
      </w:pPr>
      <w:r>
        <w:drawing>
          <wp:inline distT="0" distB="0" distL="0" distR="0">
            <wp:extent cx="5760720" cy="1851660"/>
            <wp:effectExtent t="0" r="0" b="0" l="0"/>
            <wp:docPr id="1" name="fig10" descr="Importancia por permutación (izquierda) y SHAP medio (derecha)." title="Importancia por permutación (izquierda) y SHAP medio (dere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0720" cy="1851660"/>
                    </a:xfrm>
                    <a:prstGeom prst="rect">
                      <a:avLst/>
                    </a:prstGeom>
                  </pic:spPr>
                </pic:pic>
              </a:graphicData>
            </a:graphic>
          </wp:inline>
        </w:drawing>
      </w:r>
    </w:p>
    <w:p>
      <w:pPr>
        <w:spacing w:after="200"/>
        <w:jc w:val="center"/>
      </w:pPr>
      <w:r>
        <w:rPr>
          <w:b/>
          <w:bCs/>
          <w:sz w:val="18"/>
          <w:szCs w:val="18"/>
        </w:rPr>
        <w:t xml:space="preserve">Figura 10. </w:t>
      </w:r>
      <w:r>
        <w:rPr>
          <w:i/>
          <w:iCs/>
          <w:sz w:val="18"/>
          <w:szCs w:val="18"/>
        </w:rPr>
        <w:t xml:space="preserve">Importancia por permutación (izquierda) y SHAP medio (derecha).</w:t>
      </w:r>
    </w:p>
    <w:p>
      <w:pPr>
        <w:pStyle w:val="Heading2"/>
      </w:pPr>
      <w:r>
        <w:t xml:space="preserve">6.8 Equidad</w:t>
      </w:r>
    </w:p>
    <w:p>
      <w:pPr>
        <w:keepNext/>
        <w:spacing w:after="60" w:before="120"/>
      </w:pPr>
      <w:r>
        <w:rPr>
          <w:b/>
          <w:bCs/>
          <w:color w:val="8B1E3F"/>
          <w:sz w:val="18"/>
          <w:szCs w:val="18"/>
        </w:rPr>
        <w:t xml:space="preserve">Tabla 19. </w:t>
      </w:r>
      <w:r>
        <w:rPr>
          <w:b/>
          <w:bCs/>
          <w:sz w:val="18"/>
          <w:szCs w:val="18"/>
        </w:rPr>
        <w:t xml:space="preserve">Equidad de la priorización D2 en C5 (por representante)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67"/>
        <w:gridCol w:w="1417"/>
        <w:gridCol w:w="1417"/>
        <w:gridCol w:w="1700"/>
        <w:gridCol w:w="1417"/>
        <w:gridCol w:w="1420"/>
      </w:tblGrid>
      <w:tr>
        <w:trPr>
          <w:tblHeader/>
        </w:trPr>
        <w:tc>
          <w:tcPr>
            <w:tcW w:type="dxa" w:w="2267"/>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Grupo</w:t>
            </w:r>
          </w:p>
        </w:tc>
        <w:tc>
          <w:tcPr>
            <w:tcW w:type="dxa" w:w="1417"/>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Familias</w:t>
            </w:r>
          </w:p>
        </w:tc>
        <w:tc>
          <w:tcPr>
            <w:tcW w:type="dxa" w:w="1417"/>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Eventos</w:t>
            </w:r>
          </w:p>
        </w:tc>
        <w:tc>
          <w:tcPr>
            <w:tcW w:type="dxa" w:w="1700"/>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 seleccionadas</w:t>
            </w:r>
          </w:p>
        </w:tc>
        <w:tc>
          <w:tcPr>
            <w:tcW w:type="dxa" w:w="1417"/>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Precision@k</w:t>
            </w:r>
          </w:p>
        </w:tc>
        <w:tc>
          <w:tcPr>
            <w:tcW w:type="dxa" w:w="1420"/>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Recall@k</w:t>
            </w:r>
          </w:p>
        </w:tc>
      </w:tr>
      <w:tr>
        <w:trPr>
          <w:cantSplit/>
        </w:trPr>
        <w:tc>
          <w:tcPr>
            <w:tcW w:type="dxa" w:w="226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Mucho Lote 1</w:t>
            </w:r>
          </w:p>
        </w:tc>
        <w:tc>
          <w:tcPr>
            <w:tcW w:type="dxa" w:w="141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640</w:t>
            </w:r>
          </w:p>
        </w:tc>
        <w:tc>
          <w:tcPr>
            <w:tcW w:type="dxa" w:w="141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44</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18,4 %</w:t>
            </w:r>
          </w:p>
        </w:tc>
        <w:tc>
          <w:tcPr>
            <w:tcW w:type="dxa" w:w="141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0,12</w:t>
            </w:r>
          </w:p>
        </w:tc>
        <w:tc>
          <w:tcPr>
            <w:tcW w:type="dxa" w:w="14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0,32</w:t>
            </w:r>
          </w:p>
        </w:tc>
      </w:tr>
      <w:tr>
        <w:trPr>
          <w:cantSplit/>
        </w:trPr>
        <w:tc>
          <w:tcPr>
            <w:tcW w:type="dxa" w:w="226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Mucho Lote 2</w:t>
            </w:r>
          </w:p>
        </w:tc>
        <w:tc>
          <w:tcPr>
            <w:tcW w:type="dxa" w:w="141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453</w:t>
            </w:r>
          </w:p>
        </w:tc>
        <w:tc>
          <w:tcPr>
            <w:tcW w:type="dxa" w:w="141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30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10,4 %</w:t>
            </w:r>
          </w:p>
        </w:tc>
        <w:tc>
          <w:tcPr>
            <w:tcW w:type="dxa" w:w="141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0,17</w:t>
            </w:r>
          </w:p>
        </w:tc>
        <w:tc>
          <w:tcPr>
            <w:tcW w:type="dxa" w:w="14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0,27</w:t>
            </w:r>
          </w:p>
        </w:tc>
      </w:tr>
      <w:tr>
        <w:trPr>
          <w:cantSplit/>
        </w:trPr>
        <w:tc>
          <w:tcPr>
            <w:tcW w:type="dxa" w:w="226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Sin beca</w:t>
            </w:r>
          </w:p>
        </w:tc>
        <w:tc>
          <w:tcPr>
            <w:tcW w:type="dxa" w:w="141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930</w:t>
            </w:r>
          </w:p>
        </w:tc>
        <w:tc>
          <w:tcPr>
            <w:tcW w:type="dxa" w:w="141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63</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15,9 %</w:t>
            </w:r>
          </w:p>
        </w:tc>
        <w:tc>
          <w:tcPr>
            <w:tcW w:type="dxa" w:w="141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0,14</w:t>
            </w:r>
          </w:p>
        </w:tc>
        <w:tc>
          <w:tcPr>
            <w:tcW w:type="dxa" w:w="14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0,32</w:t>
            </w:r>
          </w:p>
        </w:tc>
      </w:tr>
      <w:tr>
        <w:trPr>
          <w:cantSplit/>
        </w:trPr>
        <w:tc>
          <w:tcPr>
            <w:tcW w:type="dxa" w:w="226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Con beca</w:t>
            </w:r>
          </w:p>
        </w:tc>
        <w:tc>
          <w:tcPr>
            <w:tcW w:type="dxa" w:w="141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163</w:t>
            </w:r>
          </w:p>
        </w:tc>
        <w:tc>
          <w:tcPr>
            <w:tcW w:type="dxa" w:w="141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11</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10,4 %</w:t>
            </w:r>
          </w:p>
        </w:tc>
        <w:tc>
          <w:tcPr>
            <w:tcW w:type="dxa" w:w="141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0,12</w:t>
            </w:r>
          </w:p>
        </w:tc>
        <w:tc>
          <w:tcPr>
            <w:tcW w:type="dxa" w:w="14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0,18</w:t>
            </w:r>
          </w:p>
        </w:tc>
      </w:tr>
      <w:tr>
        <w:trPr>
          <w:cantSplit/>
        </w:trPr>
        <w:tc>
          <w:tcPr>
            <w:tcW w:type="dxa" w:w="226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Preparatoria</w:t>
            </w:r>
          </w:p>
        </w:tc>
        <w:tc>
          <w:tcPr>
            <w:tcW w:type="dxa" w:w="141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113</w:t>
            </w:r>
          </w:p>
        </w:tc>
        <w:tc>
          <w:tcPr>
            <w:tcW w:type="dxa" w:w="141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12</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11,5 %</w:t>
            </w:r>
          </w:p>
        </w:tc>
        <w:tc>
          <w:tcPr>
            <w:tcW w:type="dxa" w:w="141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0,38</w:t>
            </w:r>
          </w:p>
        </w:tc>
        <w:tc>
          <w:tcPr>
            <w:tcW w:type="dxa" w:w="14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0,42</w:t>
            </w:r>
          </w:p>
        </w:tc>
      </w:tr>
      <w:tr>
        <w:trPr>
          <w:cantSplit/>
        </w:trPr>
        <w:tc>
          <w:tcPr>
            <w:tcW w:type="dxa" w:w="226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Bachillerato</w:t>
            </w:r>
          </w:p>
        </w:tc>
        <w:tc>
          <w:tcPr>
            <w:tcW w:type="dxa" w:w="141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122</w:t>
            </w:r>
          </w:p>
        </w:tc>
        <w:tc>
          <w:tcPr>
            <w:tcW w:type="dxa" w:w="141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&lt;5</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16,4 %</w:t>
            </w:r>
          </w:p>
        </w:tc>
        <w:tc>
          <w:tcPr>
            <w:tcW w:type="dxa" w:w="141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w:t>
            </w:r>
          </w:p>
        </w:tc>
        <w:tc>
          <w:tcPr>
            <w:tcW w:type="dxa" w:w="14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w:t>
            </w:r>
          </w:p>
        </w:tc>
      </w:tr>
    </w:tbl>
    <w:p>
      <w:pPr>
        <w:spacing w:after="120"/>
      </w:pPr>
    </w:p>
    <w:p>
      <w:pPr>
        <w:spacing w:after="120"/>
        <w:jc w:val="both"/>
      </w:pPr>
      <w:r>
        <w:t xml:space="preserve">La detección es menor en familias becadas (11 eventos, diferencia incierta); se advierte en la aplicación y se recomienda revisar también a becadas con atrasos. La diferencia entre sedes se explica por k proporcional al historial de cada sede.</w:t>
      </w:r>
    </w:p>
    <w:p>
      <w:pPr>
        <w:spacing w:after="60" w:before="120"/>
        <w:jc w:val="center"/>
      </w:pPr>
      <w:r>
        <w:drawing>
          <wp:inline distT="0" distB="0" distL="0" distR="0">
            <wp:extent cx="4680585" cy="2340293"/>
            <wp:effectExtent t="0" r="0" b="0" l="0"/>
            <wp:docPr id="1" name="fig11" descr="Recall@k de la priorización D2 por grupo en C5 (celdas con menos de 5 eventos ocultas, con supresión complementaria)." title="Recall@k de la priorización D2 por grupo en C5 (celdas con menos de 5 eventos ocultas, con supresión complement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680585" cy="2340293"/>
                    </a:xfrm>
                    <a:prstGeom prst="rect">
                      <a:avLst/>
                    </a:prstGeom>
                  </pic:spPr>
                </pic:pic>
              </a:graphicData>
            </a:graphic>
          </wp:inline>
        </w:drawing>
      </w:r>
    </w:p>
    <w:p>
      <w:pPr>
        <w:spacing w:after="200"/>
        <w:jc w:val="center"/>
      </w:pPr>
      <w:r>
        <w:rPr>
          <w:b/>
          <w:bCs/>
          <w:sz w:val="18"/>
          <w:szCs w:val="18"/>
        </w:rPr>
        <w:t xml:space="preserve">Figura 11. </w:t>
      </w:r>
      <w:r>
        <w:rPr>
          <w:i/>
          <w:iCs/>
          <w:sz w:val="18"/>
          <w:szCs w:val="18"/>
        </w:rPr>
        <w:t xml:space="preserve">Recall@k de la priorización D2 por grupo en C5 (celdas con menos de 5 eventos ocultas, con supresión complementaria).</w:t>
      </w:r>
    </w:p>
    <w:p>
      <w:pPr>
        <w:pStyle w:val="Heading2"/>
      </w:pPr>
      <w:r>
        <w:t xml:space="preserve">6.9 Lecciones aprendidas</w:t>
      </w:r>
    </w:p>
    <w:p>
      <w:pPr>
        <w:pStyle w:val="ListParagraph"/>
        <w:numPr>
          <w:ilvl w:val="0"/>
          <w:numId w:val="3"/>
        </w:numPr>
        <w:spacing w:after="60"/>
      </w:pPr>
      <w:r>
        <w:rPr>
          <w:b/>
          <w:bCs/>
        </w:rPr>
        <w:t xml:space="preserve">Las reglas simples son una línea base exigente.</w:t>
      </w:r>
      <w:r>
        <w:t xml:space="preserve"> Compararlas desde el inicio evitó presentar un modelo complejo que no aporta valor.</w:t>
      </w:r>
    </w:p>
    <w:p>
      <w:pPr>
        <w:pStyle w:val="ListParagraph"/>
        <w:numPr>
          <w:ilvl w:val="0"/>
          <w:numId w:val="3"/>
        </w:numPr>
        <w:spacing w:after="60"/>
      </w:pPr>
      <w:r>
        <w:rPr>
          <w:b/>
          <w:bCs/>
        </w:rPr>
        <w:t xml:space="preserve">La calidad de datos decide el resultado.</w:t>
      </w:r>
      <w:r>
        <w:t xml:space="preserve"> Tres problemas (formatos de curso, curso terminal y cédula genérica) cambiaban las conclusiones; uno de ellos inflaba artificialmente el desempeño del modelo (falso grupo de 38 hermanos).</w:t>
      </w:r>
    </w:p>
    <w:p>
      <w:pPr>
        <w:pStyle w:val="ListParagraph"/>
        <w:numPr>
          <w:ilvl w:val="0"/>
          <w:numId w:val="3"/>
        </w:numPr>
        <w:spacing w:after="60"/>
      </w:pPr>
      <w:r>
        <w:rPr>
          <w:b/>
          <w:bCs/>
        </w:rPr>
        <w:t xml:space="preserve">La validación temporal revela inestabilidad.</w:t>
      </w:r>
      <w:r>
        <w:t xml:space="preserve"> El modelo que ganó en C3 perdió en C4; una partición aleatoria lo habría ocultado.</w:t>
      </w:r>
    </w:p>
    <w:p>
      <w:pPr>
        <w:pStyle w:val="ListParagraph"/>
        <w:numPr>
          <w:ilvl w:val="0"/>
          <w:numId w:val="3"/>
        </w:numPr>
        <w:spacing w:after="60"/>
      </w:pPr>
      <w:r>
        <w:rPr>
          <w:b/>
          <w:bCs/>
        </w:rPr>
        <w:t xml:space="preserve">Registrar decisiones antes de ver resultados</w:t>
      </w:r>
      <w:r>
        <w:t xml:space="preserve"> (C1, intento único, C5 una sola vez) protege la credibilidad del resultado final.</w:t>
      </w:r>
    </w:p>
    <w:p>
      <w:pPr>
        <w:pStyle w:val="Heading1"/>
        <w:pageBreakBefore/>
      </w:pPr>
      <w:r>
        <w:t xml:space="preserve">7. Arquitectura y prototipo</w:t>
      </w:r>
    </w:p>
    <w:p>
      <w:pPr>
        <w:spacing w:after="60" w:before="120"/>
        <w:jc w:val="center"/>
      </w:pPr>
      <w:r>
        <w:drawing>
          <wp:inline distT="0" distB="0" distL="0" distR="0">
            <wp:extent cx="5940742" cy="2607567"/>
            <wp:effectExtent t="0" r="0" b="0" l="0"/>
            <wp:docPr id="1" name="fig12" descr="Arquitectura del sistema: del Excel institucional a la aplicación en dos modos." title="Arquitectura del sistema: del Excel institucional a la aplicación en dos mo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0742" cy="2607567"/>
                    </a:xfrm>
                    <a:prstGeom prst="rect">
                      <a:avLst/>
                    </a:prstGeom>
                  </pic:spPr>
                </pic:pic>
              </a:graphicData>
            </a:graphic>
          </wp:inline>
        </w:drawing>
      </w:r>
    </w:p>
    <w:p>
      <w:pPr>
        <w:spacing w:after="200"/>
        <w:jc w:val="center"/>
      </w:pPr>
      <w:r>
        <w:rPr>
          <w:b/>
          <w:bCs/>
          <w:sz w:val="18"/>
          <w:szCs w:val="18"/>
        </w:rPr>
        <w:t xml:space="preserve">Figura 12. </w:t>
      </w:r>
      <w:r>
        <w:rPr>
          <w:i/>
          <w:iCs/>
          <w:sz w:val="18"/>
          <w:szCs w:val="18"/>
        </w:rPr>
        <w:t xml:space="preserve">Arquitectura del sistema: del Excel institucional a la aplicación en dos modos.</w:t>
      </w:r>
    </w:p>
    <w:p>
      <w:pPr>
        <w:pStyle w:val="Heading2"/>
      </w:pPr>
      <w:r>
        <w:t xml:space="preserve">7.1 Componentes de software</w:t>
      </w:r>
    </w:p>
    <w:p>
      <w:pPr>
        <w:keepNext/>
        <w:spacing w:after="60" w:before="120"/>
      </w:pPr>
      <w:r>
        <w:rPr>
          <w:b/>
          <w:bCs/>
          <w:color w:val="8B1E3F"/>
          <w:sz w:val="18"/>
          <w:szCs w:val="18"/>
        </w:rPr>
        <w:t xml:space="preserve">Tabla 20. </w:t>
      </w:r>
      <w:r>
        <w:rPr>
          <w:b/>
          <w:bCs/>
          <w:sz w:val="18"/>
          <w:szCs w:val="18"/>
        </w:rPr>
        <w:t xml:space="preserve">Módulos del repositorio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91"/>
        <w:gridCol w:w="6647"/>
      </w:tblGrid>
      <w:tr>
        <w:trPr>
          <w:tblHeader/>
        </w:trPr>
        <w:tc>
          <w:tcPr>
            <w:tcW w:type="dxa" w:w="2991"/>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Componente</w:t>
            </w:r>
          </w:p>
        </w:tc>
        <w:tc>
          <w:tcPr>
            <w:tcW w:type="dxa" w:w="6647"/>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Responsabilidad</w:t>
            </w:r>
          </w:p>
        </w:tc>
      </w:tr>
      <w:tr>
        <w:trPr>
          <w:cantSplit/>
        </w:trPr>
        <w:tc>
          <w:tcPr>
            <w:tcW w:type="dxa" w:w="299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config.yaml</w:t>
            </w:r>
          </w:p>
        </w:tc>
        <w:tc>
          <w:tcPr>
            <w:tcW w:type="dxa" w:w="664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Reglas del estudio: cohortes, t0, H, elegibilidad, alias, k, privacidad</w:t>
            </w:r>
          </w:p>
        </w:tc>
      </w:tr>
      <w:tr>
        <w:trPr>
          <w:cantSplit/>
        </w:trPr>
        <w:tc>
          <w:tcPr>
            <w:tcW w:type="dxa" w:w="299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tools/seudonimizar.py</w:t>
            </w:r>
          </w:p>
        </w:tc>
        <w:tc>
          <w:tcPr>
            <w:tcW w:type="dxa" w:w="664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HMAC-SHA256, acta con huella y reidentificación por el custodio</w:t>
            </w:r>
          </w:p>
        </w:tc>
      </w:tr>
      <w:tr>
        <w:trPr>
          <w:cantSplit/>
        </w:trPr>
        <w:tc>
          <w:tcPr>
            <w:tcW w:type="dxa" w:w="299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src/data_processing.py</w:t>
            </w:r>
          </w:p>
        </w:tc>
        <w:tc>
          <w:tcPr>
            <w:tcW w:type="dxa" w:w="664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Limpieza, normalización, predictores en t0, cohortes, etiqueta y guardas anti-fuga</w:t>
            </w:r>
          </w:p>
        </w:tc>
      </w:tr>
      <w:tr>
        <w:trPr>
          <w:cantSplit/>
        </w:trPr>
        <w:tc>
          <w:tcPr>
            <w:tcW w:type="dxa" w:w="299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src/auditoria.py · src/evaluate.py</w:t>
            </w:r>
          </w:p>
        </w:tc>
        <w:tc>
          <w:tcPr>
            <w:tcW w:type="dxa" w:w="664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Eventos, EPV, comparabilidad de C1, Precision/Recall/Lift@k por familia y k por sede</w:t>
            </w:r>
          </w:p>
        </w:tc>
      </w:tr>
      <w:tr>
        <w:trPr>
          <w:cantSplit/>
        </w:trPr>
        <w:tc>
          <w:tcPr>
            <w:tcW w:type="dxa" w:w="299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src/modeling.py</w:t>
            </w:r>
          </w:p>
        </w:tc>
        <w:tc>
          <w:tcPr>
            <w:tcW w:type="dxa" w:w="664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Candidatos, Optuna, selección, calibración, congelamiento, bootstrap, equidad y proyección</w:t>
            </w:r>
          </w:p>
        </w:tc>
      </w:tr>
      <w:tr>
        <w:trPr>
          <w:cantSplit/>
        </w:trPr>
        <w:tc>
          <w:tcPr>
            <w:tcW w:type="dxa" w:w="299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src/inferencia.py · app/app.py</w:t>
            </w:r>
          </w:p>
        </w:tc>
        <w:tc>
          <w:tcPr>
            <w:tcW w:type="dxa" w:w="664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Lógica y la interfaz Streamlit en dos modos</w:t>
            </w:r>
          </w:p>
        </w:tc>
      </w:tr>
      <w:tr>
        <w:trPr>
          <w:cantSplit/>
        </w:trPr>
        <w:tc>
          <w:tcPr>
            <w:tcW w:type="dxa" w:w="299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src/institucional.py</w:t>
            </w:r>
          </w:p>
        </w:tc>
        <w:tc>
          <w:tcPr>
            <w:tcW w:type="dxa" w:w="664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Modo institucional: seudonimiza el Excel en memoria y arma la lista con nombres</w:t>
            </w:r>
          </w:p>
        </w:tc>
      </w:tr>
      <w:tr>
        <w:trPr>
          <w:cantSplit/>
        </w:trPr>
        <w:tc>
          <w:tcPr>
            <w:tcW w:type="dxa" w:w="299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src/diagnostico.py</w:t>
            </w:r>
          </w:p>
        </w:tc>
        <w:tc>
          <w:tcPr>
            <w:tcW w:type="dxa" w:w="664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Curvas de aprendizaje y diagnóstico de sobreajuste y subajuste (actividad de la semana 3)</w:t>
            </w:r>
          </w:p>
        </w:tc>
      </w:tr>
      <w:tr>
        <w:trPr>
          <w:cantSplit/>
        </w:trPr>
        <w:tc>
          <w:tcPr>
            <w:tcW w:type="dxa" w:w="299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src/alcance.py</w:t>
            </w:r>
          </w:p>
        </w:tc>
        <w:tc>
          <w:tcPr>
            <w:tcW w:type="dxa" w:w="664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Análisis descriptivo del alcance de la lista: desglose del evento, alcance según k y lista semanal</w:t>
            </w:r>
          </w:p>
        </w:tc>
      </w:tr>
      <w:tr>
        <w:trPr>
          <w:cantSplit/>
        </w:trPr>
        <w:tc>
          <w:tcPr>
            <w:tcW w:type="dxa" w:w="299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notebooks/00a–06 y overfitting_analysis</w:t>
            </w:r>
          </w:p>
        </w:tc>
        <w:tc>
          <w:tcPr>
            <w:tcW w:type="dxa" w:w="664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Flujo reproducible en Google Colab</w:t>
            </w:r>
          </w:p>
        </w:tc>
      </w:tr>
      <w:tr>
        <w:trPr>
          <w:cantSplit/>
        </w:trPr>
        <w:tc>
          <w:tcPr>
            <w:tcW w:type="dxa" w:w="299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tests/ (179 pruebas) · GitHub Actions</w:t>
            </w:r>
          </w:p>
        </w:tc>
        <w:tc>
          <w:tcPr>
            <w:tcW w:type="dxa" w:w="664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Calidad PEP 8 (ruff) y pruebas en cada cambio</w:t>
            </w:r>
          </w:p>
        </w:tc>
      </w:tr>
    </w:tbl>
    <w:p>
      <w:pPr>
        <w:spacing w:after="120"/>
      </w:pPr>
    </w:p>
    <w:p>
      <w:pPr>
        <w:pStyle w:val="Heading2"/>
      </w:pPr>
      <w:r>
        <w:t xml:space="preserve">7.2 Aplicación en dos modos</w:t>
      </w:r>
    </w:p>
    <w:p>
      <w:pPr>
        <w:spacing w:after="120"/>
        <w:jc w:val="both"/>
      </w:pPr>
      <w:r>
        <w:t xml:space="preserve">Para que </w:t>
      </w:r>
      <w:r>
        <w:rPr>
          <w:b/>
          <w:bCs/>
        </w:rPr>
        <w:t xml:space="preserve">los datos reales nunca lleguen a un servidor público</w:t>
      </w:r>
      <w:r>
        <w:t xml:space="preserve">, la aplicación tiene un </w:t>
      </w:r>
      <w:r>
        <w:rPr>
          <w:b/>
          <w:bCs/>
        </w:rPr>
        <w:t xml:space="preserve">modo demo</w:t>
      </w:r>
      <w:r>
        <w:t xml:space="preserve"> (Streamlit Community Cloud, por defecto) que solo acepta archivos sintéticos, y un </w:t>
      </w:r>
      <w:r>
        <w:rPr>
          <w:b/>
          <w:bCs/>
        </w:rPr>
        <w:t xml:space="preserve">modo institucional</w:t>
      </w:r>
      <w:r>
        <w:t xml:space="preserve"> que corre en un computador de LEMAS y solo se abre en ese mismo equipo (localhost). Ambos procesan en memoria y no guardan datos, y el modelo recibe siempre la base seudonimizada. Funciones comunes: «Prueba con ejemplo», carga validada de CSV, lista de contactos por sede con k editable, motivo y descarga, proyección frente a B1, formulario individual y sección «Acerca de» con métricas y limitaciones.</w:t>
      </w:r>
    </w:p>
    <w:p>
      <w:pPr>
        <w:spacing w:after="120"/>
        <w:jc w:val="both"/>
      </w:pPr>
      <w:r>
        <w:t xml:space="preserve">La pestaña </w:t>
      </w:r>
      <w:r>
        <w:rPr>
          <w:b/>
          <w:bCs/>
        </w:rPr>
        <w:t xml:space="preserve">Seguimiento</w:t>
      </w:r>
      <w:r>
        <w:t xml:space="preserve"> (D51) sirve para la segunda etapa de la campaña: con una fecha de corte entre el 20 de febrero y el 30 de abril, lista a todas las familias de la población inicial que no registran el pago de la matrícula hasta ese día y marca cuáles estaban en la lista del 20 de febrero. Es un listado de pagos, no una predicción: no usa la regla para decidir quién entra, ni el modelo, ni k. Si el archivo no trae pagos del ciclo siguiente, la aplicación avisa y no muestra nada. En el modo institucional da los nombres con la misma confirmación que la lista inicial.</w:t>
      </w:r>
    </w:p>
    <w:p>
      <w:pPr>
        <w:spacing w:after="120"/>
        <w:jc w:val="both"/>
      </w:pPr>
      <w:r>
        <w:t xml:space="preserve">Para que el personal de LEMAS no dependa de Colab ni de la línea de comandos, el modo institucional recibe el </w:t>
      </w:r>
      <w:r>
        <w:rPr>
          <w:b/>
          <w:bCs/>
        </w:rPr>
        <w:t xml:space="preserve">Excel institucional y la clave del custodio</w:t>
      </w:r>
      <w:r>
        <w:t xml:space="preserve">, seudonimiza en memoria con la misma técnica HMAC-SHA256, verifica que no queden nombres ni cédulas y, tras una confirmación explícita, muestra la </w:t>
      </w:r>
      <w:r>
        <w:rPr>
          <w:b/>
          <w:bCs/>
        </w:rPr>
        <w:t xml:space="preserve">lista con nombres</w:t>
      </w:r>
      <w:r>
        <w:t xml:space="preserve"> para Secretaría. La clave se sube en cada uso y no se guarda; la aplicación muestra su huella para comprobar que es la misma de siempre. Estas funciones no existen en la versión pública (D45).</w:t>
      </w:r>
    </w:p>
    <w:p>
      <w:pPr>
        <w:spacing w:after="120"/>
        <w:jc w:val="both"/>
      </w:pPr>
      <w:r>
        <w:rPr>
          <w:b/>
          <w:bCs/>
        </w:rPr>
        <w:t xml:space="preserve">Un fallo en producción y su corrección.</w:t>
      </w:r>
      <w:r>
        <w:t xml:space="preserve"> El 3 de octubre la versión pública mostró un error (TypeError en lista_contactos) después de una actualización: Streamlit ejecutó el app.py nuevo con un módulo de src/ antiguo que seguía en memoria. Se resolvió reiniciando la aplicación. Desde entonces app.py compara en cada ejecución la fecha de los archivos de src/ y tools/ con la de los módulos cargados y, si cambiaron, los importa de nuevo; una prueba automática reproduce el fallo.</w:t>
      </w:r>
    </w:p>
    <w:p>
      <w:pPr>
        <w:spacing w:after="60" w:before="120"/>
        <w:jc w:val="center"/>
      </w:pPr>
      <w:r>
        <w:drawing>
          <wp:inline distT="0" distB="0" distL="0" distR="0">
            <wp:extent cx="5400675" cy="3859682"/>
            <wp:effectExtent t="0" r="0" b="0" l="0"/>
            <wp:docPr id="1" name="fig13" descr="Aplicación en modo demo: lista de familias a contactar (datos sintéticos)." title="Aplicación en modo demo: lista de familias a contactar (datos sintét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00675" cy="3859682"/>
                    </a:xfrm>
                    <a:prstGeom prst="rect">
                      <a:avLst/>
                    </a:prstGeom>
                  </pic:spPr>
                </pic:pic>
              </a:graphicData>
            </a:graphic>
          </wp:inline>
        </w:drawing>
      </w:r>
    </w:p>
    <w:p>
      <w:pPr>
        <w:spacing w:after="200"/>
        <w:jc w:val="center"/>
      </w:pPr>
      <w:r>
        <w:rPr>
          <w:b/>
          <w:bCs/>
          <w:sz w:val="18"/>
          <w:szCs w:val="18"/>
        </w:rPr>
        <w:t xml:space="preserve">Figura 13. </w:t>
      </w:r>
      <w:r>
        <w:rPr>
          <w:i/>
          <w:iCs/>
          <w:sz w:val="18"/>
          <w:szCs w:val="18"/>
        </w:rPr>
        <w:t xml:space="preserve">Aplicación en modo demo: lista de familias a contactar (datos sintéticos).</w:t>
      </w:r>
    </w:p>
    <w:p>
      <w:pPr>
        <w:pStyle w:val="Heading2"/>
      </w:pPr>
      <w:r>
        <w:t xml:space="preserve">7.3 Ciclo operativo anual en LEMAS</w:t>
      </w:r>
    </w:p>
    <w:p>
      <w:pPr>
        <w:keepNext/>
        <w:spacing w:after="60" w:before="120"/>
      </w:pPr>
      <w:r>
        <w:rPr>
          <w:b/>
          <w:bCs/>
          <w:color w:val="8B1E3F"/>
          <w:sz w:val="18"/>
          <w:szCs w:val="18"/>
        </w:rPr>
        <w:t xml:space="preserve">Tabla 21. </w:t>
      </w:r>
      <w:r>
        <w:rPr>
          <w:b/>
          <w:bCs/>
          <w:sz w:val="18"/>
          <w:szCs w:val="18"/>
        </w:rPr>
        <w:t xml:space="preserve">Uso institucional cada año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5421"/>
        <w:gridCol w:w="2410"/>
      </w:tblGrid>
      <w:tr>
        <w:trPr>
          <w:tblHeader/>
        </w:trPr>
        <w:tc>
          <w:tcPr>
            <w:tcW w:type="dxa" w:w="1807"/>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Fecha</w:t>
            </w:r>
          </w:p>
        </w:tc>
        <w:tc>
          <w:tcPr>
            <w:tcW w:type="dxa" w:w="5421"/>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Paso</w:t>
            </w:r>
          </w:p>
        </w:tc>
        <w:tc>
          <w:tcPr>
            <w:tcW w:type="dxa" w:w="2410"/>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Responsable</w:t>
            </w:r>
          </w:p>
        </w:tc>
      </w:tr>
      <w:tr>
        <w:trPr>
          <w:cantSplit/>
        </w:trPr>
        <w:tc>
          <w:tcPr>
            <w:tcW w:type="dxa" w:w="180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Hasta 19-feb</w:t>
            </w:r>
          </w:p>
        </w:tc>
        <w:tc>
          <w:tcPr>
            <w:tcW w:type="dxa" w:w="542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Exportar el Excel institucional (una hoja por ciclo)</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Responsable de datos</w:t>
            </w:r>
          </w:p>
        </w:tc>
      </w:tr>
      <w:tr>
        <w:trPr>
          <w:cantSplit/>
        </w:trPr>
        <w:tc>
          <w:tcPr>
            <w:tcW w:type="dxa" w:w="180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20-feb (t0)</w:t>
            </w:r>
          </w:p>
        </w:tc>
        <w:tc>
          <w:tcPr>
            <w:tcW w:type="dxa" w:w="542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Abrir la app institucional, subir el Excel y la clave, y generar la lista por sede</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Admisiones y custodio</w:t>
            </w:r>
          </w:p>
        </w:tc>
      </w:tr>
      <w:tr>
        <w:trPr>
          <w:cantSplit/>
        </w:trPr>
        <w:tc>
          <w:tcPr>
            <w:tcW w:type="dxa" w:w="180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20-feb</w:t>
            </w:r>
          </w:p>
        </w:tc>
        <w:tc>
          <w:tcPr>
            <w:tcW w:type="dxa" w:w="542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Obtener la lista con nombres y borrar los datos de la sesión</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Custodio</w:t>
            </w:r>
          </w:p>
        </w:tc>
      </w:tr>
      <w:tr>
        <w:trPr>
          <w:cantSplit/>
        </w:trPr>
        <w:tc>
          <w:tcPr>
            <w:tcW w:type="dxa" w:w="180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20-feb a 30-abr</w:t>
            </w:r>
          </w:p>
        </w:tc>
        <w:tc>
          <w:tcPr>
            <w:tcW w:type="dxa" w:w="542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Contacto de apoyo (planes de pago, información)</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Secretaría</w:t>
            </w:r>
          </w:p>
        </w:tc>
      </w:tr>
      <w:tr>
        <w:trPr>
          <w:cantSplit/>
        </w:trPr>
        <w:tc>
          <w:tcPr>
            <w:tcW w:type="dxa" w:w="180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Hacia el 20–27 de marzo (propuesta para 2027)</w:t>
            </w:r>
          </w:p>
        </w:tc>
        <w:tc>
          <w:tcPr>
            <w:tcW w:type="dxa" w:w="542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Exportar de nuevo el Excel y listar en Seguimiento a las familias que siguen sin pagar</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Admisiones y custodio</w:t>
            </w:r>
          </w:p>
        </w:tc>
      </w:tr>
      <w:tr>
        <w:trPr>
          <w:cantSplit/>
        </w:trPr>
        <w:tc>
          <w:tcPr>
            <w:tcW w:type="dxa" w:w="180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Mayo</w:t>
            </w:r>
          </w:p>
        </w:tc>
        <w:tc>
          <w:tcPr>
            <w:tcW w:type="dxa" w:w="542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Comparar con matrículas reales y revalidar la regla</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Datos y Dirección</w:t>
            </w:r>
          </w:p>
        </w:tc>
      </w:tr>
    </w:tbl>
    <w:p>
      <w:pPr>
        <w:spacing w:after="120"/>
      </w:pPr>
    </w:p>
    <w:p>
      <w:pPr>
        <w:pStyle w:val="Heading1"/>
        <w:pageBreakBefore/>
      </w:pPr>
      <w:r>
        <w:t xml:space="preserve">8. Análisis de stakeholders</w:t>
      </w:r>
    </w:p>
    <w:p>
      <w:pPr>
        <w:keepNext/>
        <w:spacing w:after="60" w:before="120"/>
      </w:pPr>
      <w:r>
        <w:rPr>
          <w:b/>
          <w:bCs/>
          <w:color w:val="8B1E3F"/>
          <w:sz w:val="18"/>
          <w:szCs w:val="18"/>
        </w:rPr>
        <w:t xml:space="preserve">Tabla 22. </w:t>
      </w:r>
      <w:r>
        <w:rPr>
          <w:b/>
          <w:bCs/>
          <w:sz w:val="18"/>
          <w:szCs w:val="18"/>
        </w:rPr>
        <w:t xml:space="preserve">Stakeholders, influencia, necesidades y estrategia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566"/>
        <w:gridCol w:w="1084"/>
        <w:gridCol w:w="1686"/>
        <w:gridCol w:w="1445"/>
        <w:gridCol w:w="1930"/>
      </w:tblGrid>
      <w:tr>
        <w:trPr>
          <w:tblHeader/>
        </w:trPr>
        <w:tc>
          <w:tcPr>
            <w:tcW w:type="dxa" w:w="1927"/>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Stakeholder</w:t>
            </w:r>
          </w:p>
        </w:tc>
        <w:tc>
          <w:tcPr>
            <w:tcW w:type="dxa" w:w="1566"/>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Tipo</w:t>
            </w:r>
          </w:p>
        </w:tc>
        <w:tc>
          <w:tcPr>
            <w:tcW w:type="dxa" w:w="1084"/>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Infl./Int.</w:t>
            </w:r>
          </w:p>
        </w:tc>
        <w:tc>
          <w:tcPr>
            <w:tcW w:type="dxa" w:w="1686"/>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Necesidad</w:t>
            </w:r>
          </w:p>
        </w:tc>
        <w:tc>
          <w:tcPr>
            <w:tcW w:type="dxa" w:w="1445"/>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Resistencia posible</w:t>
            </w:r>
          </w:p>
        </w:tc>
        <w:tc>
          <w:tcPr>
            <w:tcW w:type="dxa" w:w="1930"/>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Estrategia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Secretaría y Admisiones</w:t>
            </w:r>
          </w:p>
        </w:tc>
        <w:tc>
          <w:tcPr>
            <w:tcW w:type="dxa" w:w="156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Primario (usuario)</w:t>
            </w:r>
          </w:p>
        </w:tc>
        <w:tc>
          <w:tcPr>
            <w:tcW w:type="dxa" w:w="108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Alta/Alta</w:t>
            </w:r>
          </w:p>
        </w:tc>
        <w:tc>
          <w:tcPr>
            <w:tcW w:type="dxa" w:w="168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Lista clara y manejable</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Carga adicional</w:t>
            </w:r>
          </w:p>
        </w:tc>
        <w:tc>
          <w:tcPr>
            <w:tcW w:type="dxa" w:w="19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Co-diseño de la lista y k editable</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Familias y estudiantes</w:t>
            </w:r>
          </w:p>
        </w:tc>
        <w:tc>
          <w:tcPr>
            <w:tcW w:type="dxa" w:w="156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Primario (beneficiario)</w:t>
            </w:r>
          </w:p>
        </w:tc>
        <w:tc>
          <w:tcPr>
            <w:tcW w:type="dxa" w:w="108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Baja/Alta</w:t>
            </w:r>
          </w:p>
        </w:tc>
        <w:tc>
          <w:tcPr>
            <w:tcW w:type="dxa" w:w="168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Apoyo respetuoso y privacidad</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Sentirse vigiladas</w:t>
            </w:r>
          </w:p>
        </w:tc>
        <w:tc>
          <w:tcPr>
            <w:tcW w:type="dxa" w:w="19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Seudónimos, contacto de apoyo</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Dirección institucional</w:t>
            </w:r>
          </w:p>
        </w:tc>
        <w:tc>
          <w:tcPr>
            <w:tcW w:type="dxa" w:w="156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Primario (decisor) / Sponsor</w:t>
            </w:r>
          </w:p>
        </w:tc>
        <w:tc>
          <w:tcPr>
            <w:tcW w:type="dxa" w:w="108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Alta/Alta</w:t>
            </w:r>
          </w:p>
        </w:tc>
        <w:tc>
          <w:tcPr>
            <w:tcW w:type="dxa" w:w="168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Proyección confiable</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Desconfianza en la IA</w:t>
            </w:r>
          </w:p>
        </w:tc>
        <w:tc>
          <w:tcPr>
            <w:tcW w:type="dxa" w:w="19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Reportes con IC y limitaciones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Finanzas</w:t>
            </w:r>
          </w:p>
        </w:tc>
        <w:tc>
          <w:tcPr>
            <w:tcW w:type="dxa" w:w="156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Primario</w:t>
            </w:r>
          </w:p>
        </w:tc>
        <w:tc>
          <w:tcPr>
            <w:tcW w:type="dxa" w:w="108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Alta/Media</w:t>
            </w:r>
          </w:p>
        </w:tc>
        <w:tc>
          <w:tcPr>
            <w:tcW w:type="dxa" w:w="168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Proyección de ingresos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Diferencias contables</w:t>
            </w:r>
          </w:p>
        </w:tc>
        <w:tc>
          <w:tcPr>
            <w:tcW w:type="dxa" w:w="19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Proyección por sede frente a B1</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Coordinación académica</w:t>
            </w:r>
          </w:p>
        </w:tc>
        <w:tc>
          <w:tcPr>
            <w:tcW w:type="dxa" w:w="156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Primario</w:t>
            </w:r>
          </w:p>
        </w:tc>
        <w:tc>
          <w:tcPr>
            <w:tcW w:type="dxa" w:w="108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Media/Alta</w:t>
            </w:r>
          </w:p>
        </w:tc>
        <w:tc>
          <w:tcPr>
            <w:tcW w:type="dxa" w:w="168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Planificar paralelos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Cambios tardíos</w:t>
            </w:r>
          </w:p>
        </w:tc>
        <w:tc>
          <w:tcPr>
            <w:tcW w:type="dxa" w:w="19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Proyección al 20 de febrero</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Custodio y Sistemas</w:t>
            </w:r>
          </w:p>
        </w:tc>
        <w:tc>
          <w:tcPr>
            <w:tcW w:type="dxa" w:w="156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Clave (proveedor de datos)</w:t>
            </w:r>
          </w:p>
        </w:tc>
        <w:tc>
          <w:tcPr>
            <w:tcW w:type="dxa" w:w="108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Alta/Media</w:t>
            </w:r>
          </w:p>
        </w:tc>
        <w:tc>
          <w:tcPr>
            <w:tcW w:type="dxa" w:w="168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Acceso seguro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Riesgo operativo</w:t>
            </w:r>
          </w:p>
        </w:tc>
        <w:tc>
          <w:tcPr>
            <w:tcW w:type="dxa" w:w="19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Protocolo de seudonimización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SPDP (LOPDP)</w:t>
            </w:r>
          </w:p>
        </w:tc>
        <w:tc>
          <w:tcPr>
            <w:tcW w:type="dxa" w:w="156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Secundario (regulador)</w:t>
            </w:r>
          </w:p>
        </w:tc>
        <w:tc>
          <w:tcPr>
            <w:tcW w:type="dxa" w:w="108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Alta/Baja</w:t>
            </w:r>
          </w:p>
        </w:tc>
        <w:tc>
          <w:tcPr>
            <w:tcW w:type="dxa" w:w="168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Tratamiento legítimo</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Incumplimiento</w:t>
            </w:r>
          </w:p>
        </w:tc>
        <w:tc>
          <w:tcPr>
            <w:tcW w:type="dxa" w:w="19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Minimización y actas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Proveedores (Google, Streamlit, GitHub)</w:t>
            </w:r>
          </w:p>
        </w:tc>
        <w:tc>
          <w:tcPr>
            <w:tcW w:type="dxa" w:w="156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Secundario</w:t>
            </w:r>
          </w:p>
        </w:tc>
        <w:tc>
          <w:tcPr>
            <w:tcW w:type="dxa" w:w="108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Baja/Baja</w:t>
            </w:r>
          </w:p>
        </w:tc>
        <w:tc>
          <w:tcPr>
            <w:tcW w:type="dxa" w:w="168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Uso conforme a términos</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Restricciones</w:t>
            </w:r>
          </w:p>
        </w:tc>
        <w:tc>
          <w:tcPr>
            <w:tcW w:type="dxa" w:w="19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Solo datos sintéticos en la nube pública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Otros colegios privados</w:t>
            </w:r>
          </w:p>
        </w:tc>
        <w:tc>
          <w:tcPr>
            <w:tcW w:type="dxa" w:w="156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Secundario (competidor indirecto)</w:t>
            </w:r>
          </w:p>
        </w:tc>
        <w:tc>
          <w:tcPr>
            <w:tcW w:type="dxa" w:w="108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Baja/Media</w:t>
            </w:r>
          </w:p>
        </w:tc>
        <w:tc>
          <w:tcPr>
            <w:tcW w:type="dxa" w:w="168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w:t>
            </w:r>
          </w:p>
        </w:tc>
        <w:tc>
          <w:tcPr>
            <w:tcW w:type="dxa" w:w="19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Monitorear</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Equipo (Guillermo y José)</w:t>
            </w:r>
          </w:p>
        </w:tc>
        <w:tc>
          <w:tcPr>
            <w:tcW w:type="dxa" w:w="156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Clave (implementador / experto)</w:t>
            </w:r>
          </w:p>
        </w:tc>
        <w:tc>
          <w:tcPr>
            <w:tcW w:type="dxa" w:w="108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Alta/Alta</w:t>
            </w:r>
          </w:p>
        </w:tc>
        <w:tc>
          <w:tcPr>
            <w:tcW w:type="dxa" w:w="168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Datos y retroalimentación</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Tiempo limitado</w:t>
            </w:r>
          </w:p>
        </w:tc>
        <w:tc>
          <w:tcPr>
            <w:tcW w:type="dxa" w:w="19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Scrum por fases</w:t>
            </w:r>
          </w:p>
        </w:tc>
      </w:tr>
    </w:tbl>
    <w:p>
      <w:pPr>
        <w:spacing w:after="120"/>
      </w:pPr>
    </w:p>
    <w:p>
      <w:pPr>
        <w:keepNext/>
        <w:spacing w:after="60" w:before="120"/>
      </w:pPr>
      <w:r>
        <w:rPr>
          <w:b/>
          <w:bCs/>
          <w:color w:val="8B1E3F"/>
          <w:sz w:val="18"/>
          <w:szCs w:val="18"/>
        </w:rPr>
        <w:t xml:space="preserve">Tabla 23. </w:t>
      </w:r>
      <w:r>
        <w:rPr>
          <w:b/>
          <w:bCs/>
          <w:sz w:val="18"/>
          <w:szCs w:val="18"/>
        </w:rPr>
        <w:t xml:space="preserve">Matriz influencia-interés y plan de comunicación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8"/>
        <w:gridCol w:w="3614"/>
        <w:gridCol w:w="3916"/>
      </w:tblGrid>
      <w:tr>
        <w:trPr>
          <w:tblHeader/>
        </w:trPr>
        <w:tc>
          <w:tcPr>
            <w:tcW w:type="dxa" w:w="2108"/>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Cuadrante</w:t>
            </w:r>
          </w:p>
        </w:tc>
        <w:tc>
          <w:tcPr>
            <w:tcW w:type="dxa" w:w="3614"/>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Stakeholders</w:t>
            </w:r>
          </w:p>
        </w:tc>
        <w:tc>
          <w:tcPr>
            <w:tcW w:type="dxa" w:w="3916"/>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Canal y frecuencia</w:t>
            </w:r>
          </w:p>
        </w:tc>
      </w:tr>
      <w:tr>
        <w:trPr>
          <w:cantSplit/>
        </w:trPr>
        <w:tc>
          <w:tcPr>
            <w:tcW w:type="dxa" w:w="210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Gestionar de cerca</w:t>
            </w:r>
          </w:p>
        </w:tc>
        <w:tc>
          <w:tcPr>
            <w:tcW w:type="dxa" w:w="361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Dirección, Secretaría/Admisiones, Finanzas, equipo</w:t>
            </w:r>
          </w:p>
        </w:tc>
        <w:tc>
          <w:tcPr>
            <w:tcW w:type="dxa" w:w="391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Revisión al cierre de cada fase y demostración de la app</w:t>
            </w:r>
          </w:p>
        </w:tc>
      </w:tr>
      <w:tr>
        <w:trPr>
          <w:cantSplit/>
        </w:trPr>
        <w:tc>
          <w:tcPr>
            <w:tcW w:type="dxa" w:w="210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Mantener satisfechos</w:t>
            </w:r>
          </w:p>
        </w:tc>
        <w:tc>
          <w:tcPr>
            <w:tcW w:type="dxa" w:w="361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Custodio, Sistemas, SPDP</w:t>
            </w:r>
          </w:p>
        </w:tc>
        <w:tc>
          <w:tcPr>
            <w:tcW w:type="dxa" w:w="391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Actas de extracción y reunión segura en Sprint 1</w:t>
            </w:r>
          </w:p>
        </w:tc>
      </w:tr>
      <w:tr>
        <w:trPr>
          <w:cantSplit/>
        </w:trPr>
        <w:tc>
          <w:tcPr>
            <w:tcW w:type="dxa" w:w="210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Mantener informados</w:t>
            </w:r>
          </w:p>
        </w:tc>
        <w:tc>
          <w:tcPr>
            <w:tcW w:type="dxa" w:w="361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Coordinación académica, familias</w:t>
            </w:r>
          </w:p>
        </w:tc>
        <w:tc>
          <w:tcPr>
            <w:tcW w:type="dxa" w:w="391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Demostración y canal de observaciones</w:t>
            </w:r>
          </w:p>
        </w:tc>
      </w:tr>
      <w:tr>
        <w:trPr>
          <w:cantSplit/>
        </w:trPr>
        <w:tc>
          <w:tcPr>
            <w:tcW w:type="dxa" w:w="210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Monitorear</w:t>
            </w:r>
          </w:p>
        </w:tc>
        <w:tc>
          <w:tcPr>
            <w:tcW w:type="dxa" w:w="361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Proveedores tecnológicos, otros colegios</w:t>
            </w:r>
          </w:p>
        </w:tc>
        <w:tc>
          <w:tcPr>
            <w:tcW w:type="dxa" w:w="391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Actualización por hito</w:t>
            </w:r>
          </w:p>
        </w:tc>
      </w:tr>
    </w:tbl>
    <w:p>
      <w:pPr>
        <w:spacing w:after="120"/>
      </w:pPr>
    </w:p>
    <w:p>
      <w:pPr>
        <w:keepNext/>
        <w:spacing w:after="60" w:before="120"/>
      </w:pPr>
      <w:r>
        <w:rPr>
          <w:b/>
          <w:bCs/>
          <w:color w:val="8B1E3F"/>
          <w:sz w:val="18"/>
          <w:szCs w:val="18"/>
        </w:rPr>
        <w:t xml:space="preserve">Tabla 24. </w:t>
      </w:r>
      <w:r>
        <w:rPr>
          <w:b/>
          <w:bCs/>
          <w:sz w:val="18"/>
          <w:szCs w:val="18"/>
        </w:rPr>
        <w:t xml:space="preserve">Plan de comunicación diferenciado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3579"/>
        <w:gridCol w:w="2478"/>
        <w:gridCol w:w="1654"/>
      </w:tblGrid>
      <w:tr>
        <w:trPr>
          <w:tblHeader/>
        </w:trPr>
        <w:tc>
          <w:tcPr>
            <w:tcW w:type="dxa" w:w="1927"/>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Audiencia</w:t>
            </w:r>
          </w:p>
        </w:tc>
        <w:tc>
          <w:tcPr>
            <w:tcW w:type="dxa" w:w="3579"/>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Mensaje clave</w:t>
            </w:r>
          </w:p>
        </w:tc>
        <w:tc>
          <w:tcPr>
            <w:tcW w:type="dxa" w:w="2478"/>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Canal</w:t>
            </w:r>
          </w:p>
        </w:tc>
        <w:tc>
          <w:tcPr>
            <w:tcW w:type="dxa" w:w="1654"/>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Frecuencia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Dirección</w:t>
            </w:r>
          </w:p>
        </w:tc>
        <w:tc>
          <w:tcPr>
            <w:tcW w:type="dxa" w:w="357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Resultados con IC, limitaciones y recomendación de uso</w:t>
            </w:r>
          </w:p>
        </w:tc>
        <w:tc>
          <w:tcPr>
            <w:tcW w:type="dxa" w:w="247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Reunión de revisión y resumen ejecutivo</w:t>
            </w:r>
          </w:p>
        </w:tc>
        <w:tc>
          <w:tcPr>
            <w:tcW w:type="dxa" w:w="165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Cierre de cada fase</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Secretaría y Admisiones</w:t>
            </w:r>
          </w:p>
        </w:tc>
        <w:tc>
          <w:tcPr>
            <w:tcW w:type="dxa" w:w="357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Cómo leer la lista, el motivo y k; protocolo de contacto de apoyo</w:t>
            </w:r>
          </w:p>
        </w:tc>
        <w:tc>
          <w:tcPr>
            <w:tcW w:type="dxa" w:w="247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Demostración de la app y manual</w:t>
            </w:r>
          </w:p>
        </w:tc>
        <w:tc>
          <w:tcPr>
            <w:tcW w:type="dxa" w:w="165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Antes de cada 20 de febrero</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Custodio y Sistemas</w:t>
            </w:r>
          </w:p>
        </w:tc>
        <w:tc>
          <w:tcPr>
            <w:tcW w:type="dxa" w:w="357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Seudonimización, clave, reidentificación y eliminación</w:t>
            </w:r>
          </w:p>
        </w:tc>
        <w:tc>
          <w:tcPr>
            <w:tcW w:type="dxa" w:w="247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Reunión segura y actas</w:t>
            </w:r>
          </w:p>
        </w:tc>
        <w:tc>
          <w:tcPr>
            <w:tcW w:type="dxa" w:w="165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Cada extracción</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Finanzas y Coordinación</w:t>
            </w:r>
          </w:p>
        </w:tc>
        <w:tc>
          <w:tcPr>
            <w:tcW w:type="dxa" w:w="357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Proyección por sede y subnivel frente a B1</w:t>
            </w:r>
          </w:p>
        </w:tc>
        <w:tc>
          <w:tcPr>
            <w:tcW w:type="dxa" w:w="247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Informe agregado</w:t>
            </w:r>
          </w:p>
        </w:tc>
        <w:tc>
          <w:tcPr>
            <w:tcW w:type="dxa" w:w="165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Febrero y mayo</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Familias</w:t>
            </w:r>
          </w:p>
        </w:tc>
        <w:tc>
          <w:tcPr>
            <w:tcW w:type="dxa" w:w="357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Contacto de apoyo; privacidad de sus datos</w:t>
            </w:r>
          </w:p>
        </w:tc>
        <w:tc>
          <w:tcPr>
            <w:tcW w:type="dxa" w:w="247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Llamada o mensaje institucional</w:t>
            </w:r>
          </w:p>
        </w:tc>
        <w:tc>
          <w:tcPr>
            <w:tcW w:type="dxa" w:w="165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Durante la campaña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Docentes evaluadores</w:t>
            </w:r>
          </w:p>
        </w:tc>
        <w:tc>
          <w:tcPr>
            <w:tcW w:type="dxa" w:w="357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Metodología, resultados y ética</w:t>
            </w:r>
          </w:p>
        </w:tc>
        <w:tc>
          <w:tcPr>
            <w:tcW w:type="dxa" w:w="247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Repositorio, app y video</w:t>
            </w:r>
          </w:p>
        </w:tc>
        <w:tc>
          <w:tcPr>
            <w:tcW w:type="dxa" w:w="165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Entrega final</w:t>
            </w:r>
          </w:p>
        </w:tc>
      </w:tr>
    </w:tbl>
    <w:p>
      <w:pPr>
        <w:spacing w:after="120"/>
      </w:pPr>
    </w:p>
    <w:p>
      <w:pPr>
        <w:pStyle w:val="Heading1"/>
        <w:pageBreakBefore/>
      </w:pPr>
      <w:r>
        <w:t xml:space="preserve">9. Documento de alcance</w:t>
      </w:r>
    </w:p>
    <w:p>
      <w:pPr>
        <w:pStyle w:val="Heading2"/>
      </w:pPr>
      <w:r>
        <w:t xml:space="preserve">9.1 Objetivo general y específicos</w:t>
      </w:r>
    </w:p>
    <w:p>
      <w:pPr>
        <w:spacing w:after="120"/>
        <w:jc w:val="both"/>
      </w:pPr>
      <w:r>
        <w:t xml:space="preserve">Ver sección 2: el objetivo general SMART y los cinco objetivos específicos están alineados con las métricas de la sección 5.</w:t>
      </w:r>
    </w:p>
    <w:p>
      <w:pPr>
        <w:pStyle w:val="Heading2"/>
      </w:pPr>
      <w:r>
        <w:t xml:space="preserve">9.2 Alcance incluido</w:t>
      </w:r>
    </w:p>
    <w:p>
      <w:pPr>
        <w:pStyle w:val="ListParagraph"/>
        <w:numPr>
          <w:ilvl w:val="0"/>
          <w:numId w:val="3"/>
        </w:numPr>
        <w:spacing w:after="60"/>
      </w:pPr>
      <w:r>
        <w:t xml:space="preserve">Estudiantes antiguos con reserva aprobada antes de t0, excepto 3.º de bachillerato, sin matrícula pagada al corte.</w:t>
      </w:r>
    </w:p>
    <w:p>
      <w:pPr>
        <w:pStyle w:val="ListParagraph"/>
        <w:numPr>
          <w:ilvl w:val="0"/>
          <w:numId w:val="3"/>
        </w:numPr>
        <w:spacing w:after="60"/>
      </w:pPr>
      <w:r>
        <w:t xml:space="preserve">Datos de reservas, notas, conducta, beca, pagos de matrícula y pensiones del ciclo de origen.</w:t>
      </w:r>
    </w:p>
    <w:p>
      <w:pPr>
        <w:pStyle w:val="ListParagraph"/>
        <w:numPr>
          <w:ilvl w:val="0"/>
          <w:numId w:val="3"/>
        </w:numPr>
        <w:spacing w:after="60"/>
      </w:pPr>
      <w:r>
        <w:t xml:space="preserve">Seudonimización, limpieza reproducible, validación temporal, tres modelos, reglas de referencia, calibración, explicabilidad, equidad y proyección por sede y subnivel.</w:t>
      </w:r>
    </w:p>
    <w:p>
      <w:pPr>
        <w:pStyle w:val="ListParagraph"/>
        <w:numPr>
          <w:ilvl w:val="0"/>
          <w:numId w:val="3"/>
        </w:numPr>
        <w:spacing w:after="60"/>
      </w:pPr>
      <w:r>
        <w:t xml:space="preserve">Aplicación Streamlit en dos modos y documentación técnica, ética y de usuario.</w:t>
      </w:r>
    </w:p>
    <w:p>
      <w:pPr>
        <w:pStyle w:val="Heading2"/>
      </w:pPr>
      <w:r>
        <w:t xml:space="preserve">9.3 Alcance excluido y limitaciones</w:t>
      </w:r>
    </w:p>
    <w:p>
      <w:pPr>
        <w:pStyle w:val="ListParagraph"/>
        <w:numPr>
          <w:ilvl w:val="0"/>
          <w:numId w:val="3"/>
        </w:numPr>
        <w:spacing w:after="60"/>
      </w:pPr>
      <w:r>
        <w:t xml:space="preserve">Estudiantes nuevos, reservas pendientes o rechazadas y abandono durante el año.</w:t>
      </w:r>
    </w:p>
    <w:p>
      <w:pPr>
        <w:pStyle w:val="ListParagraph"/>
        <w:numPr>
          <w:ilvl w:val="0"/>
          <w:numId w:val="3"/>
        </w:numPr>
        <w:spacing w:after="60"/>
      </w:pPr>
      <w:r>
        <w:t xml:space="preserve">Integración automática con sistemas de LEMAS, despliegue productivo y contacto automático a familias.</w:t>
      </w:r>
    </w:p>
    <w:p>
      <w:pPr>
        <w:pStyle w:val="ListParagraph"/>
        <w:numPr>
          <w:ilvl w:val="0"/>
          <w:numId w:val="3"/>
        </w:numPr>
        <w:spacing w:after="60"/>
      </w:pPr>
      <w:r>
        <w:t xml:space="preserve">Decisiones sobre cupos, becas o servicios; medición causal del efecto del contacto.</w:t>
      </w:r>
    </w:p>
    <w:p>
      <w:pPr>
        <w:pStyle w:val="ListParagraph"/>
        <w:numPr>
          <w:ilvl w:val="0"/>
          <w:numId w:val="3"/>
        </w:numPr>
        <w:spacing w:after="60"/>
      </w:pPr>
      <w:r>
        <w:t xml:space="preserve">Limitaciones conocidas: ~200 eventos de entrenamiento, sin fecha de aprobación de la reserva, pensión de febrero posiblemente incluida en los atrasos.</w:t>
      </w:r>
    </w:p>
    <w:p>
      <w:pPr>
        <w:pStyle w:val="Heading2"/>
      </w:pPr>
      <w:r>
        <w:t xml:space="preserve">9.4 Criterios de aceptación y supuestos</w:t>
      </w:r>
    </w:p>
    <w:p>
      <w:pPr>
        <w:keepNext/>
        <w:spacing w:after="60" w:before="120"/>
      </w:pPr>
      <w:r>
        <w:rPr>
          <w:b/>
          <w:bCs/>
          <w:color w:val="8B1E3F"/>
          <w:sz w:val="18"/>
          <w:szCs w:val="18"/>
        </w:rPr>
        <w:t xml:space="preserve">Tabla 25. </w:t>
      </w:r>
      <w:r>
        <w:rPr>
          <w:b/>
          <w:bCs/>
          <w:sz w:val="18"/>
          <w:szCs w:val="18"/>
        </w:rPr>
        <w:t xml:space="preserve">Entregables y criterios de aceptación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95"/>
        <w:gridCol w:w="1955"/>
        <w:gridCol w:w="4190"/>
        <w:gridCol w:w="1398"/>
      </w:tblGrid>
      <w:tr>
        <w:trPr>
          <w:tblHeader/>
        </w:trPr>
        <w:tc>
          <w:tcPr>
            <w:tcW w:type="dxa" w:w="2095"/>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Entregable</w:t>
            </w:r>
          </w:p>
        </w:tc>
        <w:tc>
          <w:tcPr>
            <w:tcW w:type="dxa" w:w="1955"/>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Formato</w:t>
            </w:r>
          </w:p>
        </w:tc>
        <w:tc>
          <w:tcPr>
            <w:tcW w:type="dxa" w:w="4190"/>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Criterio de aceptación</w:t>
            </w:r>
          </w:p>
        </w:tc>
        <w:tc>
          <w:tcPr>
            <w:tcW w:type="dxa" w:w="1398"/>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Estado</w:t>
            </w:r>
          </w:p>
        </w:tc>
      </w:tr>
      <w:tr>
        <w:trPr>
          <w:cantSplit/>
        </w:trPr>
        <w:tc>
          <w:tcPr>
            <w:tcW w:type="dxa" w:w="209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Estado del arte</w:t>
            </w:r>
          </w:p>
        </w:tc>
        <w:tc>
          <w:tcPr>
            <w:tcW w:type="dxa" w:w="195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Sección 3</w:t>
            </w:r>
          </w:p>
        </w:tc>
        <w:tc>
          <w:tcPr>
            <w:tcW w:type="dxa" w:w="419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 10 trabajos 2021–2026, comparación, timeline, gap</w:t>
            </w:r>
          </w:p>
        </w:tc>
        <w:tc>
          <w:tcPr>
            <w:tcW w:type="dxa" w:w="139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 20 trabajos</w:t>
            </w:r>
          </w:p>
        </w:tc>
      </w:tr>
      <w:tr>
        <w:trPr>
          <w:cantSplit/>
        </w:trPr>
        <w:tc>
          <w:tcPr>
            <w:tcW w:type="dxa" w:w="209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Base analítica</w:t>
            </w:r>
          </w:p>
        </w:tc>
        <w:tc>
          <w:tcPr>
            <w:tcW w:type="dxa" w:w="195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CSV seudonimizado</w:t>
            </w:r>
          </w:p>
        </w:tc>
        <w:tc>
          <w:tcPr>
            <w:tcW w:type="dxa" w:w="419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Cohortes inventariadas, diccionario y acta SHA-256</w:t>
            </w:r>
          </w:p>
        </w:tc>
        <w:tc>
          <w:tcPr>
            <w:tcW w:type="dxa" w:w="139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w:t>
            </w:r>
          </w:p>
        </w:tc>
      </w:tr>
      <w:tr>
        <w:trPr>
          <w:cantSplit/>
        </w:trPr>
        <w:tc>
          <w:tcPr>
            <w:tcW w:type="dxa" w:w="209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EDA y calidad</w:t>
            </w:r>
          </w:p>
        </w:tc>
        <w:tc>
          <w:tcPr>
            <w:tcW w:type="dxa" w:w="195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Cuaderno 01 + docs</w:t>
            </w:r>
          </w:p>
        </w:tc>
        <w:tc>
          <w:tcPr>
            <w:tcW w:type="dxa" w:w="419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Distribuciones, balance, cambios temporales, decisiones</w:t>
            </w:r>
          </w:p>
        </w:tc>
        <w:tc>
          <w:tcPr>
            <w:tcW w:type="dxa" w:w="139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w:t>
            </w:r>
          </w:p>
        </w:tc>
      </w:tr>
      <w:tr>
        <w:trPr>
          <w:cantSplit/>
        </w:trPr>
        <w:tc>
          <w:tcPr>
            <w:tcW w:type="dxa" w:w="209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Modelo validado</w:t>
            </w:r>
          </w:p>
        </w:tc>
        <w:tc>
          <w:tcPr>
            <w:tcW w:type="dxa" w:w="195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Cuadernos 03–05</w:t>
            </w:r>
          </w:p>
        </w:tc>
        <w:tc>
          <w:tcPr>
            <w:tcW w:type="dxa" w:w="419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2 modelos, C5 intacta, Lift@k con IC, Brier</w:t>
            </w:r>
          </w:p>
        </w:tc>
        <w:tc>
          <w:tcPr>
            <w:tcW w:type="dxa" w:w="139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w:t>
            </w:r>
          </w:p>
        </w:tc>
      </w:tr>
      <w:tr>
        <w:trPr>
          <w:cantSplit/>
        </w:trPr>
        <w:tc>
          <w:tcPr>
            <w:tcW w:type="dxa" w:w="209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Aplicación web</w:t>
            </w:r>
          </w:p>
        </w:tc>
        <w:tc>
          <w:tcPr>
            <w:tcW w:type="dxa" w:w="195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Streamlit desplegada</w:t>
            </w:r>
          </w:p>
        </w:tc>
        <w:tc>
          <w:tcPr>
            <w:tcW w:type="dxa" w:w="419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Formulario validado, ejemplo, probabilidades, top-k, proyección, «Acerca de»</w:t>
            </w:r>
          </w:p>
        </w:tc>
        <w:tc>
          <w:tcPr>
            <w:tcW w:type="dxa" w:w="139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w:t>
            </w:r>
          </w:p>
        </w:tc>
      </w:tr>
      <w:tr>
        <w:trPr>
          <w:cantSplit/>
        </w:trPr>
        <w:tc>
          <w:tcPr>
            <w:tcW w:type="dxa" w:w="209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Documento técnico</w:t>
            </w:r>
          </w:p>
        </w:tc>
        <w:tc>
          <w:tcPr>
            <w:tcW w:type="dxa" w:w="195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Word</w:t>
            </w:r>
          </w:p>
        </w:tc>
        <w:tc>
          <w:tcPr>
            <w:tcW w:type="dxa" w:w="419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8 componentes, 25–30 páginas, ≥ 20 referencias IEEE</w:t>
            </w:r>
          </w:p>
        </w:tc>
        <w:tc>
          <w:tcPr>
            <w:tcW w:type="dxa" w:w="139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 Este documento</w:t>
            </w:r>
          </w:p>
        </w:tc>
      </w:tr>
      <w:tr>
        <w:trPr>
          <w:cantSplit/>
        </w:trPr>
        <w:tc>
          <w:tcPr>
            <w:tcW w:type="dxa" w:w="209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Pitch y video de respuestas</w:t>
            </w:r>
          </w:p>
        </w:tc>
        <w:tc>
          <w:tcPr>
            <w:tcW w:type="dxa" w:w="195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Video MP4 / YouTube</w:t>
            </w:r>
          </w:p>
        </w:tc>
        <w:tc>
          <w:tcPr>
            <w:tcW w:type="dxa" w:w="419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5 minutos con la app real</w:t>
            </w:r>
          </w:p>
        </w:tc>
        <w:tc>
          <w:tcPr>
            <w:tcW w:type="dxa" w:w="139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En preparación</w:t>
            </w:r>
          </w:p>
        </w:tc>
      </w:tr>
    </w:tbl>
    <w:p>
      <w:pPr>
        <w:spacing w:after="120"/>
      </w:pPr>
    </w:p>
    <w:p>
      <w:pPr>
        <w:spacing w:after="120"/>
        <w:jc w:val="both"/>
      </w:pPr>
      <w:r>
        <w:rPr>
          <w:b/>
          <w:bCs/>
        </w:rPr>
        <w:t xml:space="preserve">Supuestos fundamentales:</w:t>
      </w:r>
      <w:r>
        <w:t xml:space="preserve"> el pago confirma la matrícula; la cédula es una llave estable entre ciclos; los estados de reserva vigentes representan la aprobación al corte (verificado con análisis de sensibilidad); la capacidad de contacto se mantiene durante las 10 semanas de campaña.</w:t>
      </w:r>
    </w:p>
    <w:p>
      <w:pPr>
        <w:pStyle w:val="Heading1"/>
        <w:pageBreakBefore/>
      </w:pPr>
      <w:r>
        <w:t xml:space="preserve">10. Cronograma con metodología ágil (Scrum)</w:t>
      </w:r>
    </w:p>
    <w:p>
      <w:pPr>
        <w:spacing w:after="120"/>
        <w:jc w:val="both"/>
      </w:pPr>
      <w:r>
        <w:rPr>
          <w:b/>
          <w:bCs/>
        </w:rPr>
        <w:t xml:space="preserve">Roles:</w:t>
      </w:r>
      <w:r>
        <w:t xml:space="preserve"> Guillermo Granizo (Product Owner y analista de dominio), José Ulloa (Scrum Master y analista de IA); ambos Developers. </w:t>
      </w:r>
      <w:r>
        <w:rPr>
          <w:b/>
          <w:bCs/>
        </w:rPr>
        <w:t xml:space="preserve">Eventos:</w:t>
      </w:r>
      <w:r>
        <w:t xml:space="preserve"> Sprint Planning (60 min), Daily (15 min), Refinamiento semanal (30 min), Review (45 min) y Retrospectiva (30 min). Seis semanas en cuatro sprints de 1, 2, 2 y 1 semanas.</w:t>
      </w:r>
    </w:p>
    <w:p>
      <w:pPr>
        <w:keepNext/>
        <w:spacing w:after="60" w:before="120"/>
      </w:pPr>
      <w:r>
        <w:rPr>
          <w:b/>
          <w:bCs/>
          <w:color w:val="8B1E3F"/>
          <w:sz w:val="18"/>
          <w:szCs w:val="18"/>
        </w:rPr>
        <w:t xml:space="preserve">Tabla 26. </w:t>
      </w:r>
      <w:r>
        <w:rPr>
          <w:b/>
          <w:bCs/>
          <w:sz w:val="18"/>
          <w:szCs w:val="18"/>
        </w:rPr>
        <w:t xml:space="preserve">Sprints: objetivo, historias, puntos y estado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45"/>
        <w:gridCol w:w="1175"/>
        <w:gridCol w:w="2350"/>
        <w:gridCol w:w="2585"/>
        <w:gridCol w:w="1883"/>
      </w:tblGrid>
      <w:tr>
        <w:trPr>
          <w:tblHeader/>
        </w:trPr>
        <w:tc>
          <w:tcPr>
            <w:tcW w:type="dxa" w:w="1645"/>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Sprint</w:t>
            </w:r>
          </w:p>
        </w:tc>
        <w:tc>
          <w:tcPr>
            <w:tcW w:type="dxa" w:w="1175"/>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Fechas</w:t>
            </w:r>
          </w:p>
        </w:tc>
        <w:tc>
          <w:tcPr>
            <w:tcW w:type="dxa" w:w="2350"/>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Sprint Goal</w:t>
            </w:r>
          </w:p>
        </w:tc>
        <w:tc>
          <w:tcPr>
            <w:tcW w:type="dxa" w:w="2585"/>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Historias (SP)</w:t>
            </w:r>
          </w:p>
        </w:tc>
        <w:tc>
          <w:tcPr>
            <w:tcW w:type="dxa" w:w="1883"/>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Estado real</w:t>
            </w:r>
          </w:p>
        </w:tc>
      </w:tr>
      <w:tr>
        <w:trPr>
          <w:cantSplit/>
        </w:trPr>
        <w:tc>
          <w:tcPr>
            <w:tcW w:type="dxa" w:w="164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S1 · Investigación y diseño</w:t>
            </w:r>
          </w:p>
        </w:tc>
        <w:tc>
          <w:tcPr>
            <w:tcW w:type="dxa" w:w="117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14–20 sep</w:t>
            </w:r>
          </w:p>
        </w:tc>
        <w:tc>
          <w:tcPr>
            <w:tcW w:type="dxa" w:w="23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Reglas, fuentes, privacidad y arquitectura definidas</w:t>
            </w:r>
          </w:p>
        </w:tc>
        <w:tc>
          <w:tcPr>
            <w:tcW w:type="dxa" w:w="25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PB-01 (5), PB-02 (8), PB-04 lit. (5)</w:t>
            </w:r>
          </w:p>
        </w:tc>
        <w:tc>
          <w:tcPr>
            <w:tcW w:type="dxa" w:w="188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 Completado</w:t>
            </w:r>
          </w:p>
        </w:tc>
      </w:tr>
      <w:tr>
        <w:trPr>
          <w:cantSplit/>
        </w:trPr>
        <w:tc>
          <w:tcPr>
            <w:tcW w:type="dxa" w:w="164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S2 · Desarrollo core</w:t>
            </w:r>
          </w:p>
        </w:tc>
        <w:tc>
          <w:tcPr>
            <w:tcW w:type="dxa" w:w="117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21 sep–4 oct</w:t>
            </w:r>
          </w:p>
        </w:tc>
        <w:tc>
          <w:tcPr>
            <w:tcW w:type="dxa" w:w="23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Base analítica validada y modelos base</w:t>
            </w:r>
          </w:p>
        </w:tc>
        <w:tc>
          <w:tcPr>
            <w:tcW w:type="dxa" w:w="25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PB-03 (8), PB-04 (5), PB-05 (3), PB-06 (5), PB-07 (8)</w:t>
            </w:r>
          </w:p>
        </w:tc>
        <w:tc>
          <w:tcPr>
            <w:tcW w:type="dxa" w:w="188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 Completado el 1-oct</w:t>
            </w:r>
          </w:p>
        </w:tc>
      </w:tr>
      <w:tr>
        <w:trPr>
          <w:cantSplit/>
        </w:trPr>
        <w:tc>
          <w:tcPr>
            <w:tcW w:type="dxa" w:w="164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S3 · Optimización y validación</w:t>
            </w:r>
          </w:p>
        </w:tc>
        <w:tc>
          <w:tcPr>
            <w:tcW w:type="dxa" w:w="117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5–18 oct</w:t>
            </w:r>
          </w:p>
        </w:tc>
        <w:tc>
          <w:tcPr>
            <w:tcW w:type="dxa" w:w="23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Optuna, selección en C4, prueba C5, app</w:t>
            </w:r>
          </w:p>
        </w:tc>
        <w:tc>
          <w:tcPr>
            <w:tcW w:type="dxa" w:w="25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PB-08 (5), PB-09 (5), PB-10 (5), PB-13 (5), PB-11 (5)</w:t>
            </w:r>
          </w:p>
        </w:tc>
        <w:tc>
          <w:tcPr>
            <w:tcW w:type="dxa" w:w="188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 Adelantado al 1-oct (validación con usuarios programada)</w:t>
            </w:r>
          </w:p>
        </w:tc>
      </w:tr>
      <w:tr>
        <w:trPr>
          <w:cantSplit/>
        </w:trPr>
        <w:tc>
          <w:tcPr>
            <w:tcW w:type="dxa" w:w="164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S4 · Finalización</w:t>
            </w:r>
          </w:p>
        </w:tc>
        <w:tc>
          <w:tcPr>
            <w:tcW w:type="dxa" w:w="117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19–25 oct</w:t>
            </w:r>
          </w:p>
        </w:tc>
        <w:tc>
          <w:tcPr>
            <w:tcW w:type="dxa" w:w="23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MVP documentado, pitch y video</w:t>
            </w:r>
          </w:p>
        </w:tc>
        <w:tc>
          <w:tcPr>
            <w:tcW w:type="dxa" w:w="25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PB-12 (5), PB-14 (3)</w:t>
            </w:r>
          </w:p>
        </w:tc>
        <w:tc>
          <w:tcPr>
            <w:tcW w:type="dxa" w:w="188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En curso</w:t>
            </w:r>
          </w:p>
        </w:tc>
      </w:tr>
    </w:tbl>
    <w:p>
      <w:pPr>
        <w:spacing w:after="120"/>
      </w:pPr>
    </w:p>
    <w:p>
      <w:pPr>
        <w:keepNext/>
        <w:spacing w:after="60" w:before="120"/>
      </w:pPr>
      <w:r>
        <w:rPr>
          <w:b/>
          <w:bCs/>
          <w:color w:val="8B1E3F"/>
          <w:sz w:val="18"/>
          <w:szCs w:val="18"/>
        </w:rPr>
        <w:t xml:space="preserve">Tabla 27. </w:t>
      </w:r>
      <w:r>
        <w:rPr>
          <w:b/>
          <w:bCs/>
          <w:sz w:val="18"/>
          <w:szCs w:val="18"/>
        </w:rPr>
        <w:t xml:space="preserve">Product Backlog priorizado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4965"/>
        <w:gridCol w:w="3212"/>
        <w:gridCol w:w="585"/>
      </w:tblGrid>
      <w:tr>
        <w:trPr>
          <w:tblHeader/>
        </w:trPr>
        <w:tc>
          <w:tcPr>
            <w:tcW w:type="dxa" w:w="876"/>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ID</w:t>
            </w:r>
          </w:p>
        </w:tc>
        <w:tc>
          <w:tcPr>
            <w:tcW w:type="dxa" w:w="4965"/>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Historia de usuario</w:t>
            </w:r>
          </w:p>
        </w:tc>
        <w:tc>
          <w:tcPr>
            <w:tcW w:type="dxa" w:w="3212"/>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Definition of Done</w:t>
            </w:r>
          </w:p>
        </w:tc>
        <w:tc>
          <w:tcPr>
            <w:tcW w:type="dxa" w:w="585"/>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SP</w:t>
            </w:r>
          </w:p>
        </w:tc>
      </w:tr>
      <w:tr>
        <w:trPr>
          <w:cantSplit/>
        </w:trPr>
        <w:tc>
          <w:tcPr>
            <w:tcW w:type="dxa" w:w="87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PB-01</w:t>
            </w:r>
          </w:p>
        </w:tc>
        <w:tc>
          <w:tcPr>
            <w:tcW w:type="dxa" w:w="496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Como PO, quiero reglas y cortes aprobados para una etiqueta consistente</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t0, H, población y k aprobados (D01–D08)</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5</w:t>
            </w:r>
          </w:p>
        </w:tc>
      </w:tr>
      <w:tr>
        <w:trPr>
          <w:cantSplit/>
        </w:trPr>
        <w:tc>
          <w:tcPr>
            <w:tcW w:type="dxa" w:w="87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PB-02</w:t>
            </w:r>
          </w:p>
        </w:tc>
        <w:tc>
          <w:tcPr>
            <w:tcW w:type="dxa" w:w="496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Como custodio, quiero una base seudonimizada para proteger a menores</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HMAC, clave separada, acta SHA-256</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8</w:t>
            </w:r>
          </w:p>
        </w:tc>
      </w:tr>
      <w:tr>
        <w:trPr>
          <w:cantSplit/>
        </w:trPr>
        <w:tc>
          <w:tcPr>
            <w:tcW w:type="dxa" w:w="87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PB-03</w:t>
            </w:r>
          </w:p>
        </w:tc>
        <w:tc>
          <w:tcPr>
            <w:tcW w:type="dxa" w:w="496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Como analista, quiero un dataset limpio sin duplicados</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Cohortes auditadas, familias vinculadas</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8</w:t>
            </w:r>
          </w:p>
        </w:tc>
      </w:tr>
      <w:tr>
        <w:trPr>
          <w:cantSplit/>
        </w:trPr>
        <w:tc>
          <w:tcPr>
            <w:tcW w:type="dxa" w:w="87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PB-04</w:t>
            </w:r>
          </w:p>
        </w:tc>
        <w:tc>
          <w:tcPr>
            <w:tcW w:type="dxa" w:w="496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Como equipo, quiero un EDA temporal</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Figuras 1–8 y tabla 6.3</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5</w:t>
            </w:r>
          </w:p>
        </w:tc>
      </w:tr>
      <w:tr>
        <w:trPr>
          <w:cantSplit/>
        </w:trPr>
        <w:tc>
          <w:tcPr>
            <w:tcW w:type="dxa" w:w="87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PB-05</w:t>
            </w:r>
          </w:p>
        </w:tc>
        <w:tc>
          <w:tcPr>
            <w:tcW w:type="dxa" w:w="496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Como PO, quiero líneas base para saber si la IA aporta</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 R, B0, B1, D, D2 reportadas</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3</w:t>
            </w:r>
          </w:p>
        </w:tc>
      </w:tr>
      <w:tr>
        <w:trPr>
          <w:cantSplit/>
        </w:trPr>
        <w:tc>
          <w:tcPr>
            <w:tcW w:type="dxa" w:w="87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PB-06</w:t>
            </w:r>
          </w:p>
        </w:tc>
        <w:tc>
          <w:tcPr>
            <w:tcW w:type="dxa" w:w="496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Como analista, quiero un pipeline reproducible sin fuga</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Guardas anti-fuga y pruebas</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5</w:t>
            </w:r>
          </w:p>
        </w:tc>
      </w:tr>
      <w:tr>
        <w:trPr>
          <w:cantSplit/>
        </w:trPr>
        <w:tc>
          <w:tcPr>
            <w:tcW w:type="dxa" w:w="87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PB-07</w:t>
            </w:r>
          </w:p>
        </w:tc>
        <w:tc>
          <w:tcPr>
            <w:tcW w:type="dxa" w:w="496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Como Dirección, quiero comparar modelos por Precision@k</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2+ modelos, C5 intacta, IC</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8</w:t>
            </w:r>
          </w:p>
        </w:tc>
      </w:tr>
      <w:tr>
        <w:trPr>
          <w:cantSplit/>
        </w:trPr>
        <w:tc>
          <w:tcPr>
            <w:tcW w:type="dxa" w:w="87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PB-08</w:t>
            </w:r>
          </w:p>
        </w:tc>
        <w:tc>
          <w:tcPr>
            <w:tcW w:type="dxa" w:w="496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Como Admisiones, quiero probabilidades calibradas</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Brier frente a B1</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5</w:t>
            </w:r>
          </w:p>
        </w:tc>
      </w:tr>
      <w:tr>
        <w:trPr>
          <w:cantSplit/>
        </w:trPr>
        <w:tc>
          <w:tcPr>
            <w:tcW w:type="dxa" w:w="87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PB-09</w:t>
            </w:r>
          </w:p>
        </w:tc>
        <w:tc>
          <w:tcPr>
            <w:tcW w:type="dxa" w:w="496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Como usuario, quiero conocer los factores relevantes</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Permutación y SHAP</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5</w:t>
            </w:r>
          </w:p>
        </w:tc>
      </w:tr>
      <w:tr>
        <w:trPr>
          <w:cantSplit/>
        </w:trPr>
        <w:tc>
          <w:tcPr>
            <w:tcW w:type="dxa" w:w="87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PB-10</w:t>
            </w:r>
          </w:p>
        </w:tc>
        <w:tc>
          <w:tcPr>
            <w:tcW w:type="dxa" w:w="496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Como Coordinación, quiero proyección por sede y subnivel</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MAPE frente a B1</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5</w:t>
            </w:r>
          </w:p>
        </w:tc>
      </w:tr>
      <w:tr>
        <w:trPr>
          <w:cantSplit/>
        </w:trPr>
        <w:tc>
          <w:tcPr>
            <w:tcW w:type="dxa" w:w="87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PB-11</w:t>
            </w:r>
          </w:p>
        </w:tc>
        <w:tc>
          <w:tcPr>
            <w:tcW w:type="dxa" w:w="496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Como usuario piloto, quiero una salida clara</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App y prueba con 4 usuarios</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5</w:t>
            </w:r>
          </w:p>
        </w:tc>
      </w:tr>
      <w:tr>
        <w:trPr>
          <w:cantSplit/>
        </w:trPr>
        <w:tc>
          <w:tcPr>
            <w:tcW w:type="dxa" w:w="87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PB-12</w:t>
            </w:r>
          </w:p>
        </w:tc>
        <w:tc>
          <w:tcPr>
            <w:tcW w:type="dxa" w:w="496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Como equipo, quiero documentación para reproducir</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README, docs y manual</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5</w:t>
            </w:r>
          </w:p>
        </w:tc>
      </w:tr>
      <w:tr>
        <w:trPr>
          <w:cantSplit/>
        </w:trPr>
        <w:tc>
          <w:tcPr>
            <w:tcW w:type="dxa" w:w="87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PB-13</w:t>
            </w:r>
          </w:p>
        </w:tc>
        <w:tc>
          <w:tcPr>
            <w:tcW w:type="dxa" w:w="496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Como Dirección, quiero conocer sesgos y riesgos</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Equidad por grupo</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5</w:t>
            </w:r>
          </w:p>
        </w:tc>
      </w:tr>
      <w:tr>
        <w:trPr>
          <w:cantSplit/>
        </w:trPr>
        <w:tc>
          <w:tcPr>
            <w:tcW w:type="dxa" w:w="87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PB-14</w:t>
            </w:r>
          </w:p>
        </w:tc>
        <w:tc>
          <w:tcPr>
            <w:tcW w:type="dxa" w:w="496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Como evaluador, quiero una demo y un pitch</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Video de 5 minutos</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3</w:t>
            </w:r>
          </w:p>
        </w:tc>
      </w:tr>
    </w:tbl>
    <w:p>
      <w:pPr>
        <w:spacing w:after="120"/>
      </w:pPr>
    </w:p>
    <w:p>
      <w:pPr>
        <w:keepNext/>
        <w:spacing w:after="60" w:before="120"/>
      </w:pPr>
      <w:r>
        <w:rPr>
          <w:b/>
          <w:bCs/>
          <w:color w:val="8B1E3F"/>
          <w:sz w:val="18"/>
          <w:szCs w:val="18"/>
        </w:rPr>
        <w:t xml:space="preserve">Tabla 28. </w:t>
      </w:r>
      <w:r>
        <w:rPr>
          <w:b/>
          <w:bCs/>
          <w:sz w:val="18"/>
          <w:szCs w:val="18"/>
        </w:rPr>
        <w:t xml:space="preserve">Detalle por sprint: Definition of Done y riesgos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3"/>
        <w:gridCol w:w="4015"/>
        <w:gridCol w:w="2141"/>
        <w:gridCol w:w="2679"/>
      </w:tblGrid>
      <w:tr>
        <w:trPr>
          <w:tblHeader/>
        </w:trPr>
        <w:tc>
          <w:tcPr>
            <w:tcW w:type="dxa" w:w="803"/>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Sprint</w:t>
            </w:r>
          </w:p>
        </w:tc>
        <w:tc>
          <w:tcPr>
            <w:tcW w:type="dxa" w:w="4015"/>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Definition of Done</w:t>
            </w:r>
          </w:p>
        </w:tc>
        <w:tc>
          <w:tcPr>
            <w:tcW w:type="dxa" w:w="2141"/>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Riesgo principal</w:t>
            </w:r>
          </w:p>
        </w:tc>
        <w:tc>
          <w:tcPr>
            <w:tcW w:type="dxa" w:w="2679"/>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Mitigación</w:t>
            </w:r>
          </w:p>
        </w:tc>
      </w:tr>
      <w:tr>
        <w:trPr>
          <w:cantSplit/>
        </w:trPr>
        <w:tc>
          <w:tcPr>
            <w:tcW w:type="dxa" w:w="80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S1</w:t>
            </w:r>
          </w:p>
        </w:tc>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Reglas aprobadas, glosario, protocolo de datos, literatura ≥ 10 trabajos</w:t>
            </w:r>
          </w:p>
        </w:tc>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Acceso tardío a datos</w:t>
            </w:r>
          </w:p>
        </w:tc>
        <w:tc>
          <w:tcPr>
            <w:tcW w:type="dxa" w:w="267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Datos sintéticos con la estructura real</w:t>
            </w:r>
          </w:p>
        </w:tc>
      </w:tr>
      <w:tr>
        <w:trPr>
          <w:cantSplit/>
        </w:trPr>
        <w:tc>
          <w:tcPr>
            <w:tcW w:type="dxa" w:w="80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S2</w:t>
            </w:r>
          </w:p>
        </w:tc>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Base seudonimizada, EDA con 8 figuras, tabla 6.3, líneas base, pipeline sin fuga, pruebas en verde</w:t>
            </w:r>
          </w:p>
        </w:tc>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Pocos eventos o fuga temporal</w:t>
            </w:r>
          </w:p>
        </w:tc>
        <w:tc>
          <w:tcPr>
            <w:tcW w:type="dxa" w:w="267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Auditoría de eventos y guardas anti-fuga</w:t>
            </w:r>
          </w:p>
        </w:tc>
      </w:tr>
      <w:tr>
        <w:trPr>
          <w:cantSplit/>
        </w:trPr>
        <w:tc>
          <w:tcPr>
            <w:tcW w:type="dxa" w:w="80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S3</w:t>
            </w:r>
          </w:p>
        </w:tc>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Optuna, selección en C4, sistema congelado, prueba C5 con IC, app desplegada</w:t>
            </w:r>
          </w:p>
        </w:tc>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Sobreajuste o test contaminado</w:t>
            </w:r>
          </w:p>
        </w:tc>
        <w:tc>
          <w:tcPr>
            <w:tcW w:type="dxa" w:w="267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C4 independiente, intento único, C5 una vez</w:t>
            </w:r>
          </w:p>
        </w:tc>
      </w:tr>
      <w:tr>
        <w:trPr>
          <w:cantSplit/>
        </w:trPr>
        <w:tc>
          <w:tcPr>
            <w:tcW w:type="dxa" w:w="80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S4</w:t>
            </w:r>
          </w:p>
        </w:tc>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Documentación completa, revisión independiente, videos dentro del tiempo</w:t>
            </w:r>
          </w:p>
        </w:tc>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Tiempo insuficiente</w:t>
            </w:r>
          </w:p>
        </w:tc>
        <w:tc>
          <w:tcPr>
            <w:tcW w:type="dxa" w:w="267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Alcance congelado y holgura de dos días</w:t>
            </w:r>
          </w:p>
        </w:tc>
      </w:tr>
    </w:tbl>
    <w:p>
      <w:pPr>
        <w:spacing w:after="120"/>
      </w:pPr>
    </w:p>
    <w:p>
      <w:pPr>
        <w:spacing w:after="120"/>
        <w:jc w:val="both"/>
      </w:pPr>
      <w:r>
        <w:rPr>
          <w:b/>
          <w:bCs/>
        </w:rPr>
        <w:t xml:space="preserve">Riesgos por sprint:</w:t>
      </w:r>
      <w:r>
        <w:t xml:space="preserve"> S1 acceso tardío (mitigado: autorización y datos sintéticos); S2 fuga temporal y pocos eventos (guardas, auditoría); S3 sobreajuste (C4 independiente, intento único registrado); S4 tiempo (alcance congelado y holgura de dos días).</w:t>
      </w:r>
    </w:p>
    <w:p>
      <w:pPr>
        <w:pStyle w:val="Heading1"/>
        <w:pageBreakBefore/>
      </w:pPr>
      <w:r>
        <w:t xml:space="preserve">11. Plan de recursos</w:t>
      </w:r>
    </w:p>
    <w:p>
      <w:pPr>
        <w:keepNext/>
        <w:spacing w:after="60" w:before="120"/>
      </w:pPr>
      <w:r>
        <w:rPr>
          <w:b/>
          <w:bCs/>
          <w:color w:val="8B1E3F"/>
          <w:sz w:val="18"/>
          <w:szCs w:val="18"/>
        </w:rPr>
        <w:t xml:space="preserve">Tabla 29. </w:t>
      </w:r>
      <w:r>
        <w:rPr>
          <w:b/>
          <w:bCs/>
          <w:sz w:val="18"/>
          <w:szCs w:val="18"/>
        </w:rPr>
        <w:t xml:space="preserve">Recursos humanos por sprint (horas)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7"/>
        <w:gridCol w:w="2677"/>
        <w:gridCol w:w="803"/>
        <w:gridCol w:w="803"/>
        <w:gridCol w:w="803"/>
        <w:gridCol w:w="803"/>
        <w:gridCol w:w="1072"/>
      </w:tblGrid>
      <w:tr>
        <w:trPr>
          <w:tblHeader/>
        </w:trPr>
        <w:tc>
          <w:tcPr>
            <w:tcW w:type="dxa" w:w="2677"/>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Rol</w:t>
            </w:r>
          </w:p>
        </w:tc>
        <w:tc>
          <w:tcPr>
            <w:tcW w:type="dxa" w:w="2677"/>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Persona</w:t>
            </w:r>
          </w:p>
        </w:tc>
        <w:tc>
          <w:tcPr>
            <w:tcW w:type="dxa" w:w="803"/>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S1</w:t>
            </w:r>
          </w:p>
        </w:tc>
        <w:tc>
          <w:tcPr>
            <w:tcW w:type="dxa" w:w="803"/>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S2</w:t>
            </w:r>
          </w:p>
        </w:tc>
        <w:tc>
          <w:tcPr>
            <w:tcW w:type="dxa" w:w="803"/>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S3</w:t>
            </w:r>
          </w:p>
        </w:tc>
        <w:tc>
          <w:tcPr>
            <w:tcW w:type="dxa" w:w="803"/>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S4</w:t>
            </w:r>
          </w:p>
        </w:tc>
        <w:tc>
          <w:tcPr>
            <w:tcW w:type="dxa" w:w="1072"/>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Total</w:t>
            </w:r>
          </w:p>
        </w:tc>
      </w:tr>
      <w:tr>
        <w:trPr>
          <w:cantSplit/>
        </w:trPr>
        <w:tc>
          <w:tcPr>
            <w:tcW w:type="dxa" w:w="267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Product Owner / dominio</w:t>
            </w:r>
          </w:p>
        </w:tc>
        <w:tc>
          <w:tcPr>
            <w:tcW w:type="dxa" w:w="267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Guillermo Granizo</w:t>
            </w:r>
          </w:p>
        </w:tc>
        <w:tc>
          <w:tcPr>
            <w:tcW w:type="dxa" w:w="80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10</w:t>
            </w:r>
          </w:p>
        </w:tc>
        <w:tc>
          <w:tcPr>
            <w:tcW w:type="dxa" w:w="80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14</w:t>
            </w:r>
          </w:p>
        </w:tc>
        <w:tc>
          <w:tcPr>
            <w:tcW w:type="dxa" w:w="80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14</w:t>
            </w:r>
          </w:p>
        </w:tc>
        <w:tc>
          <w:tcPr>
            <w:tcW w:type="dxa" w:w="80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10</w:t>
            </w:r>
          </w:p>
        </w:tc>
        <w:tc>
          <w:tcPr>
            <w:tcW w:type="dxa" w:w="107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48</w:t>
            </w:r>
          </w:p>
        </w:tc>
      </w:tr>
      <w:tr>
        <w:trPr>
          <w:cantSplit/>
        </w:trPr>
        <w:tc>
          <w:tcPr>
            <w:tcW w:type="dxa" w:w="267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Scrum Master / analista de IA</w:t>
            </w:r>
          </w:p>
        </w:tc>
        <w:tc>
          <w:tcPr>
            <w:tcW w:type="dxa" w:w="267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José Ulloa</w:t>
            </w:r>
          </w:p>
        </w:tc>
        <w:tc>
          <w:tcPr>
            <w:tcW w:type="dxa" w:w="80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8</w:t>
            </w:r>
          </w:p>
        </w:tc>
        <w:tc>
          <w:tcPr>
            <w:tcW w:type="dxa" w:w="80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16</w:t>
            </w:r>
          </w:p>
        </w:tc>
        <w:tc>
          <w:tcPr>
            <w:tcW w:type="dxa" w:w="80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16</w:t>
            </w:r>
          </w:p>
        </w:tc>
        <w:tc>
          <w:tcPr>
            <w:tcW w:type="dxa" w:w="80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8</w:t>
            </w:r>
          </w:p>
        </w:tc>
        <w:tc>
          <w:tcPr>
            <w:tcW w:type="dxa" w:w="107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48</w:t>
            </w:r>
          </w:p>
        </w:tc>
      </w:tr>
      <w:tr>
        <w:trPr>
          <w:cantSplit/>
        </w:trPr>
        <w:tc>
          <w:tcPr>
            <w:tcW w:type="dxa" w:w="267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Custodio de datos</w:t>
            </w:r>
          </w:p>
        </w:tc>
        <w:tc>
          <w:tcPr>
            <w:tcW w:type="dxa" w:w="267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Designado por LEMAS</w:t>
            </w:r>
          </w:p>
        </w:tc>
        <w:tc>
          <w:tcPr>
            <w:tcW w:type="dxa" w:w="80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2</w:t>
            </w:r>
          </w:p>
        </w:tc>
        <w:tc>
          <w:tcPr>
            <w:tcW w:type="dxa" w:w="80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2</w:t>
            </w:r>
          </w:p>
        </w:tc>
        <w:tc>
          <w:tcPr>
            <w:tcW w:type="dxa" w:w="80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w:t>
            </w:r>
          </w:p>
        </w:tc>
        <w:tc>
          <w:tcPr>
            <w:tcW w:type="dxa" w:w="80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w:t>
            </w:r>
          </w:p>
        </w:tc>
        <w:tc>
          <w:tcPr>
            <w:tcW w:type="dxa" w:w="107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4</w:t>
            </w:r>
          </w:p>
        </w:tc>
      </w:tr>
      <w:tr>
        <w:trPr>
          <w:cantSplit/>
        </w:trPr>
        <w:tc>
          <w:tcPr>
            <w:tcW w:type="dxa" w:w="267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Usuarios validadores</w:t>
            </w:r>
          </w:p>
        </w:tc>
        <w:tc>
          <w:tcPr>
            <w:tcW w:type="dxa" w:w="267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4 personas de 3 áreas</w:t>
            </w:r>
          </w:p>
        </w:tc>
        <w:tc>
          <w:tcPr>
            <w:tcW w:type="dxa" w:w="80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w:t>
            </w:r>
          </w:p>
        </w:tc>
        <w:tc>
          <w:tcPr>
            <w:tcW w:type="dxa" w:w="80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w:t>
            </w:r>
          </w:p>
        </w:tc>
        <w:tc>
          <w:tcPr>
            <w:tcW w:type="dxa" w:w="80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4</w:t>
            </w:r>
          </w:p>
        </w:tc>
        <w:tc>
          <w:tcPr>
            <w:tcW w:type="dxa" w:w="80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w:t>
            </w:r>
          </w:p>
        </w:tc>
        <w:tc>
          <w:tcPr>
            <w:tcW w:type="dxa" w:w="107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4</w:t>
            </w:r>
          </w:p>
        </w:tc>
      </w:tr>
    </w:tbl>
    <w:p>
      <w:pPr>
        <w:spacing w:after="120"/>
      </w:pPr>
    </w:p>
    <w:p>
      <w:pPr>
        <w:keepNext/>
        <w:spacing w:after="60" w:before="120"/>
      </w:pPr>
      <w:r>
        <w:rPr>
          <w:b/>
          <w:bCs/>
          <w:color w:val="8B1E3F"/>
          <w:sz w:val="18"/>
          <w:szCs w:val="18"/>
        </w:rPr>
        <w:t xml:space="preserve">Tabla 30. </w:t>
      </w:r>
      <w:r>
        <w:rPr>
          <w:b/>
          <w:bCs/>
          <w:sz w:val="18"/>
          <w:szCs w:val="18"/>
        </w:rPr>
        <w:t xml:space="preserve">Recursos técnicos y presupuesto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4130"/>
        <w:gridCol w:w="1652"/>
        <w:gridCol w:w="1929"/>
      </w:tblGrid>
      <w:tr>
        <w:trPr>
          <w:tblHeader/>
        </w:trPr>
        <w:tc>
          <w:tcPr>
            <w:tcW w:type="dxa" w:w="1927"/>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Categoría</w:t>
            </w:r>
          </w:p>
        </w:tc>
        <w:tc>
          <w:tcPr>
            <w:tcW w:type="dxa" w:w="4130"/>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Detalle</w:t>
            </w:r>
          </w:p>
        </w:tc>
        <w:tc>
          <w:tcPr>
            <w:tcW w:type="dxa" w:w="1652"/>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Costo incremental</w:t>
            </w:r>
          </w:p>
        </w:tc>
        <w:tc>
          <w:tcPr>
            <w:tcW w:type="dxa" w:w="1929"/>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Valoración de esfuerzo</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Personal</w:t>
            </w:r>
          </w:p>
        </w:tc>
        <w:tc>
          <w:tcPr>
            <w:tcW w:type="dxa" w:w="41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96 horas del equipo (USD 15/h de referencia)</w:t>
            </w:r>
          </w:p>
        </w:tc>
        <w:tc>
          <w:tcPr>
            <w:tcW w:type="dxa" w:w="165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USD 0</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USD 1.440</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Hardware</w:t>
            </w:r>
          </w:p>
        </w:tc>
        <w:tc>
          <w:tcPr>
            <w:tcW w:type="dxa" w:w="41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Equipos existentes; Colab gratuito (CPU)</w:t>
            </w:r>
          </w:p>
        </w:tc>
        <w:tc>
          <w:tcPr>
            <w:tcW w:type="dxa" w:w="165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USD 0</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Software y nube</w:t>
            </w:r>
          </w:p>
        </w:tc>
        <w:tc>
          <w:tcPr>
            <w:tcW w:type="dxa" w:w="41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Python, scikit-learn, Optuna, Streamlit Community Cloud, GitHub</w:t>
            </w:r>
          </w:p>
        </w:tc>
        <w:tc>
          <w:tcPr>
            <w:tcW w:type="dxa" w:w="165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USD 0</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Datos</w:t>
            </w:r>
          </w:p>
        </w:tc>
        <w:tc>
          <w:tcPr>
            <w:tcW w:type="dxa" w:w="41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Registros propios de LEMAS (autorizados)</w:t>
            </w:r>
          </w:p>
        </w:tc>
        <w:tc>
          <w:tcPr>
            <w:tcW w:type="dxa" w:w="165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USD 0</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Contingencia (15 %)</w:t>
            </w:r>
          </w:p>
        </w:tc>
        <w:tc>
          <w:tcPr>
            <w:tcW w:type="dxa" w:w="41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Almacenamiento o cómputo adicional autorizado</w:t>
            </w:r>
          </w:p>
        </w:tc>
        <w:tc>
          <w:tcPr>
            <w:tcW w:type="dxa" w:w="165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Hasta USD 50</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USD 216</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Total</w:t>
            </w:r>
          </w:p>
        </w:tc>
        <w:tc>
          <w:tcPr>
            <w:tcW w:type="dxa" w:w="41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p>
        </w:tc>
        <w:tc>
          <w:tcPr>
            <w:tcW w:type="dxa" w:w="165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USD 0–50</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USD 1.656</w:t>
            </w:r>
          </w:p>
        </w:tc>
      </w:tr>
    </w:tbl>
    <w:p>
      <w:pPr>
        <w:spacing w:after="120"/>
      </w:pPr>
    </w:p>
    <w:p>
      <w:pPr>
        <w:spacing w:after="120"/>
        <w:jc w:val="both"/>
      </w:pPr>
      <w:r>
        <w:t xml:space="preserve">La adquisición de recursos se limita a herramientas gratuitas; cualquier gasto de contingencia requiere aprobación del Product Owner y de la Dirección.</w:t>
      </w:r>
    </w:p>
    <w:p>
      <w:pPr>
        <w:pStyle w:val="Heading1"/>
        <w:pageBreakBefore/>
      </w:pPr>
      <w:r>
        <w:t xml:space="preserve">12. Hitos y entregables</w:t>
      </w:r>
    </w:p>
    <w:p>
      <w:pPr>
        <w:keepNext/>
        <w:spacing w:after="60" w:before="120"/>
      </w:pPr>
      <w:r>
        <w:rPr>
          <w:b/>
          <w:bCs/>
          <w:color w:val="8B1E3F"/>
          <w:sz w:val="18"/>
          <w:szCs w:val="18"/>
        </w:rPr>
        <w:t xml:space="preserve">Tabla 31. </w:t>
      </w:r>
      <w:r>
        <w:rPr>
          <w:b/>
          <w:bCs/>
          <w:sz w:val="18"/>
          <w:szCs w:val="18"/>
        </w:rPr>
        <w:t xml:space="preserve">Ocho hitos del proyecto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
        <w:gridCol w:w="1028"/>
        <w:gridCol w:w="3598"/>
        <w:gridCol w:w="1285"/>
        <w:gridCol w:w="1285"/>
        <w:gridCol w:w="1800"/>
      </w:tblGrid>
      <w:tr>
        <w:trPr>
          <w:tblHeader/>
        </w:trPr>
        <w:tc>
          <w:tcPr>
            <w:tcW w:type="dxa" w:w="642"/>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Hito</w:t>
            </w:r>
          </w:p>
        </w:tc>
        <w:tc>
          <w:tcPr>
            <w:tcW w:type="dxa" w:w="1028"/>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Fecha</w:t>
            </w:r>
          </w:p>
        </w:tc>
        <w:tc>
          <w:tcPr>
            <w:tcW w:type="dxa" w:w="3598"/>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Entregable y criterio</w:t>
            </w:r>
          </w:p>
        </w:tc>
        <w:tc>
          <w:tcPr>
            <w:tcW w:type="dxa" w:w="1285"/>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Responsable</w:t>
            </w:r>
          </w:p>
        </w:tc>
        <w:tc>
          <w:tcPr>
            <w:tcW w:type="dxa" w:w="1285"/>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Revisión</w:t>
            </w:r>
          </w:p>
        </w:tc>
        <w:tc>
          <w:tcPr>
            <w:tcW w:type="dxa" w:w="1800"/>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Estado</w:t>
            </w:r>
          </w:p>
        </w:tc>
      </w:tr>
      <w:tr>
        <w:trPr>
          <w:cantSplit/>
        </w:trPr>
        <w:tc>
          <w:tcPr>
            <w:tcW w:type="dxa" w:w="64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H1</w:t>
            </w:r>
          </w:p>
        </w:tc>
        <w:tc>
          <w:tcPr>
            <w:tcW w:type="dxa" w:w="102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16 sep</w:t>
            </w:r>
          </w:p>
        </w:tc>
        <w:tc>
          <w:tcPr>
            <w:tcW w:type="dxa" w:w="359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SMART v5, etiqueta, t0/H y regla de k</w:t>
            </w:r>
          </w:p>
        </w:tc>
        <w:tc>
          <w:tcPr>
            <w:tcW w:type="dxa" w:w="12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Guillermo</w:t>
            </w:r>
          </w:p>
        </w:tc>
        <w:tc>
          <w:tcPr>
            <w:tcW w:type="dxa" w:w="12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PO + equipo</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w:t>
            </w:r>
          </w:p>
        </w:tc>
      </w:tr>
      <w:tr>
        <w:trPr>
          <w:cantSplit/>
        </w:trPr>
        <w:tc>
          <w:tcPr>
            <w:tcW w:type="dxa" w:w="64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H2</w:t>
            </w:r>
          </w:p>
        </w:tc>
        <w:tc>
          <w:tcPr>
            <w:tcW w:type="dxa" w:w="102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20 sep</w:t>
            </w:r>
          </w:p>
        </w:tc>
        <w:tc>
          <w:tcPr>
            <w:tcW w:type="dxa" w:w="359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Cohortes, protocolo de datos y entorno</w:t>
            </w:r>
          </w:p>
        </w:tc>
        <w:tc>
          <w:tcPr>
            <w:tcW w:type="dxa" w:w="12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José</w:t>
            </w:r>
          </w:p>
        </w:tc>
        <w:tc>
          <w:tcPr>
            <w:tcW w:type="dxa" w:w="12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Review S1</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w:t>
            </w:r>
          </w:p>
        </w:tc>
      </w:tr>
      <w:tr>
        <w:trPr>
          <w:cantSplit/>
        </w:trPr>
        <w:tc>
          <w:tcPr>
            <w:tcW w:type="dxa" w:w="64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H3</w:t>
            </w:r>
          </w:p>
        </w:tc>
        <w:tc>
          <w:tcPr>
            <w:tcW w:type="dxa" w:w="102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29 sep</w:t>
            </w:r>
          </w:p>
        </w:tc>
        <w:tc>
          <w:tcPr>
            <w:tcW w:type="dxa" w:w="359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Base seudonimizada y diccionario (acta SHA-256)</w:t>
            </w:r>
          </w:p>
        </w:tc>
        <w:tc>
          <w:tcPr>
            <w:tcW w:type="dxa" w:w="12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Guillermo</w:t>
            </w:r>
          </w:p>
        </w:tc>
        <w:tc>
          <w:tcPr>
            <w:tcW w:type="dxa" w:w="12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Custodio</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 30 sep</w:t>
            </w:r>
          </w:p>
        </w:tc>
      </w:tr>
      <w:tr>
        <w:trPr>
          <w:cantSplit/>
        </w:trPr>
        <w:tc>
          <w:tcPr>
            <w:tcW w:type="dxa" w:w="64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H4</w:t>
            </w:r>
          </w:p>
        </w:tc>
        <w:tc>
          <w:tcPr>
            <w:tcW w:type="dxa" w:w="102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29 sep</w:t>
            </w:r>
          </w:p>
        </w:tc>
        <w:tc>
          <w:tcPr>
            <w:tcW w:type="dxa" w:w="359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Tasas base, calidad y decisión sobre C1</w:t>
            </w:r>
          </w:p>
        </w:tc>
        <w:tc>
          <w:tcPr>
            <w:tcW w:type="dxa" w:w="12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Ambos</w:t>
            </w:r>
          </w:p>
        </w:tc>
        <w:tc>
          <w:tcPr>
            <w:tcW w:type="dxa" w:w="12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PO</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 1 oct</w:t>
            </w:r>
          </w:p>
        </w:tc>
      </w:tr>
      <w:tr>
        <w:trPr>
          <w:cantSplit/>
        </w:trPr>
        <w:tc>
          <w:tcPr>
            <w:tcW w:type="dxa" w:w="64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H5</w:t>
            </w:r>
          </w:p>
        </w:tc>
        <w:tc>
          <w:tcPr>
            <w:tcW w:type="dxa" w:w="102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4 oct</w:t>
            </w:r>
          </w:p>
        </w:tc>
        <w:tc>
          <w:tcPr>
            <w:tcW w:type="dxa" w:w="359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Líneas base y dos modelos iniciales</w:t>
            </w:r>
          </w:p>
        </w:tc>
        <w:tc>
          <w:tcPr>
            <w:tcW w:type="dxa" w:w="12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José</w:t>
            </w:r>
          </w:p>
        </w:tc>
        <w:tc>
          <w:tcPr>
            <w:tcW w:type="dxa" w:w="12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Review S2</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 1 oct</w:t>
            </w:r>
          </w:p>
        </w:tc>
      </w:tr>
      <w:tr>
        <w:trPr>
          <w:cantSplit/>
        </w:trPr>
        <w:tc>
          <w:tcPr>
            <w:tcW w:type="dxa" w:w="64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H6</w:t>
            </w:r>
          </w:p>
        </w:tc>
        <w:tc>
          <w:tcPr>
            <w:tcW w:type="dxa" w:w="102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12 oct</w:t>
            </w:r>
          </w:p>
        </w:tc>
        <w:tc>
          <w:tcPr>
            <w:tcW w:type="dxa" w:w="359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Modelo seleccionado en C4 con IC</w:t>
            </w:r>
          </w:p>
        </w:tc>
        <w:tc>
          <w:tcPr>
            <w:tcW w:type="dxa" w:w="12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Ambos</w:t>
            </w:r>
          </w:p>
        </w:tc>
        <w:tc>
          <w:tcPr>
            <w:tcW w:type="dxa" w:w="12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PO</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 1 oct</w:t>
            </w:r>
          </w:p>
        </w:tc>
      </w:tr>
      <w:tr>
        <w:trPr>
          <w:cantSplit/>
        </w:trPr>
        <w:tc>
          <w:tcPr>
            <w:tcW w:type="dxa" w:w="64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H7</w:t>
            </w:r>
          </w:p>
        </w:tc>
        <w:tc>
          <w:tcPr>
            <w:tcW w:type="dxa" w:w="102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18 oct</w:t>
            </w:r>
          </w:p>
        </w:tc>
        <w:tc>
          <w:tcPr>
            <w:tcW w:type="dxa" w:w="359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C5, top-k, proyección, app y validación con usuarios</w:t>
            </w:r>
          </w:p>
        </w:tc>
        <w:tc>
          <w:tcPr>
            <w:tcW w:type="dxa" w:w="12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Guillermo</w:t>
            </w:r>
          </w:p>
        </w:tc>
        <w:tc>
          <w:tcPr>
            <w:tcW w:type="dxa" w:w="12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Review S3</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 C5 y app · usuarios programado</w:t>
            </w:r>
          </w:p>
        </w:tc>
      </w:tr>
      <w:tr>
        <w:trPr>
          <w:cantSplit/>
        </w:trPr>
        <w:tc>
          <w:tcPr>
            <w:tcW w:type="dxa" w:w="64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H8</w:t>
            </w:r>
          </w:p>
        </w:tc>
        <w:tc>
          <w:tcPr>
            <w:tcW w:type="dxa" w:w="102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25 oct</w:t>
            </w:r>
          </w:p>
        </w:tc>
        <w:tc>
          <w:tcPr>
            <w:tcW w:type="dxa" w:w="359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MVP, documentación y videos</w:t>
            </w:r>
          </w:p>
        </w:tc>
        <w:tc>
          <w:tcPr>
            <w:tcW w:type="dxa" w:w="12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Ambos</w:t>
            </w:r>
          </w:p>
        </w:tc>
        <w:tc>
          <w:tcPr>
            <w:tcW w:type="dxa" w:w="128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Review final</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En curso</w:t>
            </w:r>
          </w:p>
        </w:tc>
      </w:tr>
    </w:tbl>
    <w:p>
      <w:pPr>
        <w:spacing w:after="120"/>
      </w:pPr>
    </w:p>
    <w:p>
      <w:pPr>
        <w:spacing w:after="120"/>
        <w:jc w:val="both"/>
      </w:pPr>
      <w:r>
        <w:rPr>
          <w:b/>
          <w:bCs/>
        </w:rPr>
        <w:t xml:space="preserve">Dependencias:</w:t>
      </w:r>
      <w:r>
        <w:t xml:space="preserve"> H3 depende de la autorización; H5 de H3–H4; H6 de las líneas base; H7 de la selección. Los días 23 y 24 de octubre son contingencia antes de H8. Cada hito se aprueba en la revisión indicada y se registra en el log de decisiones (D01–D54).</w:t>
      </w:r>
    </w:p>
    <w:p>
      <w:pPr>
        <w:pStyle w:val="Heading1"/>
      </w:pPr>
      <w:r>
        <w:t xml:space="preserve">13. Gestión de riesgos</w:t>
      </w:r>
    </w:p>
    <w:p>
      <w:pPr>
        <w:keepNext/>
        <w:spacing w:after="60" w:before="120"/>
      </w:pPr>
      <w:r>
        <w:rPr>
          <w:b/>
          <w:bCs/>
          <w:color w:val="8B1E3F"/>
          <w:sz w:val="18"/>
          <w:szCs w:val="18"/>
        </w:rPr>
        <w:t xml:space="preserve">Tabla 32. </w:t>
      </w:r>
      <w:r>
        <w:rPr>
          <w:b/>
          <w:bCs/>
          <w:sz w:val="18"/>
          <w:szCs w:val="18"/>
        </w:rPr>
        <w:t xml:space="preserve">Riesgos, mitigación y estado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8"/>
        <w:gridCol w:w="1460"/>
        <w:gridCol w:w="3796"/>
        <w:gridCol w:w="1754"/>
      </w:tblGrid>
      <w:tr>
        <w:trPr>
          <w:tblHeader/>
        </w:trPr>
        <w:tc>
          <w:tcPr>
            <w:tcW w:type="dxa" w:w="2628"/>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Riesgo</w:t>
            </w:r>
          </w:p>
        </w:tc>
        <w:tc>
          <w:tcPr>
            <w:tcW w:type="dxa" w:w="1460"/>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Prob./Impacto</w:t>
            </w:r>
          </w:p>
        </w:tc>
        <w:tc>
          <w:tcPr>
            <w:tcW w:type="dxa" w:w="3796"/>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Mitigación</w:t>
            </w:r>
          </w:p>
        </w:tc>
        <w:tc>
          <w:tcPr>
            <w:tcW w:type="dxa" w:w="1754"/>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Estado</w:t>
            </w:r>
          </w:p>
        </w:tc>
      </w:tr>
      <w:tr>
        <w:trPr>
          <w:cantSplit/>
        </w:trPr>
        <w:tc>
          <w:tcPr>
            <w:tcW w:type="dxa" w:w="262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Acceso tardío a datos</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Alta/Alta</w:t>
            </w:r>
          </w:p>
        </w:tc>
        <w:tc>
          <w:tcPr>
            <w:tcW w:type="dxa" w:w="379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Datos sintéticos y autorización temprana</w:t>
            </w:r>
          </w:p>
        </w:tc>
        <w:tc>
          <w:tcPr>
            <w:tcW w:type="dxa" w:w="175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Cerrado</w:t>
            </w:r>
          </w:p>
        </w:tc>
      </w:tr>
      <w:tr>
        <w:trPr>
          <w:cantSplit/>
        </w:trPr>
        <w:tc>
          <w:tcPr>
            <w:tcW w:type="dxa" w:w="262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Fuga temporal</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Media/Alta</w:t>
            </w:r>
          </w:p>
        </w:tc>
        <w:tc>
          <w:tcPr>
            <w:tcW w:type="dxa" w:w="379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Corte t0, guardas automáticas, C5 intacta</w:t>
            </w:r>
          </w:p>
        </w:tc>
        <w:tc>
          <w:tcPr>
            <w:tcW w:type="dxa" w:w="175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Cerrado</w:t>
            </w:r>
          </w:p>
        </w:tc>
      </w:tr>
      <w:tr>
        <w:trPr>
          <w:cantSplit/>
        </w:trPr>
        <w:tc>
          <w:tcPr>
            <w:tcW w:type="dxa" w:w="262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Pocos eventos y sobreajuste</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Media/Alta</w:t>
            </w:r>
          </w:p>
        </w:tc>
        <w:tc>
          <w:tcPr>
            <w:tcW w:type="dxa" w:w="379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Modelos regularizados, selección en C4, reglas de referencia</w:t>
            </w:r>
          </w:p>
        </w:tc>
        <w:tc>
          <w:tcPr>
            <w:tcW w:type="dxa" w:w="175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Materializado y documentado</w:t>
            </w:r>
          </w:p>
        </w:tc>
      </w:tr>
      <w:tr>
        <w:trPr>
          <w:cantSplit/>
        </w:trPr>
        <w:tc>
          <w:tcPr>
            <w:tcW w:type="dxa" w:w="262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Comparabilidad de C1</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Media/Media</w:t>
            </w:r>
          </w:p>
        </w:tc>
        <w:tc>
          <w:tcPr>
            <w:tcW w:type="dxa" w:w="379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Auditoría con regla previa</w:t>
            </w:r>
          </w:p>
        </w:tc>
        <w:tc>
          <w:tcPr>
            <w:tcW w:type="dxa" w:w="175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Cerrado (excluida)</w:t>
            </w:r>
          </w:p>
        </w:tc>
      </w:tr>
      <w:tr>
        <w:trPr>
          <w:cantSplit/>
        </w:trPr>
        <w:tc>
          <w:tcPr>
            <w:tcW w:type="dxa" w:w="262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Sesgo por subgrupo</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Media/Alta</w:t>
            </w:r>
          </w:p>
        </w:tc>
        <w:tc>
          <w:tcPr>
            <w:tcW w:type="dxa" w:w="379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Equidad por sede, beca, subnivel; decisión humana</w:t>
            </w:r>
          </w:p>
        </w:tc>
        <w:tc>
          <w:tcPr>
            <w:tcW w:type="dxa" w:w="175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Abierto (becadas)</w:t>
            </w:r>
          </w:p>
        </w:tc>
      </w:tr>
      <w:tr>
        <w:trPr>
          <w:cantSplit/>
        </w:trPr>
        <w:tc>
          <w:tcPr>
            <w:tcW w:type="dxa" w:w="262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Exposición de datos de menores</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Media/Alta</w:t>
            </w:r>
          </w:p>
        </w:tc>
        <w:tc>
          <w:tcPr>
            <w:tcW w:type="dxa" w:w="379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Seudonimización, dos modos, supresión &lt; 5</w:t>
            </w:r>
          </w:p>
        </w:tc>
        <w:tc>
          <w:tcPr>
            <w:tcW w:type="dxa" w:w="175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Controlado</w:t>
            </w:r>
          </w:p>
        </w:tc>
      </w:tr>
      <w:tr>
        <w:trPr>
          <w:cantSplit/>
        </w:trPr>
        <w:tc>
          <w:tcPr>
            <w:tcW w:type="dxa" w:w="262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Baja aceptación</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Media/Media</w:t>
            </w:r>
          </w:p>
        </w:tc>
        <w:tc>
          <w:tcPr>
            <w:tcW w:type="dxa" w:w="379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Regla explicable y motivo visible</w:t>
            </w:r>
          </w:p>
        </w:tc>
        <w:tc>
          <w:tcPr>
            <w:tcW w:type="dxa" w:w="175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Abierto (validación)</w:t>
            </w:r>
          </w:p>
        </w:tc>
      </w:tr>
    </w:tbl>
    <w:p>
      <w:pPr>
        <w:spacing w:after="120"/>
      </w:pPr>
    </w:p>
    <w:p>
      <w:pPr>
        <w:pStyle w:val="Heading1"/>
      </w:pPr>
      <w:r>
        <w:t xml:space="preserve">14. Consideraciones éticas</w:t>
      </w:r>
    </w:p>
    <w:p>
      <w:pPr>
        <w:spacing w:after="120"/>
        <w:jc w:val="both"/>
      </w:pPr>
      <w:r>
        <w:t xml:space="preserve">El sistema trata datos de </w:t>
      </w:r>
      <w:r>
        <w:rPr>
          <w:b/>
          <w:bCs/>
        </w:rPr>
        <w:t xml:space="preserve">menores de edad</w:t>
      </w:r>
      <w:r>
        <w:t xml:space="preserve"> y orienta acciones sobre sus familias. </w:t>
      </w:r>
      <w:r>
        <w:rPr>
          <w:b/>
          <w:bCs/>
        </w:rPr>
        <w:t xml:space="preserve">Uso permitido:</w:t>
      </w:r>
      <w:r>
        <w:t xml:space="preserve"> priorizar contactos de apoyo y planificar con agregados. </w:t>
      </w:r>
      <w:r>
        <w:rPr>
          <w:b/>
          <w:bCs/>
        </w:rPr>
        <w:t xml:space="preserve">Uso prohibido:</w:t>
      </w:r>
      <w:r>
        <w:t xml:space="preserve"> negar cupos, becas o servicios, presionar cobros o perfilar con otros fines. La lista es un apoyo; Secretaría decide.</w:t>
      </w:r>
    </w:p>
    <w:p>
      <w:pPr>
        <w:keepNext/>
        <w:spacing w:after="60" w:before="120"/>
      </w:pPr>
      <w:r>
        <w:rPr>
          <w:b/>
          <w:bCs/>
          <w:color w:val="8B1E3F"/>
          <w:sz w:val="18"/>
          <w:szCs w:val="18"/>
        </w:rPr>
        <w:t xml:space="preserve">Tabla 33. </w:t>
      </w:r>
      <w:r>
        <w:rPr>
          <w:b/>
          <w:bCs/>
          <w:sz w:val="18"/>
          <w:szCs w:val="18"/>
        </w:rPr>
        <w:t xml:space="preserve">Sesgos identificados y mitigaciones implementadas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70"/>
        <w:gridCol w:w="2248"/>
        <w:gridCol w:w="4820"/>
      </w:tblGrid>
      <w:tr>
        <w:trPr>
          <w:tblHeader/>
        </w:trPr>
        <w:tc>
          <w:tcPr>
            <w:tcW w:type="dxa" w:w="2570"/>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Riesgo</w:t>
            </w:r>
          </w:p>
        </w:tc>
        <w:tc>
          <w:tcPr>
            <w:tcW w:type="dxa" w:w="2248"/>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Evidencia</w:t>
            </w:r>
          </w:p>
        </w:tc>
        <w:tc>
          <w:tcPr>
            <w:tcW w:type="dxa" w:w="4820"/>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Mitigación</w:t>
            </w:r>
          </w:p>
        </w:tc>
      </w:tr>
      <w:tr>
        <w:trPr>
          <w:cantSplit/>
        </w:trPr>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Proxy socioeconómico (atrasos)</w:t>
            </w:r>
          </w:p>
        </w:tc>
        <w:tc>
          <w:tcPr>
            <w:tcW w:type="dxa" w:w="224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D2 se basa en pagos</w:t>
            </w:r>
          </w:p>
        </w:tc>
        <w:tc>
          <w:tcPr>
            <w:tcW w:type="dxa" w:w="48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Uso solo para apoyo (planes de pago), decisión humana</w:t>
            </w:r>
          </w:p>
        </w:tc>
      </w:tr>
      <w:tr>
        <w:trPr>
          <w:cantSplit/>
        </w:trPr>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Menor detección en becadas</w:t>
            </w:r>
          </w:p>
        </w:tc>
        <w:tc>
          <w:tcPr>
            <w:tcW w:type="dxa" w:w="224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Recall 0,18 vs 0,32</w:t>
            </w:r>
          </w:p>
        </w:tc>
        <w:tc>
          <w:tcPr>
            <w:tcW w:type="dxa" w:w="48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Advertencia en la app y revisión adicional</w:t>
            </w:r>
          </w:p>
        </w:tc>
      </w:tr>
      <w:tr>
        <w:trPr>
          <w:cantSplit/>
        </w:trPr>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Familias extranjeras (cédula genérica)</w:t>
            </w:r>
          </w:p>
        </w:tc>
        <w:tc>
          <w:tcPr>
            <w:tcW w:type="dxa" w:w="224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39 estudiantes en una cédula</w:t>
            </w:r>
          </w:p>
        </w:tc>
        <w:tc>
          <w:tcPr>
            <w:tcW w:type="dxa" w:w="48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Contacto individual; nacionalidad no es predictor</w:t>
            </w:r>
          </w:p>
        </w:tc>
      </w:tr>
      <w:tr>
        <w:trPr>
          <w:cantSplit/>
        </w:trPr>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Cambios entre cohortes</w:t>
            </w:r>
          </w:p>
        </w:tc>
        <w:tc>
          <w:tcPr>
            <w:tcW w:type="dxa" w:w="224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Diferencias de C1</w:t>
            </w:r>
          </w:p>
        </w:tc>
        <w:tc>
          <w:tcPr>
            <w:tcW w:type="dxa" w:w="48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Auditoría y exclusión con regla previa</w:t>
            </w:r>
          </w:p>
        </w:tc>
      </w:tr>
      <w:tr>
        <w:trPr>
          <w:cantSplit/>
        </w:trPr>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Confirmación del equipo</w:t>
            </w:r>
          </w:p>
        </w:tc>
        <w:tc>
          <w:tcPr>
            <w:tcW w:type="dxa" w:w="224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Riesgo de probar hasta ganar</w:t>
            </w:r>
          </w:p>
        </w:tc>
        <w:tc>
          <w:tcPr>
            <w:tcW w:type="dxa" w:w="48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Intento único registrado; C5 evaluada una vez</w:t>
            </w:r>
          </w:p>
        </w:tc>
      </w:tr>
      <w:tr>
        <w:trPr>
          <w:cantSplit/>
        </w:trPr>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Exposición de datos</w:t>
            </w:r>
          </w:p>
        </w:tc>
        <w:tc>
          <w:tcPr>
            <w:tcW w:type="dxa" w:w="224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Datos de menores</w:t>
            </w:r>
          </w:p>
        </w:tc>
        <w:tc>
          <w:tcPr>
            <w:tcW w:type="dxa" w:w="48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HMAC, dos modos, supresión &lt; 5, sin datos reales en GitHub</w:t>
            </w:r>
          </w:p>
        </w:tc>
      </w:tr>
    </w:tbl>
    <w:p>
      <w:pPr>
        <w:spacing w:after="120"/>
      </w:pPr>
    </w:p>
    <w:p>
      <w:pPr>
        <w:spacing w:after="120"/>
        <w:jc w:val="both"/>
      </w:pPr>
      <w:r>
        <w:rPr>
          <w:b/>
          <w:bCs/>
        </w:rPr>
        <w:t xml:space="preserve">Dilema principal.</w:t>
      </w:r>
      <w:r>
        <w:t xml:space="preserve"> Las señales de pago son lo único que ordena bien a las familias, pero reflejan su situación económica. Se decidió usarlas con el uso limitado a contactos de apoyo y la decisión en manos de una persona: fueron las únicas señales que mostraron capacidad de ordenar.</w:t>
      </w:r>
    </w:p>
    <w:p>
      <w:pPr>
        <w:spacing w:after="120"/>
        <w:jc w:val="both"/>
      </w:pPr>
      <w:r>
        <w:rPr>
          <w:b/>
          <w:bCs/>
        </w:rPr>
        <w:t xml:space="preserve">Impacto social.</w:t>
      </w:r>
      <w:r>
        <w:t xml:space="preserve"> Se benefician la institución (planificación) y las familias que reciben un contacto oportuno. Podrían salir perjudicadas las familias con dificultades económicas, si la lista se usara para cobrar, y las familias becadas, si la menor detección se confirma. El antecedente más estudiado, el sistema de alerta de deserción de Wisconsin, ordenaba bien a los estudiantes pero no se pudo demostrar que mejorara la graduación: predecir no equivale a ayudar.</w:t>
      </w:r>
    </w:p>
    <w:p>
      <w:pPr>
        <w:keepNext/>
        <w:spacing w:after="60" w:before="120"/>
      </w:pPr>
      <w:r>
        <w:rPr>
          <w:b/>
          <w:bCs/>
          <w:color w:val="8B1E3F"/>
          <w:sz w:val="18"/>
          <w:szCs w:val="18"/>
        </w:rPr>
        <w:t xml:space="preserve">Tabla 34. </w:t>
      </w:r>
      <w:r>
        <w:rPr>
          <w:b/>
          <w:bCs/>
          <w:sz w:val="18"/>
          <w:szCs w:val="18"/>
        </w:rPr>
        <w:t xml:space="preserve">Cadena de responsabilidad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570"/>
        <w:gridCol w:w="4177"/>
      </w:tblGrid>
      <w:tr>
        <w:trPr>
          <w:tblHeader/>
        </w:trPr>
        <w:tc>
          <w:tcPr>
            <w:tcW w:type="dxa" w:w="2891"/>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Etapa</w:t>
            </w:r>
          </w:p>
        </w:tc>
        <w:tc>
          <w:tcPr>
            <w:tcW w:type="dxa" w:w="2570"/>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Responsable</w:t>
            </w:r>
          </w:p>
        </w:tc>
        <w:tc>
          <w:tcPr>
            <w:tcW w:type="dxa" w:w="4177"/>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Registro que queda</w:t>
            </w:r>
          </w:p>
        </w:tc>
      </w:tr>
      <w:tr>
        <w:trPr>
          <w:cantSplit/>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Extracción y seudonimización</w:t>
            </w:r>
          </w:p>
        </w:tc>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Custodio de datos de LEMAS</w:t>
            </w:r>
          </w:p>
        </w:tc>
        <w:tc>
          <w:tcPr>
            <w:tcW w:type="dxa" w:w="417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Acta con huella SHA-256 y huella de la clave</w:t>
            </w:r>
          </w:p>
        </w:tc>
      </w:tr>
      <w:tr>
        <w:trPr>
          <w:cantSplit/>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Desarrollo y validación</w:t>
            </w:r>
          </w:p>
        </w:tc>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Equipo técnico</w:t>
            </w:r>
          </w:p>
        </w:tc>
        <w:tc>
          <w:tcPr>
            <w:tcW w:type="dxa" w:w="417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Decisiones D01–D54, código, pruebas y sistema congelado</w:t>
            </w:r>
          </w:p>
        </w:tc>
      </w:tr>
      <w:tr>
        <w:trPr>
          <w:cantSplit/>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Aprobación de uso</w:t>
            </w:r>
          </w:p>
        </w:tc>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Dirección</w:t>
            </w:r>
          </w:p>
        </w:tc>
        <w:tc>
          <w:tcPr>
            <w:tcW w:type="dxa" w:w="417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Autorización institucional</w:t>
            </w:r>
          </w:p>
        </w:tc>
      </w:tr>
      <w:tr>
        <w:trPr>
          <w:cantSplit/>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Generación de la lista y contacto</w:t>
            </w:r>
          </w:p>
        </w:tc>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Secretaría y Admisiones</w:t>
            </w:r>
          </w:p>
        </w:tc>
        <w:tc>
          <w:tcPr>
            <w:tcW w:type="dxa" w:w="417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Lista con fecha, parámetros y resultado del contacto</w:t>
            </w:r>
          </w:p>
        </w:tc>
      </w:tr>
      <w:tr>
        <w:trPr>
          <w:cantSplit/>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Revisión anual</w:t>
            </w:r>
          </w:p>
        </w:tc>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Dirección y equipo técnico</w:t>
            </w:r>
          </w:p>
        </w:tc>
        <w:tc>
          <w:tcPr>
            <w:tcW w:type="dxa" w:w="417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Informe de resultados y equidad; se suspende si no supera al azar</w:t>
            </w:r>
          </w:p>
        </w:tc>
      </w:tr>
    </w:tbl>
    <w:p>
      <w:pPr>
        <w:spacing w:after="120"/>
      </w:pPr>
    </w:p>
    <w:p>
      <w:pPr>
        <w:spacing w:after="120"/>
        <w:jc w:val="both"/>
      </w:pPr>
      <w:r>
        <w:rPr>
          <w:b/>
          <w:bCs/>
        </w:rPr>
        <w:t xml:space="preserve">Mal uso.</w:t>
      </w:r>
      <w:r>
        <w:t xml:space="preserve"> La misma lista podría servir para cobrar, negar cupos o perfilar familias. Las salvaguardas son que no incluye montos, que los nombres solo aparecen en un equipo de LEMAS, que esos usos están prohibidos por escrito y que Dirección revisa el sistema cada año. El listado de seguimiento, que reúne a las familias que siguen sin pagar, se parece todavía más a una lista de cobranza: esas familias están dentro del plazo, no en mora, y rigen el mismo uso prohibido y el mismo protocolo de apoyo. La Ley de IA de la Unión Europea considera de alto riesgo los sistemas que deciden admisiones; este sistema no decide.</w:t>
      </w:r>
    </w:p>
    <w:p>
      <w:pPr>
        <w:spacing w:after="120"/>
        <w:jc w:val="both"/>
      </w:pPr>
      <w:r>
        <w:rPr>
          <w:b/>
          <w:bCs/>
        </w:rPr>
        <w:t xml:space="preserve">Marco normativo.</w:t>
      </w:r>
      <w:r>
        <w:t xml:space="preserve"> Rige la Ley Orgánica de Protección de Datos Personales (LOPDP) y, desde febrero de 2026, la norma de la Superintendencia sobre IA y datos personales (Resolución SPDP-SPD-2026-0009-R). El proyecto implementa medidas de seguridad, protección desde el diseño y decisión humana. Según nuestra lectura, el art. 21 de la LOPDP pide autorización expresa del titular o de su representante para tratar datos de menores, por lo que antes de un uso operativo LEMAS debe confirmar la base legal con su asesor, informar a las familias, hacer la evaluación de impacto y registrar el tratamiento. Esta lectura es de un equipo técnico y no reemplaza la asesoría jurídica.</w:t>
      </w:r>
    </w:p>
    <w:p>
      <w:pPr>
        <w:spacing w:after="120"/>
        <w:jc w:val="both"/>
      </w:pPr>
      <w:r>
        <w:rPr>
          <w:b/>
          <w:bCs/>
        </w:rPr>
        <w:t xml:space="preserve">Limitaciones éticas reconocidas:</w:t>
      </w:r>
      <w:r>
        <w:t xml:space="preserve"> las familias aún no fueron informadas ni consultadas; la equidad no puede afirmarse con pocos eventos por grupo; la regla refleja el pasado y debe revalidarse; no se midió el efecto causal del contacto; el análisis académico se ejecutó en la nube con datos seudonimizados; y la aplicación institucional muestra nombres a personal autorizado, por lo que su protección depende de que LEMAS limite quién usa el equipo y quién tiene la clave. El análisis completo está en docs/consideraciones_eticas.md; el resumen, en docs/ficha_modelo.md y docs/hoja_de_datos.md; y el análisis de impacto social, con la mitigación de cada riesgo y el compromiso ético del equipo, en docs/impacto_social_responsabilidad.md.</w:t>
      </w:r>
    </w:p>
    <w:p>
      <w:pPr>
        <w:pStyle w:val="Heading1"/>
      </w:pPr>
      <w:r>
        <w:t xml:space="preserve">15. Conclusiones y trabajo futuro</w:t>
      </w:r>
    </w:p>
    <w:p>
      <w:pPr>
        <w:pStyle w:val="ListParagraph"/>
        <w:numPr>
          <w:ilvl w:val="0"/>
          <w:numId w:val="4"/>
        </w:numPr>
        <w:spacing w:after="60"/>
      </w:pPr>
      <w:r>
        <w:t xml:space="preserve">Con validación temporal estricta y una prueba única, la priorización </w:t>
      </w:r>
      <w:r>
        <w:rPr>
          <w:b/>
          <w:bCs/>
        </w:rPr>
        <w:t xml:space="preserve">D2</w:t>
      </w:r>
      <w:r>
        <w:t xml:space="preserve"> casi duplica la efectividad del contacto (Lift@k = 1,97 [1,24; 2,56]) y cumple las metas técnicas principales.</w:t>
      </w:r>
    </w:p>
    <w:p>
      <w:pPr>
        <w:pStyle w:val="ListParagraph"/>
        <w:numPr>
          <w:ilvl w:val="0"/>
          <w:numId w:val="4"/>
        </w:numPr>
        <w:spacing w:after="60"/>
      </w:pPr>
      <w:r>
        <w:t xml:space="preserve">Los modelos de aprendizaje automático no superaron a la regla con ~200 eventos: el diagnóstico de ajuste mostró sobreajuste en árboles y un límite de señal en los modelos lineales. Reportarlo con honestidad es parte del aporte.</w:t>
      </w:r>
    </w:p>
    <w:p>
      <w:pPr>
        <w:pStyle w:val="ListParagraph"/>
        <w:numPr>
          <w:ilvl w:val="0"/>
          <w:numId w:val="4"/>
        </w:numPr>
        <w:spacing w:after="60"/>
      </w:pPr>
      <w:r>
        <w:t xml:space="preserve">La información predictiva está en el comportamiento de pago y el tipo de reserva; las variables académicas no aportan a la priorización.</w:t>
      </w:r>
    </w:p>
    <w:p>
      <w:pPr>
        <w:pStyle w:val="ListParagraph"/>
        <w:numPr>
          <w:ilvl w:val="0"/>
          <w:numId w:val="4"/>
        </w:numPr>
        <w:spacing w:after="60"/>
      </w:pPr>
      <w:r>
        <w:t xml:space="preserve">El prototipo en dos modos permite demostrar la solución públicamente sin exponer datos de menores y usarla cada 20 de febrero dentro de LEMAS.</w:t>
      </w:r>
    </w:p>
    <w:p>
      <w:pPr>
        <w:pStyle w:val="ListParagraph"/>
        <w:numPr>
          <w:ilvl w:val="0"/>
          <w:numId w:val="4"/>
        </w:numPr>
        <w:spacing w:after="60"/>
      </w:pPr>
      <w:r>
        <w:t xml:space="preserve">La lista alcanza al 30 % de los casos y su Lift en las otras cohortes fue de 1,38 a 1,93. El límite es de señal al 20 de febrero, no de capacidad ni de modelo. Unas semanas después, saber quién sigue sin pagar dice más que la regla.</w:t>
      </w:r>
    </w:p>
    <w:p>
      <w:pPr>
        <w:spacing w:after="120"/>
        <w:jc w:val="both"/>
      </w:pPr>
      <w:r>
        <w:rPr>
          <w:b/>
          <w:bCs/>
        </w:rPr>
        <w:t xml:space="preserve">Trabajo futuro:</w:t>
      </w:r>
      <w:r>
        <w:t xml:space="preserve"> validar con usuarios (Anexo E), revalidar cada mayo con la cohorte nueva, incorporar variables con más señal (interacción con Secretaría, puntualidad mensual), probar en 2027 la campaña en dos etapas (lista D2 al inicio y, a mitad de campaña, todas las familias que siguen sin pagar, que la aplicación ya lista), informar el Lift como promedio de varios sorteos y medir el efecto causal del contacto con un grupo de comparación.</w:t>
      </w:r>
    </w:p>
    <w:p>
      <w:pPr>
        <w:pStyle w:val="Heading1"/>
        <w:pageBreakBefore/>
      </w:pPr>
      <w:r>
        <w:t xml:space="preserve">Referencias</w:t>
      </w:r>
    </w:p>
    <w:p>
      <w:pPr>
        <w:spacing w:after="80"/>
        <w:ind w:left="567" w:hanging="567"/>
      </w:pPr>
      <w:r>
        <w:rPr>
          <w:sz w:val="19"/>
          <w:szCs w:val="19"/>
        </w:rPr>
        <w:t xml:space="preserve">[1]	J. G. C. Krüger, A. S. Britto y J. P. Barddal, “An explainable machine learning approach for student dropout prediction,” Expert Systems with Applications, vol. 233, 2023, doi: 10.1016/j.eswa.2023.120933.</w:t>
      </w:r>
    </w:p>
    <w:p>
      <w:pPr>
        <w:spacing w:after="80"/>
        <w:ind w:left="567" w:hanging="567"/>
      </w:pPr>
      <w:r>
        <w:rPr>
          <w:sz w:val="19"/>
          <w:szCs w:val="19"/>
        </w:rPr>
        <w:t xml:space="preserve">[2]	M. Nagy y R. Molontay, “Interpretable dropout prediction: Towards XAI-based personalized intervention,” Int. J. Artif. Intell. Educ., vol. 34, no. 2, pp. 274–300, 2024, doi: 10.1007/s40593-023-00331-8.</w:t>
      </w:r>
    </w:p>
    <w:p>
      <w:pPr>
        <w:spacing w:after="80"/>
        <w:ind w:left="567" w:hanging="567"/>
      </w:pPr>
      <w:r>
        <w:rPr>
          <w:sz w:val="19"/>
          <w:szCs w:val="19"/>
        </w:rPr>
        <w:t xml:space="preserve">[3]	V. Realinho, J. Machado, L. Baptista y M. V. Martins, “Predicting student dropout and academic success,” Data, vol. 7, no. 11, art. 146, 2022, doi: 10.3390/data7110146.</w:t>
      </w:r>
    </w:p>
    <w:p>
      <w:pPr>
        <w:spacing w:after="80"/>
        <w:ind w:left="567" w:hanging="567"/>
      </w:pPr>
      <w:r>
        <w:rPr>
          <w:sz w:val="19"/>
          <w:szCs w:val="19"/>
        </w:rPr>
        <w:t xml:space="preserve">[4]	S. Matz et al., “Using machine learning to predict student retention from socio-demographic characteristics and app-based engagement metrics,” Scientific Reports, vol. 13, 2023, doi: 10.1038/s41598-023-32484-w.</w:t>
      </w:r>
    </w:p>
    <w:p>
      <w:pPr>
        <w:spacing w:after="80"/>
        <w:ind w:left="567" w:hanging="567"/>
      </w:pPr>
      <w:r>
        <w:rPr>
          <w:sz w:val="19"/>
          <w:szCs w:val="19"/>
        </w:rPr>
        <w:t xml:space="preserve">[5]	C. A. Palacios et al., “Knowledge discovery for higher education student retention based on data mining: Machine learning algorithms and case study in Chile,” Entropy, vol. 23, no. 4, art. 485, 2021, doi: 10.3390/e23040485.</w:t>
      </w:r>
    </w:p>
    <w:p>
      <w:pPr>
        <w:spacing w:after="80"/>
        <w:ind w:left="567" w:hanging="567"/>
      </w:pPr>
      <w:r>
        <w:rPr>
          <w:sz w:val="19"/>
          <w:szCs w:val="19"/>
        </w:rPr>
        <w:t xml:space="preserve">[6]	J. Niyogisubizo et al., “Predicting student's dropout in university classes using two-layer ensemble machine learning approach,” Computers and Education: Artificial Intelligence, vol. 3, art. 100066, 2022, doi: 10.1016/j.caeai.2022.100066.</w:t>
      </w:r>
    </w:p>
    <w:p>
      <w:pPr>
        <w:spacing w:after="80"/>
        <w:ind w:left="567" w:hanging="567"/>
      </w:pPr>
      <w:r>
        <w:rPr>
          <w:sz w:val="19"/>
          <w:szCs w:val="19"/>
        </w:rPr>
        <w:t xml:space="preserve">[7]	K. Oqaidi, S. Aouhassi y K. Mansouri, “Towards a students’ dropout prediction model in higher education institutions using machine learning algorithms,” Int. J. Emerg. Technol. Learn., vol. 17, no. 18, 2022, doi: 10.3991/ijet.v17i18.25567.</w:t>
      </w:r>
    </w:p>
    <w:p>
      <w:pPr>
        <w:spacing w:after="80"/>
        <w:ind w:left="567" w:hanging="567"/>
      </w:pPr>
      <w:r>
        <w:rPr>
          <w:sz w:val="19"/>
          <w:szCs w:val="19"/>
        </w:rPr>
        <w:t xml:space="preserve">[8]	J. Kabathova y M. Drlík, “Towards predicting student’s dropout in university courses using different machine learning techniques,” Applied Sciences, vol. 11, no. 7, art. 3130, 2021, doi: 10.3390/app11073130.</w:t>
      </w:r>
    </w:p>
    <w:p>
      <w:pPr>
        <w:spacing w:after="80"/>
        <w:ind w:left="567" w:hanging="567"/>
      </w:pPr>
      <w:r>
        <w:rPr>
          <w:sz w:val="19"/>
          <w:szCs w:val="19"/>
        </w:rPr>
        <w:t xml:space="preserve">[9]	S. H. Kim, E.-T. Choi, Y.-K. Jun y S. Lee, “Student dropout prediction for university with high precision and recall,” Applied Sciences, vol. 13, art. 6275, 2023, doi: 10.3390/app13106275.</w:t>
      </w:r>
    </w:p>
    <w:p>
      <w:pPr>
        <w:spacing w:after="80"/>
        <w:ind w:left="567" w:hanging="567"/>
      </w:pPr>
      <w:r>
        <w:rPr>
          <w:sz w:val="19"/>
          <w:szCs w:val="19"/>
        </w:rPr>
        <w:t xml:space="preserve">[10]	Z. Song, S.-H. Sung, D.-M. Park y B.-K. Park, “All-year dropout prediction modeling and analysis for university students,” Applied Sciences, vol. 13, art. 1143, 2023, doi: 10.3390/app13021143.</w:t>
      </w:r>
    </w:p>
    <w:p>
      <w:pPr>
        <w:spacing w:after="80"/>
        <w:ind w:left="567" w:hanging="567"/>
      </w:pPr>
      <w:r>
        <w:rPr>
          <w:sz w:val="19"/>
          <w:szCs w:val="19"/>
        </w:rPr>
        <w:t xml:space="preserve">[11]	M. Vaarma y H. Li, “Predicting student dropouts with machine learning,” Technology in Society, vol. 76, art. 102474, 2024, doi: 10.1016/j.techsoc.2024.102474.</w:t>
      </w:r>
    </w:p>
    <w:p>
      <w:pPr>
        <w:spacing w:after="80"/>
        <w:ind w:left="567" w:hanging="567"/>
      </w:pPr>
      <w:r>
        <w:rPr>
          <w:sz w:val="19"/>
          <w:szCs w:val="19"/>
        </w:rPr>
        <w:t xml:space="preserve">[12]	A. Villar y C. R. V. de Andrade, “Supervised machine learning algorithms for predicting student dropout and academic success: A comparative study,” Discover Artificial Intelligence, vol. 4, art. 2, 2024, doi: 10.1007/s44163-023-00079-z.</w:t>
      </w:r>
    </w:p>
    <w:p>
      <w:pPr>
        <w:spacing w:after="80"/>
        <w:ind w:left="567" w:hanging="567"/>
      </w:pPr>
      <w:r>
        <w:rPr>
          <w:sz w:val="19"/>
          <w:szCs w:val="19"/>
        </w:rPr>
        <w:t xml:space="preserve">[13]	M. Psyridou et al., “Machine learning predicts upper secondary education dropout as early as the end of primary school,” Scientific Reports, vol. 14, 2024, doi: 10.1038/s41598-024-63629-0.</w:t>
      </w:r>
    </w:p>
    <w:p>
      <w:pPr>
        <w:spacing w:after="80"/>
        <w:ind w:left="567" w:hanging="567"/>
      </w:pPr>
      <w:r>
        <w:rPr>
          <w:sz w:val="19"/>
          <w:szCs w:val="19"/>
        </w:rPr>
        <w:t xml:space="preserve">[14]	M. R. Marcolino et al., “Student dropout prediction through machine learning optimization: Insights from Moodle log data,” Scientific Reports, 2025, doi: 10.1038/s41598-025-93918-1.</w:t>
      </w:r>
    </w:p>
    <w:p>
      <w:pPr>
        <w:spacing w:after="80"/>
        <w:ind w:left="567" w:hanging="567"/>
      </w:pPr>
      <w:r>
        <w:rPr>
          <w:sz w:val="19"/>
          <w:szCs w:val="19"/>
        </w:rPr>
        <w:t xml:space="preserve">[15]	B. Carballo Mendívil et al., “Predicting student dropout from day one: XGBoost-based early warning system using pre-enrollment data,” Applied Sciences, vol. 15, art. 9202, 2025, doi: 10.3390/app15169202.</w:t>
      </w:r>
    </w:p>
    <w:p>
      <w:pPr>
        <w:spacing w:after="80"/>
        <w:ind w:left="567" w:hanging="567"/>
      </w:pPr>
      <w:r>
        <w:rPr>
          <w:sz w:val="19"/>
          <w:szCs w:val="19"/>
        </w:rPr>
        <w:t xml:space="preserve">[16]	A. Bettahi, F.-Z. Belouadha y H. Harroud, “A modular and explainable machine learning pipeline for student dropout prediction in higher education,” Algorithms, vol. 18, art. 662, 2025, doi: 10.3390/a18100662.</w:t>
      </w:r>
    </w:p>
    <w:p>
      <w:pPr>
        <w:spacing w:after="80"/>
        <w:ind w:left="567" w:hanging="567"/>
      </w:pPr>
      <w:r>
        <w:rPr>
          <w:sz w:val="19"/>
          <w:szCs w:val="19"/>
        </w:rPr>
        <w:t xml:space="preserve">[17]	J. Cheng et al., “Predicting student dropout risk with a dual-modal abrupt behavioral changes approach,” arXiv:2505.11119, 2025.</w:t>
      </w:r>
    </w:p>
    <w:p>
      <w:pPr>
        <w:spacing w:after="80"/>
        <w:ind w:left="567" w:hanging="567"/>
      </w:pPr>
      <w:r>
        <w:rPr>
          <w:sz w:val="19"/>
          <w:szCs w:val="19"/>
        </w:rPr>
        <w:t xml:space="preserve">[18]	J. Fields et al., “A privacy-preserving framework using remote data science for inter-institutional student retention prediction,” arXiv:2606.12845, 2026.</w:t>
      </w:r>
    </w:p>
    <w:p>
      <w:pPr>
        <w:spacing w:after="80"/>
        <w:ind w:left="567" w:hanging="567"/>
      </w:pPr>
      <w:r>
        <w:rPr>
          <w:sz w:val="19"/>
          <w:szCs w:val="19"/>
        </w:rPr>
        <w:t xml:space="preserve">[19]	I. K. Nti y S. Ramanayake, “Explainable machine learning for student dropout prediction and tailored interventions in online personalized education,” Discover Artificial Intelligence, vol. 6, art. 288, 2026, doi: 10.1007/s44163-026-01016-6.</w:t>
      </w:r>
    </w:p>
    <w:p>
      <w:pPr>
        <w:spacing w:after="80"/>
        <w:ind w:left="567" w:hanging="567"/>
      </w:pPr>
      <w:r>
        <w:rPr>
          <w:sz w:val="19"/>
          <w:szCs w:val="19"/>
        </w:rPr>
        <w:t xml:space="preserve">[20]	G. L. López-Muñoz, C. González Serrano y C. Sánchez-Ferreira, “Student dropout prediction in higher education: A systematic review of machine learning methods and risk factors,” J. Inf. Technol. Educ.: Research, vol. 25, art. 20, 2026, doi: 10.28945/5776.</w:t>
      </w:r>
    </w:p>
    <w:p>
      <w:pPr>
        <w:spacing w:after="80"/>
        <w:ind w:left="567" w:hanging="567"/>
      </w:pPr>
      <w:r>
        <w:rPr>
          <w:sz w:val="19"/>
          <w:szCs w:val="19"/>
        </w:rPr>
        <w:t xml:space="preserve">[21]	S. Caton y C. Haas, “Fairness in machine learning: A survey,” ACM Computing Surveys, vol. 56, no. 7, pp. 1–38, 2024, doi: 10.1145/3616865.</w:t>
      </w:r>
    </w:p>
    <w:p>
      <w:pPr>
        <w:spacing w:after="80"/>
        <w:ind w:left="567" w:hanging="567"/>
      </w:pPr>
      <w:r>
        <w:rPr>
          <w:sz w:val="19"/>
          <w:szCs w:val="19"/>
        </w:rPr>
        <w:t xml:space="preserve">[22]	E. Mosqueira-Rey et al., “Human-in-the-loop machine learning: A state of the art,” Artificial Intelligence Review, vol. 56, 2023, doi: 10.1007/s10462-022-10246-w.</w:t>
      </w:r>
    </w:p>
    <w:p>
      <w:pPr>
        <w:spacing w:after="80"/>
        <w:ind w:left="567" w:hanging="567"/>
      </w:pPr>
      <w:r>
        <w:rPr>
          <w:sz w:val="19"/>
          <w:szCs w:val="19"/>
        </w:rPr>
        <w:t xml:space="preserve">[23]	K. Schwaber y J. Sutherland, La Guía Scrum, nov. 2020.</w:t>
      </w:r>
    </w:p>
    <w:p>
      <w:pPr>
        <w:spacing w:after="80"/>
        <w:ind w:left="567" w:hanging="567"/>
      </w:pPr>
      <w:r>
        <w:rPr>
          <w:sz w:val="19"/>
          <w:szCs w:val="19"/>
        </w:rPr>
        <w:t xml:space="preserve">[24]	República del Ecuador, Ley Orgánica de Protección de Datos Personales, Quinto Suplemento del Registro Oficial No. 459, 26 de mayo de 2021.</w:t>
      </w:r>
    </w:p>
    <w:p>
      <w:pPr>
        <w:spacing w:after="80"/>
        <w:ind w:left="567" w:hanging="567"/>
      </w:pPr>
      <w:r>
        <w:rPr>
          <w:sz w:val="19"/>
          <w:szCs w:val="19"/>
        </w:rPr>
        <w:t xml:space="preserve">[25]	Scikit-learn, “Common pitfalls and recommended practices: Data leakage.” [En línea]. Disponible: https://scikit-learn.org/stable/common_pitfalls.html</w:t>
      </w:r>
    </w:p>
    <w:p>
      <w:pPr>
        <w:spacing w:after="80"/>
        <w:ind w:left="567" w:hanging="567"/>
      </w:pPr>
      <w:r>
        <w:rPr>
          <w:sz w:val="19"/>
          <w:szCs w:val="19"/>
        </w:rPr>
        <w:t xml:space="preserve">[26]	Scikit-learn, “Cross-validation: Evaluating estimator performance.” [En línea]. Disponible: https://scikit-learn.org/stable/modules/cross_validation.html</w:t>
      </w:r>
    </w:p>
    <w:p>
      <w:pPr>
        <w:spacing w:after="80"/>
        <w:ind w:left="567" w:hanging="567"/>
      </w:pPr>
      <w:r>
        <w:rPr>
          <w:sz w:val="19"/>
          <w:szCs w:val="19"/>
        </w:rPr>
        <w:t xml:space="preserve">[27]	C. D. Manning, P. Raghavan y H. Schütze, Introduction to Information Retrieval. Cambridge Univ. Press, 2008, cap. 8.</w:t>
      </w:r>
    </w:p>
    <w:p>
      <w:pPr>
        <w:spacing w:after="80"/>
        <w:ind w:left="567" w:hanging="567"/>
      </w:pPr>
      <w:r>
        <w:rPr>
          <w:sz w:val="19"/>
          <w:szCs w:val="19"/>
        </w:rPr>
        <w:t xml:space="preserve">[28]	Superintendencia de Protección de Datos Personales del Ecuador, Resolución SPDP-SPD-2025-0030-R, Reglamento para la seudonimización, anonimización, bloqueo y eliminación de datos personales, 7 de agosto de 2025.</w:t>
      </w:r>
    </w:p>
    <w:p>
      <w:pPr>
        <w:spacing w:after="80"/>
        <w:ind w:left="567" w:hanging="567"/>
      </w:pPr>
      <w:r>
        <w:rPr>
          <w:sz w:val="19"/>
          <w:szCs w:val="19"/>
        </w:rPr>
        <w:t xml:space="preserve">[29]	T. Akiba, S. Sano, T. Yanase, T. Ohta y M. Koyama, “Optuna: A next-generation hyperparameter optimization framework,” en Proc. 25th ACM SIGKDD, 2019, pp. 2623–2631, doi: 10.1145/3292500.3330701.</w:t>
      </w:r>
    </w:p>
    <w:p>
      <w:pPr>
        <w:spacing w:after="80"/>
        <w:ind w:left="567" w:hanging="567"/>
      </w:pPr>
      <w:r>
        <w:rPr>
          <w:sz w:val="19"/>
          <w:szCs w:val="19"/>
        </w:rPr>
        <w:t xml:space="preserve">[30]	F. Pedregosa et al., “Scikit-learn: Machine learning in Python,” J. Mach. Learn. Res., vol. 12, pp. 2825–2830, 2011.</w:t>
      </w:r>
    </w:p>
    <w:p>
      <w:pPr>
        <w:spacing w:after="80"/>
        <w:ind w:left="567" w:hanging="567"/>
      </w:pPr>
      <w:r>
        <w:rPr>
          <w:sz w:val="19"/>
          <w:szCs w:val="19"/>
        </w:rPr>
        <w:t xml:space="preserve">[31]	S. M. Lundberg y S.-I. Lee, “A unified approach to interpreting model predictions,” en Advances in Neural Information Processing Systems 30, 2017, pp. 4765–4774.</w:t>
      </w:r>
    </w:p>
    <w:p>
      <w:pPr>
        <w:spacing w:after="80"/>
        <w:ind w:left="567" w:hanging="567"/>
      </w:pPr>
      <w:r>
        <w:rPr>
          <w:sz w:val="19"/>
          <w:szCs w:val="19"/>
        </w:rPr>
        <w:t xml:space="preserve">[32]	J. Platt, “Probabilistic outputs for support vector machines and comparisons to regularized likelihood methods,” en Advances in Large Margin Classifiers, MIT Press, 1999, pp. 61–74.</w:t>
      </w:r>
    </w:p>
    <w:p>
      <w:pPr>
        <w:spacing w:after="80"/>
        <w:ind w:left="567" w:hanging="567"/>
      </w:pPr>
      <w:r>
        <w:rPr>
          <w:sz w:val="19"/>
          <w:szCs w:val="19"/>
        </w:rPr>
        <w:t xml:space="preserve">[33]	M. Mitchell et al., “Model cards for model reporting,” en Proc. Conf. Fairness, Accountability, and Transparency (FAT*), 2019, pp. 220–229, doi: 10.1145/3287560.3287596.</w:t>
      </w:r>
    </w:p>
    <w:p>
      <w:pPr>
        <w:spacing w:after="80"/>
        <w:ind w:left="567" w:hanging="567"/>
      </w:pPr>
      <w:r>
        <w:rPr>
          <w:sz w:val="19"/>
          <w:szCs w:val="19"/>
        </w:rPr>
        <w:t xml:space="preserve">[34]	H. Weerts, M. Dudík, R. Edgar, A. Jalali, R. Lutz y M. Madaio, “Fairlearn: Assessing and improving fairness of AI systems,” J. Mach. Learn. Res., vol. 24, no. 257, pp. 1–8, 2023.</w:t>
      </w:r>
    </w:p>
    <w:p>
      <w:pPr>
        <w:spacing w:after="80"/>
        <w:ind w:left="567" w:hanging="567"/>
      </w:pPr>
      <w:r>
        <w:rPr>
          <w:sz w:val="19"/>
          <w:szCs w:val="19"/>
        </w:rPr>
        <w:t xml:space="preserve">[35]	B. Efron y R. J. Tibshirani, An Introduction to the Bootstrap. Chapman &amp; Hall/CRC, 1994.</w:t>
      </w:r>
    </w:p>
    <w:p>
      <w:pPr>
        <w:spacing w:after="80"/>
        <w:ind w:left="567" w:hanging="567"/>
      </w:pPr>
      <w:r>
        <w:rPr>
          <w:sz w:val="19"/>
          <w:szCs w:val="19"/>
        </w:rPr>
        <w:t xml:space="preserve">[36]	Superintendencia de Protección de Datos Personales del Ecuador, Resolución SPDP-SPD-2026-0009-R, Norma general para la garantía del derecho de protección de datos personales en el uso de sistemas de inteligencia artificial, 12 de febrero de 2026.</w:t>
      </w:r>
    </w:p>
    <w:p>
      <w:pPr>
        <w:spacing w:after="80"/>
        <w:ind w:left="567" w:hanging="567"/>
      </w:pPr>
      <w:r>
        <w:rPr>
          <w:sz w:val="19"/>
          <w:szCs w:val="19"/>
        </w:rPr>
        <w:t xml:space="preserve">[37]	UNESCO, Recomendación sobre la ética de la inteligencia artificial, 2021.</w:t>
      </w:r>
    </w:p>
    <w:p>
      <w:pPr>
        <w:spacing w:after="80"/>
        <w:ind w:left="567" w:hanging="567"/>
      </w:pPr>
      <w:r>
        <w:rPr>
          <w:sz w:val="19"/>
          <w:szCs w:val="19"/>
        </w:rPr>
        <w:t xml:space="preserve">[38]	National Institute of Standards and Technology, Artificial Intelligence Risk Management Framework (AI RMF 1.0), NIST AI 100-1, 2023, doi: 10.6028/NIST.AI.100-1.</w:t>
      </w:r>
    </w:p>
    <w:p>
      <w:pPr>
        <w:spacing w:after="80"/>
        <w:ind w:left="567" w:hanging="567"/>
      </w:pPr>
      <w:r>
        <w:rPr>
          <w:sz w:val="19"/>
          <w:szCs w:val="19"/>
        </w:rPr>
        <w:t xml:space="preserve">[39]	J. C. Perdomo, T. Britton, M. Hardt y R. Abebe, “Difficult lessons on social prediction from Wisconsin public schools,” en Proc. ACM Conf. Fairness, Accountability, and Transparency (FAccT), 2025, doi: 10.1145/3715275.3732175.</w:t>
      </w:r>
    </w:p>
    <w:p>
      <w:pPr>
        <w:pStyle w:val="Heading1"/>
        <w:pageBreakBefore/>
      </w:pPr>
      <w:r>
        <w:t xml:space="preserve">Anexos</w:t>
      </w:r>
    </w:p>
    <w:p>
      <w:pPr>
        <w:pStyle w:val="Heading2"/>
      </w:pPr>
      <w:r>
        <w:t xml:space="preserve">Anexo A. Diccionario de variables</w:t>
      </w:r>
    </w:p>
    <w:p>
      <w:pPr>
        <w:keepNext/>
        <w:spacing w:after="60" w:before="120"/>
      </w:pPr>
      <w:r>
        <w:rPr>
          <w:b/>
          <w:bCs/>
          <w:color w:val="8B1E3F"/>
          <w:sz w:val="18"/>
          <w:szCs w:val="18"/>
        </w:rPr>
        <w:t xml:space="preserve">Tabla 35. </w:t>
      </w:r>
      <w:r>
        <w:rPr>
          <w:b/>
          <w:bCs/>
          <w:sz w:val="18"/>
          <w:szCs w:val="18"/>
        </w:rPr>
        <w:t xml:space="preserve">Variables de la base seudonimizada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3915"/>
        <w:gridCol w:w="3314"/>
      </w:tblGrid>
      <w:tr>
        <w:trPr>
          <w:tblHeader/>
        </w:trPr>
        <w:tc>
          <w:tcPr>
            <w:tcW w:type="dxa" w:w="2409"/>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Columna</w:t>
            </w:r>
          </w:p>
        </w:tc>
        <w:tc>
          <w:tcPr>
            <w:tcW w:type="dxa" w:w="3915"/>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Descripción</w:t>
            </w:r>
          </w:p>
        </w:tc>
        <w:tc>
          <w:tcPr>
            <w:tcW w:type="dxa" w:w="3314"/>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Uso</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anoa / anos</w:t>
            </w:r>
          </w:p>
        </w:tc>
        <w:tc>
          <w:tcPr>
            <w:tcW w:type="dxa" w:w="391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Año de inicio del ciclo de origen / siguiente</w:t>
            </w:r>
          </w:p>
        </w:tc>
        <w:tc>
          <w:tcPr>
            <w:tcW w:type="dxa" w:w="331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Cohorte</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Sede</w:t>
            </w:r>
          </w:p>
        </w:tc>
        <w:tc>
          <w:tcPr>
            <w:tcW w:type="dxa" w:w="391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Mucho Lote 1 / Mucho Lote 2</w:t>
            </w:r>
          </w:p>
        </w:tc>
        <w:tc>
          <w:tcPr>
            <w:tcW w:type="dxa" w:w="331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Predictor; k por sede</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Nivel, Paralelo</w:t>
            </w:r>
          </w:p>
        </w:tc>
        <w:tc>
          <w:tcPr>
            <w:tcW w:type="dxa" w:w="391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Curso, paralelo y subnivel</w:t>
            </w:r>
          </w:p>
        </w:tc>
        <w:tc>
          <w:tcPr>
            <w:tcW w:type="dxa" w:w="331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Curso y subnivel normalizados; excluye 3.º BGU</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P.Académico</w:t>
            </w:r>
          </w:p>
        </w:tc>
        <w:tc>
          <w:tcPr>
            <w:tcW w:type="dxa" w:w="391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Promedio final del ciclo (0–10)</w:t>
            </w:r>
          </w:p>
        </w:tc>
        <w:tc>
          <w:tcPr>
            <w:tcW w:type="dxa" w:w="331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Predictor</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P.Conducta</w:t>
            </w:r>
          </w:p>
        </w:tc>
        <w:tc>
          <w:tcPr>
            <w:tcW w:type="dxa" w:w="391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A–E (A = 5 … E = 1)</w:t>
            </w:r>
          </w:p>
        </w:tc>
        <w:tc>
          <w:tcPr>
            <w:tcW w:type="dxa" w:w="331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Predictor ordinal</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fecha_pago</w:t>
            </w:r>
          </w:p>
        </w:tc>
        <w:tc>
          <w:tcPr>
            <w:tcW w:type="dxa" w:w="391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Pago de la matrícula del ciclo</w:t>
            </w:r>
          </w:p>
        </w:tc>
        <w:tc>
          <w:tcPr>
            <w:tcW w:type="dxa" w:w="331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Etiqueta (destino) y puntualidad (origen)</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Reserva, RColegio</w:t>
            </w:r>
          </w:p>
        </w:tc>
        <w:tc>
          <w:tcPr>
            <w:tcW w:type="dxa" w:w="391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Intención y respuesta del colegio</w:t>
            </w:r>
          </w:p>
        </w:tc>
        <w:tc>
          <w:tcPr>
            <w:tcW w:type="dxa" w:w="331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Filtros (no predictores)</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Fecha Reserva, Tiempo</w:t>
            </w:r>
          </w:p>
        </w:tc>
        <w:tc>
          <w:tcPr>
            <w:tcW w:type="dxa" w:w="391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Fecha del formulario; ordinaria/extraordinaria</w:t>
            </w:r>
          </w:p>
        </w:tc>
        <w:tc>
          <w:tcPr>
            <w:tcW w:type="dxa" w:w="331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Excluir reservas posteriores a t0; predictor</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beca</w:t>
            </w:r>
          </w:p>
        </w:tc>
        <w:tc>
          <w:tcPr>
            <w:tcW w:type="dxa" w:w="391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SI / vacío</w:t>
            </w:r>
          </w:p>
        </w:tc>
        <w:tc>
          <w:tcPr>
            <w:tcW w:type="dxa" w:w="331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Predictor y atributo de equidad</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 meses caído</w:t>
            </w:r>
          </w:p>
        </w:tc>
        <w:tc>
          <w:tcPr>
            <w:tcW w:type="dxa" w:w="391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Pensiones pagadas tarde (mayo–enero)</w:t>
            </w:r>
          </w:p>
        </w:tc>
        <w:tc>
          <w:tcPr>
            <w:tcW w:type="dxa" w:w="331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Predictor</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anio_ingreso</w:t>
            </w:r>
          </w:p>
        </w:tc>
        <w:tc>
          <w:tcPr>
            <w:tcW w:type="dxa" w:w="391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Dos primeros dígitos del código interno</w:t>
            </w:r>
          </w:p>
        </w:tc>
        <w:tc>
          <w:tcPr>
            <w:tcW w:type="dxa" w:w="331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Años de permanencia</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id_seudonimo, id_familia_seudonimo</w:t>
            </w:r>
          </w:p>
        </w:tc>
        <w:tc>
          <w:tcPr>
            <w:tcW w:type="dxa" w:w="391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HMAC de la cédula del estudiante y del representante</w:t>
            </w:r>
          </w:p>
        </w:tc>
        <w:tc>
          <w:tcPr>
            <w:tcW w:type="dxa" w:w="331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Enlace entre ciclos y unidad de contacto</w:t>
            </w:r>
          </w:p>
        </w:tc>
      </w:tr>
    </w:tbl>
    <w:p>
      <w:pPr>
        <w:spacing w:after="120"/>
      </w:pPr>
    </w:p>
    <w:p>
      <w:pPr>
        <w:pStyle w:val="Heading2"/>
      </w:pPr>
      <w:r>
        <w:t xml:space="preserve">Anexo B. Muestra de la base sintética</w:t>
      </w:r>
    </w:p>
    <w:p>
      <w:pPr>
        <w:keepNext/>
        <w:spacing w:after="60" w:before="120"/>
      </w:pPr>
      <w:r>
        <w:rPr>
          <w:b/>
          <w:bCs/>
          <w:color w:val="8B1E3F"/>
          <w:sz w:val="18"/>
          <w:szCs w:val="18"/>
        </w:rPr>
        <w:t xml:space="preserve">Tabla 36. </w:t>
      </w:r>
      <w:r>
        <w:rPr>
          <w:b/>
          <w:bCs/>
          <w:sz w:val="18"/>
          <w:szCs w:val="18"/>
        </w:rPr>
        <w:t xml:space="preserve">Tres filas de data/synthetic/base_sintetica.csv (datos ficticios)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0"/>
        <w:gridCol w:w="1081"/>
        <w:gridCol w:w="1770"/>
        <w:gridCol w:w="688"/>
        <w:gridCol w:w="590"/>
        <w:gridCol w:w="1081"/>
        <w:gridCol w:w="1376"/>
        <w:gridCol w:w="1278"/>
        <w:gridCol w:w="491"/>
        <w:gridCol w:w="693"/>
      </w:tblGrid>
      <w:tr>
        <w:trPr>
          <w:tblHeader/>
        </w:trPr>
        <w:tc>
          <w:tcPr>
            <w:tcW w:type="dxa" w:w="590"/>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anoa</w:t>
            </w:r>
          </w:p>
        </w:tc>
        <w:tc>
          <w:tcPr>
            <w:tcW w:type="dxa" w:w="1081"/>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Sede</w:t>
            </w:r>
          </w:p>
        </w:tc>
        <w:tc>
          <w:tcPr>
            <w:tcW w:type="dxa" w:w="1770"/>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Nivel</w:t>
            </w:r>
          </w:p>
        </w:tc>
        <w:tc>
          <w:tcPr>
            <w:tcW w:type="dxa" w:w="688"/>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P.Acad.</w:t>
            </w:r>
          </w:p>
        </w:tc>
        <w:tc>
          <w:tcPr>
            <w:tcW w:type="dxa" w:w="590"/>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Cond.</w:t>
            </w:r>
          </w:p>
        </w:tc>
        <w:tc>
          <w:tcPr>
            <w:tcW w:type="dxa" w:w="1081"/>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fecha_pago</w:t>
            </w:r>
          </w:p>
        </w:tc>
        <w:tc>
          <w:tcPr>
            <w:tcW w:type="dxa" w:w="1376"/>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RColegio</w:t>
            </w:r>
          </w:p>
        </w:tc>
        <w:tc>
          <w:tcPr>
            <w:tcW w:type="dxa" w:w="1278"/>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Tiempo</w:t>
            </w:r>
          </w:p>
        </w:tc>
        <w:tc>
          <w:tcPr>
            <w:tcW w:type="dxa" w:w="491"/>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beca</w:t>
            </w:r>
          </w:p>
        </w:tc>
        <w:tc>
          <w:tcPr>
            <w:tcW w:type="dxa" w:w="693"/>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atrasos</w:t>
            </w:r>
          </w:p>
        </w:tc>
      </w:tr>
      <w:tr>
        <w:trPr>
          <w:cantSplit/>
        </w:trPr>
        <w:tc>
          <w:tcPr>
            <w:tcW w:type="dxa" w:w="59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2024</w:t>
            </w:r>
          </w:p>
        </w:tc>
        <w:tc>
          <w:tcPr>
            <w:tcW w:type="dxa" w:w="108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Mucho Lote 1</w:t>
            </w:r>
          </w:p>
        </w:tc>
        <w:tc>
          <w:tcPr>
            <w:tcW w:type="dxa" w:w="17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Séptimo Grado EGB C</w:t>
            </w:r>
          </w:p>
        </w:tc>
        <w:tc>
          <w:tcPr>
            <w:tcW w:type="dxa" w:w="68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9,97</w:t>
            </w:r>
          </w:p>
        </w:tc>
        <w:tc>
          <w:tcPr>
            <w:tcW w:type="dxa" w:w="59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w:t>
            </w:r>
          </w:p>
        </w:tc>
        <w:tc>
          <w:tcPr>
            <w:tcW w:type="dxa" w:w="108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2024-03-08</w:t>
            </w:r>
          </w:p>
        </w:tc>
        <w:tc>
          <w:tcPr>
            <w:tcW w:type="dxa" w:w="137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Aprobado</w:t>
            </w:r>
          </w:p>
        </w:tc>
        <w:tc>
          <w:tcPr>
            <w:tcW w:type="dxa" w:w="127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ORDINARIA</w:t>
            </w:r>
          </w:p>
        </w:tc>
        <w:tc>
          <w:tcPr>
            <w:tcW w:type="dxa" w:w="49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p>
        </w:tc>
        <w:tc>
          <w:tcPr>
            <w:tcW w:type="dxa" w:w="69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w:t>
            </w:r>
          </w:p>
        </w:tc>
      </w:tr>
      <w:tr>
        <w:trPr>
          <w:cantSplit/>
        </w:trPr>
        <w:tc>
          <w:tcPr>
            <w:tcW w:type="dxa" w:w="59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2025</w:t>
            </w:r>
          </w:p>
        </w:tc>
        <w:tc>
          <w:tcPr>
            <w:tcW w:type="dxa" w:w="108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Mucho Lote 1</w:t>
            </w:r>
          </w:p>
        </w:tc>
        <w:tc>
          <w:tcPr>
            <w:tcW w:type="dxa" w:w="17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Quinto Grado EGB C</w:t>
            </w:r>
          </w:p>
        </w:tc>
        <w:tc>
          <w:tcPr>
            <w:tcW w:type="dxa" w:w="68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9,60</w:t>
            </w:r>
          </w:p>
        </w:tc>
        <w:tc>
          <w:tcPr>
            <w:tcW w:type="dxa" w:w="59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w:t>
            </w:r>
          </w:p>
        </w:tc>
        <w:tc>
          <w:tcPr>
            <w:tcW w:type="dxa" w:w="108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2025-03-03</w:t>
            </w:r>
          </w:p>
        </w:tc>
        <w:tc>
          <w:tcPr>
            <w:tcW w:type="dxa" w:w="137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Aprobado</w:t>
            </w:r>
          </w:p>
        </w:tc>
        <w:tc>
          <w:tcPr>
            <w:tcW w:type="dxa" w:w="127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ORDINARIA</w:t>
            </w:r>
          </w:p>
        </w:tc>
        <w:tc>
          <w:tcPr>
            <w:tcW w:type="dxa" w:w="49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p>
        </w:tc>
        <w:tc>
          <w:tcPr>
            <w:tcW w:type="dxa" w:w="69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1</w:t>
            </w:r>
          </w:p>
        </w:tc>
      </w:tr>
      <w:tr>
        <w:trPr>
          <w:cantSplit/>
        </w:trPr>
        <w:tc>
          <w:tcPr>
            <w:tcW w:type="dxa" w:w="59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2025</w:t>
            </w:r>
          </w:p>
        </w:tc>
        <w:tc>
          <w:tcPr>
            <w:tcW w:type="dxa" w:w="108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Mucho Lote 1</w:t>
            </w:r>
          </w:p>
        </w:tc>
        <w:tc>
          <w:tcPr>
            <w:tcW w:type="dxa" w:w="17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Cuarto Grado EGB B</w:t>
            </w:r>
          </w:p>
        </w:tc>
        <w:tc>
          <w:tcPr>
            <w:tcW w:type="dxa" w:w="68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9,59</w:t>
            </w:r>
          </w:p>
        </w:tc>
        <w:tc>
          <w:tcPr>
            <w:tcW w:type="dxa" w:w="59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w:t>
            </w:r>
          </w:p>
        </w:tc>
        <w:tc>
          <w:tcPr>
            <w:tcW w:type="dxa" w:w="108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2025-01-29</w:t>
            </w:r>
          </w:p>
        </w:tc>
        <w:tc>
          <w:tcPr>
            <w:tcW w:type="dxa" w:w="137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En Revisión Extraordinaria</w:t>
            </w:r>
          </w:p>
        </w:tc>
        <w:tc>
          <w:tcPr>
            <w:tcW w:type="dxa" w:w="127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EXTRAORDINARIA</w:t>
            </w:r>
          </w:p>
        </w:tc>
        <w:tc>
          <w:tcPr>
            <w:tcW w:type="dxa" w:w="49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p>
        </w:tc>
        <w:tc>
          <w:tcPr>
            <w:tcW w:type="dxa" w:w="69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2</w:t>
            </w:r>
          </w:p>
        </w:tc>
      </w:tr>
    </w:tbl>
    <w:p>
      <w:pPr>
        <w:spacing w:after="120"/>
      </w:pPr>
    </w:p>
    <w:p>
      <w:pPr>
        <w:pStyle w:val="Heading2"/>
      </w:pPr>
      <w:r>
        <w:t xml:space="preserve">Anexo C. Registro de decisiones (extracto)</w:t>
      </w:r>
    </w:p>
    <w:p>
      <w:pPr>
        <w:keepNext/>
        <w:spacing w:after="60" w:before="120"/>
      </w:pPr>
      <w:r>
        <w:rPr>
          <w:b/>
          <w:bCs/>
          <w:color w:val="8B1E3F"/>
          <w:sz w:val="18"/>
          <w:szCs w:val="18"/>
        </w:rPr>
        <w:t xml:space="preserve">Tabla 37. </w:t>
      </w:r>
      <w:r>
        <w:rPr>
          <w:b/>
          <w:bCs/>
          <w:sz w:val="18"/>
          <w:szCs w:val="18"/>
        </w:rPr>
        <w:t xml:space="preserve">Decisiones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tblHeader/>
        </w:trPr>
        <w:tc>
          <w:tcPr>
            <w:tcW w:type="dxa" w:w="1606"/>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ID</w:t>
            </w:r>
          </w:p>
        </w:tc>
        <w:tc>
          <w:tcPr>
            <w:tcW w:type="dxa" w:w="8032"/>
            <w:tcBorders>
              <w:top w:val="single" w:color="BFBFBF" w:sz="4"/>
              <w:left w:val="single" w:color="BFBFBF" w:sz="4"/>
              <w:bottom w:val="single" w:color="BFBFBF" w:sz="4"/>
              <w:right w:val="single" w:color="BFBFBF" w:sz="4"/>
            </w:tcBorders>
            <w:shd w:fill="8B1E3F" w:color="auto" w:val="clear"/>
            <w:tcMar>
              <w:top w:type="dxa" w:w="50"/>
              <w:left w:type="dxa" w:w="90"/>
              <w:bottom w:type="dxa" w:w="50"/>
              <w:right w:type="dxa" w:w="90"/>
            </w:tcMar>
            <w:vAlign w:val="center"/>
          </w:tcPr>
          <w:p>
            <w:pPr>
              <w:spacing w:after="0"/>
            </w:pPr>
            <w:r>
              <w:rPr>
                <w:b/>
                <w:bCs/>
                <w:color w:val="FFFFFF"/>
                <w:sz w:val="18"/>
                <w:szCs w:val="18"/>
              </w:rPr>
              <w:t xml:space="preserve">Decisión</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D01–D08</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Cohortes, t0 = 20-feb, H = 30-abr, etiqueta, elegibilidad y k por sede</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D14–D19</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C1 condicional, auditoría de eventos, comparabilidad y reporte 6.3</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D26–D29</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Alias de encabezados, normalización de cursos, curso terminal y representante atípico</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D32</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k = 2 × promedio histórico (118 y 47)</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D36–D41</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Protocolo de la Fase 2, intento único híbrido, selección D2 y prueba en C5</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D42–D44</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Aplicación en dos modos y despliegue en Streamlit Community Cloud</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D45</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Modo institucional sin Colab: Excel y clave en el mismo equipo, y lista con nombres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D46</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Diagnóstico de sobreajuste y subajuste con curvas de aprendizaje y seis estrategias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D47</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Reflexión ética ampliada: responsabilidad, mal uso, cumplimiento normativo y ficha del modelo</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D48</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La aplicación usa el mismo desempate que la validación; supresión complementaria en la tabla de equidad</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D49</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Las listas de contacto no muestran la probabilidad por familia</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D50</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Análisis descriptivo del alcance de la lista: el 70 % restante es un límite de señal, no de capacidad</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D51</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Pestaña Seguimiento (familias que siguen sin pagar a una fecha de corte) y recarga del código tras una actualización</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D52</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Workshop de impacto social y responsabilidad, hoja de datos del conjunto de datos y compromiso ético del equipo</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D53</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La proyección se publica por subnivel y por sede, sin su cruce, para que no se deduzcan conteos menores que 5</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D54</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color w:val="000000"/>
                <w:sz w:val="18"/>
                <w:szCs w:val="18"/>
              </w:rPr>
              <w:t xml:space="preserve">Revisión del diagnóstico de la semana 3: límite de señal frente a falta de capacidad, estrategias de un solo cambio y veredicto con bootstrap, réplica y semillas</w:t>
            </w:r>
          </w:p>
        </w:tc>
      </w:tr>
    </w:tbl>
    <w:p>
      <w:pPr>
        <w:spacing w:after="120"/>
      </w:pPr>
    </w:p>
    <w:p>
      <w:pPr>
        <w:pStyle w:val="Heading2"/>
      </w:pPr>
      <w:r>
        <w:t xml:space="preserve">Anexo D. Enlaces</w:t>
      </w:r>
    </w:p>
    <w:p>
      <w:pPr>
        <w:pStyle w:val="ListParagraph"/>
        <w:numPr>
          <w:ilvl w:val="0"/>
          <w:numId w:val="3"/>
        </w:numPr>
        <w:spacing w:after="60"/>
      </w:pPr>
      <w:r>
        <w:t xml:space="preserve">Repositorio: https://github.com/ggranizo2507/prediccion-matricula-lemas</w:t>
      </w:r>
    </w:p>
    <w:p>
      <w:pPr>
        <w:pStyle w:val="ListParagraph"/>
        <w:numPr>
          <w:ilvl w:val="0"/>
          <w:numId w:val="3"/>
        </w:numPr>
        <w:spacing w:after="60"/>
      </w:pPr>
      <w:r>
        <w:t xml:space="preserve">Aplicación (demo): https://continuidad-matricula-lemas.streamlit.app/</w:t>
      </w:r>
    </w:p>
    <w:p>
      <w:pPr>
        <w:pStyle w:val="ListParagraph"/>
        <w:numPr>
          <w:ilvl w:val="0"/>
          <w:numId w:val="3"/>
        </w:numPr>
        <w:spacing w:after="60"/>
      </w:pPr>
      <w:r>
        <w:t xml:space="preserve">Documentación: carpeta docs/ del repositorio (planificación, datos, arquitectura, optimización, modelado, alcance de la lista, ética, impacto social, ficha del modelo, hoja de datos y manual).</w:t>
      </w:r>
    </w:p>
    <w:p>
      <w:pPr>
        <w:pStyle w:val="Heading2"/>
      </w:pPr>
      <w:r>
        <w:t xml:space="preserve">Anexo E. Instrumento de validación con usuarios</w:t>
      </w:r>
    </w:p>
    <w:p>
      <w:pPr>
        <w:pStyle w:val="ListParagraph"/>
        <w:numPr>
          <w:ilvl w:val="0"/>
          <w:numId w:val="5"/>
        </w:numPr>
        <w:spacing w:after="60"/>
      </w:pPr>
      <w:r>
        <w:t xml:space="preserve">Tarea 1: en la lista de una sede, indique por qué la familia del puesto 1 aparece primero.</w:t>
      </w:r>
    </w:p>
    <w:p>
      <w:pPr>
        <w:pStyle w:val="ListParagraph"/>
        <w:numPr>
          <w:ilvl w:val="0"/>
          <w:numId w:val="5"/>
        </w:numPr>
        <w:spacing w:after="60"/>
      </w:pPr>
      <w:r>
        <w:t xml:space="preserve">Tarea 2: ¿cuántas familias contactaría su sede y qué pasaría si duplica k?</w:t>
      </w:r>
    </w:p>
    <w:p>
      <w:pPr>
        <w:pStyle w:val="ListParagraph"/>
        <w:numPr>
          <w:ilvl w:val="0"/>
          <w:numId w:val="5"/>
        </w:numPr>
        <w:spacing w:after="60"/>
      </w:pPr>
      <w:r>
        <w:t xml:space="preserve">Tarea 3: interprete la probabilidad del formulario frente a la tasa histórica.</w:t>
      </w:r>
    </w:p>
    <w:p>
      <w:pPr>
        <w:pStyle w:val="ListParagraph"/>
        <w:numPr>
          <w:ilvl w:val="0"/>
          <w:numId w:val="5"/>
        </w:numPr>
        <w:spacing w:after="60"/>
      </w:pPr>
      <w:r>
        <w:t xml:space="preserve">Escala 1–5: utilidad de la lista; claridad de los motivos; confianza en la herramienta.</w:t>
      </w:r>
    </w:p>
    <w:p>
      <w:pPr>
        <w:pStyle w:val="ListParagraph"/>
        <w:numPr>
          <w:ilvl w:val="0"/>
          <w:numId w:val="5"/>
        </w:numPr>
        <w:spacing w:after="60"/>
      </w:pPr>
      <w:r>
        <w:t xml:space="preserve">Registro del tiempo para preparar la lista con la app frente al proceso manual.</w:t>
      </w:r>
    </w:p>
    <w:sectPr>
      <w:headerReference w:type="default" r:id="rId7"/>
      <w:footerReference w:type="default" r:id="rId8"/>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1E3F" w:sz="6" w:space="4"/>
      </w:pBdr>
      <w:jc w:val="right"/>
    </w:pPr>
    <w:r>
      <w:rPr>
        <w:color w:val="666666"/>
        <w:sz w:val="16"/>
        <w:szCs w:val="16"/>
      </w:rPr>
      <w:t xml:space="preserve">UEES · Predicción de matrícula y continuidad estudiantil · v6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left"/>
      <w:pPr>
        <w:ind w:left="567" w:hanging="340"/>
      </w:pPr>
    </w:lvl>
  </w:abstractNum>
  <w:abstractNum w:abstractNumId="4" w15:restartNumberingAfterBreak="0">
    <w:multiLevelType w:val="hybridMultilevel"/>
    <w:lvl w:ilvl="0" w15:tentative="1">
      <w:start w:val="1"/>
      <w:numFmt w:val="decimal"/>
      <w:lvlText w:val="%1."/>
      <w:lvlJc w:val="left"/>
      <w:pPr>
        <w:ind w:left="567" w:hanging="340"/>
      </w:pPr>
    </w:lvl>
  </w:abstractNum>
  <w:abstractNum w:abstractNumId="5"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8B1E3F"/>
      <w:sz w:val="32"/>
      <w:szCs w:val="32"/>
    </w:rPr>
  </w:style>
  <w:style w:type="paragraph" w:styleId="Heading2">
    <w:name w:val="Heading 2"/>
    <w:basedOn w:val="Normal"/>
    <w:next w:val="Normal"/>
    <w:qFormat/>
    <w:pPr>
      <w:keepNext/>
      <w:spacing w:after="100" w:before="200"/>
      <w:outlineLvl w:val="1"/>
    </w:pPr>
    <w:rPr>
      <w:rFonts w:ascii="Calibri" w:cs="Calibri" w:eastAsia="Calibri" w:hAnsi="Calibri"/>
      <w:b/>
      <w:bCs/>
      <w:color w:val="333333"/>
      <w:sz w:val="26"/>
      <w:szCs w:val="26"/>
    </w:rPr>
  </w:style>
  <w:style w:type="paragraph" w:styleId="Heading3">
    <w:name w:val="Heading 3"/>
    <w:basedOn w:val="Normal"/>
    <w:next w:val="Normal"/>
    <w:qFormat/>
    <w:pPr>
      <w:spacing w:after="80" w:before="12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052e5d279fac6a825b321e92a8c7ef133915325.png"/><Relationship Id="rId10" Type="http://schemas.openxmlformats.org/officeDocument/2006/relationships/image" Target="media/ba66a694740c820dbe793a07f9ee45a2e230d565.png"/><Relationship Id="rId11" Type="http://schemas.openxmlformats.org/officeDocument/2006/relationships/image" Target="media/299f5cfc56238759fff613b5ceccd228057e7535.png"/><Relationship Id="rId12" Type="http://schemas.openxmlformats.org/officeDocument/2006/relationships/image" Target="media/3bcf23f4ef5798b0e8b908cf398b6834abd8116a.png"/><Relationship Id="rId13" Type="http://schemas.openxmlformats.org/officeDocument/2006/relationships/image" Target="media/588d1d5987becb6c6071dcbd01ec79cc7a959c2f.png"/><Relationship Id="rId14" Type="http://schemas.openxmlformats.org/officeDocument/2006/relationships/image" Target="media/eb947c42d57d49cc059e0a30e018227d7601bf1d.png"/><Relationship Id="rId15" Type="http://schemas.openxmlformats.org/officeDocument/2006/relationships/image" Target="media/b7dac53d099e4bdb06b1240fdd0c6b3a5d133651.png"/><Relationship Id="rId16" Type="http://schemas.openxmlformats.org/officeDocument/2006/relationships/image" Target="media/a6486b39c04ed2d37b96a312f18b62694430bdb7.png"/><Relationship Id="rId17" Type="http://schemas.openxmlformats.org/officeDocument/2006/relationships/image" Target="media/0737aec2f7361ac13a56c5904ae9adcfba7975dd.png"/><Relationship Id="rId18" Type="http://schemas.openxmlformats.org/officeDocument/2006/relationships/image" Target="media/13137a6d73b24533672354af1a65bb3942afefce.png"/><Relationship Id="rId19" Type="http://schemas.openxmlformats.org/officeDocument/2006/relationships/image" Target="media/2278ef9825e51e4a9cb77ff113d39336d048a8c6.png"/><Relationship Id="rId20" Type="http://schemas.openxmlformats.org/officeDocument/2006/relationships/image" Target="media/e32fd687062255497a412b56b0c198a18062d4f5.png"/><Relationship Id="rId21" Type="http://schemas.openxmlformats.org/officeDocument/2006/relationships/image" Target="media/951c5eacadab3309ed16f2c60f1a3066f00b6ec9.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 matrícula y continuidad estudiantil · Documento técnico v6</dc:title>
  <dc:creator>Guillermo Granizo y José Ulloa</dc:creator>
  <cp:lastModifiedBy>Un-named</cp:lastModifiedBy>
  <cp:revision>1</cp:revision>
  <dcterms:created xsi:type="dcterms:W3CDTF">2026-10-18T12:51:35.151Z</dcterms:created>
  <dcterms:modified xsi:type="dcterms:W3CDTF">2026-10-18T12:51:35.152Z</dcterms:modified>
</cp:coreProperties>
</file>

<file path=docProps/custom.xml><?xml version="1.0" encoding="utf-8"?>
<Properties xmlns="http://schemas.openxmlformats.org/officeDocument/2006/custom-properties" xmlns:vt="http://schemas.openxmlformats.org/officeDocument/2006/docPropsVTypes"/>
</file>