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rPr>
          <w:b/>
          <w:bCs/>
        </w:rPr>
        <w:t xml:space="preserve">Límite principal.</w:t>
      </w:r>
      <w:r>
        <w:t xml:space="preserve"> La lista encuentra cerca del 30 % de las familias que no se matriculan y deja fuera al 70 %. Tenía más cupos (165) que casos (74), así que el límite es de señal: el 20 de febrero los datos no distinguen a la mayoría. En las otras cohortes el Lift de la regla fue menor (1,38 a 1,93), y en C4 depende del sorteo entre familias con el mismo puntaje (1,53 a 1,99). Un análisis descriptivo con C2 a C4 indica que la mejora está en una segunda etapa a mitad de campaña, con las familias que siguen sin pagar; la aplicación ya produce ese listado, pero la estrategia no está validada.</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El análisis académico se hizo en Colab autorizado, con la base seudonimizada. El uso operativo ocurre en un equipo de LEMAS (modo institucional), donde los nombres solo los ve el custodio o el personal autorizado. Los resultados se publican agregados y con supresión de celdas menores a cinco.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brecha, pero subajuste (1,41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 (1,28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 58 % relativa)</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120"/>
        <w:jc w:val="both"/>
      </w:pPr>
      <w:r>
        <w:rPr>
          <w:b/>
          <w:bCs/>
        </w:rPr>
        <w:t xml:space="preserve">Diagnóstico de ajuste (semana 3).</w:t>
      </w:r>
      <w:r>
        <w:t xml:space="preserve"> Con curvas de aprendizaje y dos reglas fijadas antes de ejecutar (sobreajuste si la PR-AUC pierde más del 30 % entre entrenamiento y C4; subajuste si, sin esa brecha, no llega a 1,5 veces el azar), el gradient boosting sobreajusta y las dos regresiones logísticas subajustan. Probamos seis estrategias con comparación antes y después: ninguna cambió el diagnóstico de su modelo y solo la ingeniería de variables mejoró la validación (PR-AUC de 0,113 a 0,125; Lift@k de 1,40 a 1,53). El detalle está en docs/diagnostic_report.pdf y en el cuaderno overfitting_analysis.</w:t>
      </w:r>
    </w:p>
    <w:p>
      <w:pPr>
        <w:spacing w:after="120"/>
        <w:jc w:val="both"/>
      </w:pPr>
      <w:r>
        <w:rPr>
          <w:b/>
          <w:bCs/>
        </w:rPr>
        <w:t xml:space="preserve">Una advertencia sobre el 1,93.</w:t>
      </w:r>
      <w:r>
        <w:t xml:space="preserve"> Muchas familias tienen el mismo puntaje D2 y el corte de la lista cae entre ellas; el orden entre empatadas sale de un sorteo de semilla fija. Al repetir ese sorteo cien veces (análisis posterior, D50), el Lift@k de D2 en C4 va de 1,53 a 1,99. La ventaja de D2 sobre la logística híbrida en C4 es menos firme de lo que sugiere una sola cifra. Lo que sostiene la decisión es la prueba única en C5.</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En Preparatoria el resultado es más alto (Precision@k = 0,38; Recall@k = 0,42), pero con 12 eventos esa cifra es incierta.</w:t>
      </w:r>
    </w:p>
    <w:p>
      <w:pPr>
        <w:spacing w:after="120"/>
        <w:jc w:val="both"/>
      </w:pPr>
      <w:r>
        <w:rPr>
          <w:b/>
          <w:bCs/>
        </w:rPr>
        <w:t xml:space="preserve">Dónde no funciona.</w:t>
      </w:r>
      <w:r>
        <w:t xml:space="preserve"> El </w:t>
      </w:r>
      <w:r>
        <w:rPr>
          <w:b/>
          <w:bCs/>
        </w:rPr>
        <w:t xml:space="preserve">70 % de las familias que no pagaron en plazo quedó fuera de la lista</w:t>
      </w:r>
      <w:r>
        <w:t xml:space="preserve">: se encontraron 22 de 74 (Recall@k = 0,30). La lista tenía 165 cupos, más que casos, de modo que un orden perfecto las habría encontrado a todas: </w:t>
      </w:r>
      <w:r>
        <w:rPr>
          <w:b/>
          <w:bCs/>
        </w:rPr>
        <w:t xml:space="preserve">el límite es de señal, no de capacidad</w:t>
      </w:r>
      <w:r>
        <w:t xml:space="preserve">. La regla solo puede adelantar a familias con señales administrativas; quienes pagaron a tiempo, reservaron en periodo ordinario y no tuvieron atrasos quedan al final. No tenemos datos de los motivos de esas familias. Hay tres críticas al diseño que dejamos planteadas: el evento mezcla a quien paga unos días tarde con quien no vuelve; k fue una decisión y no una medida de la capacidad real; y la lista es una foto del 20 de febrero que no aprovecha la señal de quién sigue sin pagar. El cuaderno 06_alcance_lista las analiza de forma descriptiva con C2 a C4, sin usar C5 (docs/alcance_lista.md). Tres resultados: la regla añade entre 9 y 12 puntos de recall sobre el azar con cualquier tamaño de lista, y su Lift va de 1,38 a 1,93 según la cohorte; el 77 % de las familias paga en las primeras cuatro semanas, y hacia el día 35 quedan unas 200 pendientes por año, de las que el 44 % son casos; y desde la cuarta semana la regla no ordena mejor que el azar entre las familias pendientes. Esta es la principal limitación del sistema. Orienta el trabajo futuro hacia una campaña en dos etapas: la lista D2 al inicio y, cuatro o cinco semanas después, todas las familias que siguen sin pagar. La aplicación ya lista a esas familias a una fecha de corte (pestaña Seguimiento, D51); la estrategia debe probarse en 2027 con un grupo de comparación.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src/alcance.py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desglose del evento, alcance según k y lista semanal</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notebooks/00a–06 y overfitting_analysis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(175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La pestaña </w:t>
      </w:r>
      <w:r>
        <w:rPr>
          <w:b/>
          <w:bCs/>
        </w:rPr>
        <w:t xml:space="preserve">Seguimiento</w:t>
      </w:r>
      <w:r>
        <w:t xml:space="preserve"> (D51) sirve para la segunda etapa de la campaña: con una fecha de corte entre el 20 de febrero y el 30 de abril, lista a todas las familias de la población inicial que no registran el pago de la matrícula hasta ese día y marca cuáles estaban en la lista del 20 de febrero. Es un listado de pagos, no una predicción: no usa la regla para decidir quién entra, ni el modelo, ni k. Si el archivo no trae pagos del ciclo siguiente, la aplicación avisa y no muestra nada. En el modo institucional da los nombres con la misma confirmación que la lista inicial.</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120"/>
        <w:jc w:val="both"/>
      </w:pPr>
      <w:r>
        <w:rPr>
          <w:b/>
          <w:bCs/>
        </w:rPr>
        <w:t xml:space="preserve">Un fallo en producción y su corrección.</w:t>
      </w:r>
      <w:r>
        <w:t xml:space="preserve"> El 3 de octubre la versión pública mostró un error (TypeError en lista_contactos) después de una actualización: Streamlit ejecutó el app.py nuevo con un módulo de src/ antiguo que seguía en memoria. Se resolvió reiniciando la aplicación. Desde entonces app.py compara en cada ejecución la fecha de los archivos de src/ y tools/ con la de los módulos cargados y, si cambiaron, los importa de nuevo; una prueba automática reproduce el fallo.</w:t>
      </w:r>
    </w:p>
    <w:p>
      <w:pPr>
        <w:spacing w:after="60" w:before="120"/>
        <w:jc w:val="center"/>
      </w:pPr>
      <w:r>
        <w:drawing>
          <wp:inline distT="0" distB="0" distL="0" distR="0">
            <wp:extent cx="5400675" cy="3859682"/>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9682"/>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Hacia el 20–27 de marzo (propuesta para 2027)</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de nuevo el Excel y listar en Seguimiento a las familias que siguen sin pagar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(D01–D51).</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D01–D51,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El listado de seguimiento, que reúne a las familias que siguen sin pagar, se parece todavía más a una lista de cobranza: esas familias están dentro del plazo, no en mora, y rigen el mismo uso prohibido y el mismo protocolo de apoyo.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y el resumen en docs/ficha_modelo.md.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pStyle w:val="ListParagraph"/>
        <w:numPr>
          <w:ilvl w:val="0"/>
          <w:numId w:val="4"/>
        </w:numPr>
        <w:spacing w:after="60"/>
      </w:pPr>
      <w:r>
        <w:t xml:space="preserve">La lista alcanza al 30 % de los casos y su Lift en las otras cohortes fue de 1,38 a 1,93. El límite es de señal al 20 de febrero, no de capacidad ni de modelo. Unas semanas después, saber quién sigue sin pagar dice más que la regla.</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probar en 2027 la campaña en dos etapas (lista D2 al inicio y, a mitad de campaña, todas las familias que siguen sin pagar, que la aplicación ya lista), informar el Lift como promedio de varios sorteos y medir el efecto causal del contacto con un grupo de comparación.</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D50</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el 70 % restante es un límite de señal, no de capacidad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Pestaña Seguimiento (familias que siguen sin pagar a una fecha de corte) y recarga del código tras una actualización</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alcance de la lista, ética, ficha del modelo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951c5eacadab3309ed16f2c60f1a3066f00b6ec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2026-10-03T15:25:15.123Z</dcterms:created>
  <dcterms:modified xsi:type="dcterms:W3CDTF">2026-10-03T15:25:15.132Z</dcterms:modified>
</cp:coreProperties>
</file>

<file path=docProps/custom.xml><?xml version="1.0" encoding="utf-8"?>
<Properties xmlns="http://schemas.openxmlformats.org/officeDocument/2006/custom-properties" xmlns:vt="http://schemas.openxmlformats.org/officeDocument/2006/docPropsVTypes"/>
</file>