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959" w:rsidRDefault="00C22959" w:rsidP="00C22959">
      <w:pPr>
        <w:pStyle w:val="Title"/>
      </w:pPr>
      <w:r>
        <w:t xml:space="preserve">Style </w:t>
      </w:r>
      <w:r w:rsidRPr="00C22959">
        <w:t>Guide</w:t>
      </w:r>
      <w:r>
        <w:t xml:space="preserve"> </w:t>
      </w:r>
    </w:p>
    <w:p w:rsidR="003E6B3D" w:rsidRDefault="00A83BD2" w:rsidP="00C22959">
      <w:pPr>
        <w:pStyle w:val="Subtitle"/>
      </w:pPr>
      <w:r>
        <w:t xml:space="preserve">Professional Development </w:t>
      </w:r>
      <w:r w:rsidR="001F7FB1">
        <w:t>P</w:t>
      </w:r>
      <w:r w:rsidR="00996128">
        <w:t>artnership</w:t>
      </w:r>
      <w:r w:rsidR="001F7FB1">
        <w:t xml:space="preserve"> </w:t>
      </w:r>
    </w:p>
    <w:p w:rsidR="003E6B3D" w:rsidRPr="003E6B3D" w:rsidRDefault="003E6B3D" w:rsidP="003E6B3D">
      <w:proofErr w:type="gramStart"/>
      <w:r>
        <w:t>July,</w:t>
      </w:r>
      <w:proofErr w:type="gramEnd"/>
      <w:r>
        <w:t xml:space="preserve"> 2017</w:t>
      </w:r>
    </w:p>
    <w:p w:rsidR="003E6B3D" w:rsidRDefault="003E6B3D" w:rsidP="003E6B3D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9E7E45" w:rsidRDefault="00533718" w:rsidP="00533718">
      <w:pPr>
        <w:pStyle w:val="Heading1"/>
      </w:pPr>
      <w:r>
        <w:lastRenderedPageBreak/>
        <w:t>Introduction</w:t>
      </w:r>
    </w:p>
    <w:p w:rsidR="00A8760A" w:rsidRPr="00A8760A" w:rsidRDefault="00A8760A" w:rsidP="00A8760A">
      <w:pPr>
        <w:pStyle w:val="Heading2"/>
      </w:pPr>
      <w:r>
        <w:t>Purpose</w:t>
      </w:r>
    </w:p>
    <w:p w:rsidR="00A8760A" w:rsidRDefault="003E6B3D" w:rsidP="00A8760A">
      <w:r>
        <w:t xml:space="preserve">This guide </w:t>
      </w:r>
      <w:r w:rsidR="00A8760A">
        <w:t>provide</w:t>
      </w:r>
      <w:r>
        <w:t>s</w:t>
      </w:r>
      <w:r w:rsidR="00A8760A">
        <w:t>:</w:t>
      </w:r>
    </w:p>
    <w:p w:rsidR="00A8760A" w:rsidRDefault="003E6B3D" w:rsidP="00A8760A">
      <w:pPr>
        <w:pStyle w:val="ListParagraph"/>
        <w:numPr>
          <w:ilvl w:val="0"/>
          <w:numId w:val="7"/>
        </w:numPr>
      </w:pPr>
      <w:r>
        <w:t>Guideline</w:t>
      </w:r>
      <w:r w:rsidR="00A8760A">
        <w:t xml:space="preserve"> for PDP authors as they develop content</w:t>
      </w:r>
      <w:r>
        <w:t xml:space="preserve"> </w:t>
      </w:r>
    </w:p>
    <w:p w:rsidR="00A8760A" w:rsidRDefault="003E6B3D" w:rsidP="00A8760A">
      <w:pPr>
        <w:pStyle w:val="ListParagraph"/>
        <w:numPr>
          <w:ilvl w:val="0"/>
          <w:numId w:val="7"/>
        </w:numPr>
      </w:pPr>
      <w:r>
        <w:t>The reasoning on</w:t>
      </w:r>
      <w:r w:rsidR="00A8760A">
        <w:t xml:space="preserve"> which </w:t>
      </w:r>
      <w:r>
        <w:t>the guidelines</w:t>
      </w:r>
      <w:r w:rsidR="00A8760A">
        <w:t xml:space="preserve"> are </w:t>
      </w:r>
      <w:r>
        <w:t>based</w:t>
      </w:r>
    </w:p>
    <w:p w:rsidR="00A8760A" w:rsidRPr="00A8760A" w:rsidRDefault="00A8760A" w:rsidP="00A8760A">
      <w:pPr>
        <w:pStyle w:val="Heading2"/>
      </w:pPr>
      <w:r>
        <w:t>Supplemental resources</w:t>
      </w:r>
    </w:p>
    <w:p w:rsidR="00A8760A" w:rsidRDefault="00A8760A" w:rsidP="00A8760A">
      <w:r>
        <w:t xml:space="preserve">If you do not find a </w:t>
      </w:r>
      <w:r w:rsidR="005923DA">
        <w:t>guideline</w:t>
      </w:r>
      <w:r>
        <w:t xml:space="preserve"> that addresses a writing issue in which you are interested, consult these resources:</w:t>
      </w:r>
    </w:p>
    <w:p w:rsidR="00A8760A" w:rsidRDefault="00A8760A" w:rsidP="00A8760A">
      <w:pPr>
        <w:pStyle w:val="Heading3"/>
      </w:pPr>
      <w:r>
        <w:t>Style Guides</w:t>
      </w:r>
    </w:p>
    <w:p w:rsidR="00A8760A" w:rsidRDefault="00CC5A9B" w:rsidP="00D17F09">
      <w:pPr>
        <w:pStyle w:val="ListParagraph"/>
        <w:numPr>
          <w:ilvl w:val="0"/>
          <w:numId w:val="8"/>
        </w:numPr>
      </w:pPr>
      <w:hyperlink r:id="rId5" w:history="1">
        <w:r w:rsidR="00D17F09" w:rsidRPr="00D17F09">
          <w:rPr>
            <w:rStyle w:val="Hyperlink"/>
          </w:rPr>
          <w:t>IEEE</w:t>
        </w:r>
        <w:r w:rsidR="00A8760A" w:rsidRPr="00D17F09">
          <w:rPr>
            <w:rStyle w:val="Hyperlink"/>
          </w:rPr>
          <w:t xml:space="preserve"> Computer Society Style Guide</w:t>
        </w:r>
      </w:hyperlink>
    </w:p>
    <w:p w:rsidR="00A8760A" w:rsidRDefault="00A8760A" w:rsidP="00D17F09">
      <w:pPr>
        <w:pStyle w:val="ListParagraph"/>
        <w:numPr>
          <w:ilvl w:val="0"/>
          <w:numId w:val="8"/>
        </w:numPr>
      </w:pPr>
      <w:r w:rsidRPr="00D17F09">
        <w:rPr>
          <w:i/>
        </w:rPr>
        <w:t>The Chicago Manual of Sty</w:t>
      </w:r>
      <w:r w:rsidRPr="00A8760A">
        <w:t xml:space="preserve">le, 16th ed., 2010 </w:t>
      </w:r>
    </w:p>
    <w:p w:rsidR="005923DA" w:rsidRDefault="005923DA" w:rsidP="005923DA">
      <w:pPr>
        <w:pStyle w:val="Heading4"/>
      </w:pPr>
      <w:r>
        <w:t>Example</w:t>
      </w:r>
    </w:p>
    <w:p w:rsidR="005923DA" w:rsidRPr="005923DA" w:rsidRDefault="005923DA" w:rsidP="005923DA">
      <w:r>
        <w:t xml:space="preserve">For treatment of numerals, we follow the guidelines in “Numerals,” </w:t>
      </w:r>
      <w:hyperlink r:id="rId6" w:history="1">
        <w:r w:rsidRPr="00D17F09">
          <w:rPr>
            <w:rStyle w:val="Hyperlink"/>
          </w:rPr>
          <w:t>IEEE Computer Society Style Guide</w:t>
        </w:r>
      </w:hyperlink>
      <w:r>
        <w:t>.</w:t>
      </w:r>
    </w:p>
    <w:p w:rsidR="00A8760A" w:rsidRPr="00A8760A" w:rsidRDefault="00A8760A" w:rsidP="00D17F09">
      <w:pPr>
        <w:pStyle w:val="Heading3"/>
      </w:pPr>
      <w:r w:rsidRPr="00A8760A">
        <w:t>Preferred dictionary</w:t>
      </w:r>
    </w:p>
    <w:p w:rsidR="00A8760A" w:rsidRDefault="00A8760A" w:rsidP="00A8760A">
      <w:r w:rsidRPr="00A8760A">
        <w:t xml:space="preserve">Webster’s Collegiate Dictionary, 11th ed., 2003. </w:t>
      </w:r>
    </w:p>
    <w:p w:rsidR="00533718" w:rsidRDefault="00533718" w:rsidP="00533718">
      <w:pPr>
        <w:pStyle w:val="Heading1"/>
      </w:pPr>
      <w:r>
        <w:t>Glossary terms</w:t>
      </w:r>
    </w:p>
    <w:p w:rsidR="00533718" w:rsidRPr="00533718" w:rsidRDefault="00533718" w:rsidP="00533718">
      <w:pPr>
        <w:pStyle w:val="Heading2"/>
      </w:pPr>
      <w:r>
        <w:t>Criteria</w:t>
      </w:r>
    </w:p>
    <w:p w:rsidR="00533718" w:rsidRDefault="00533718" w:rsidP="00533718">
      <w:pPr>
        <w:pStyle w:val="CommentText"/>
      </w:pPr>
      <w:r>
        <w:t xml:space="preserve">A </w:t>
      </w:r>
      <w:r w:rsidRPr="00533718">
        <w:rPr>
          <w:i/>
        </w:rPr>
        <w:t>Glossary term</w:t>
      </w:r>
      <w:r>
        <w:t xml:space="preserve"> is a term that is:</w:t>
      </w:r>
    </w:p>
    <w:p w:rsidR="00533718" w:rsidRDefault="00533718" w:rsidP="00533718">
      <w:pPr>
        <w:pStyle w:val="CommentText"/>
        <w:numPr>
          <w:ilvl w:val="0"/>
          <w:numId w:val="11"/>
        </w:numPr>
      </w:pPr>
      <w:r>
        <w:t>Specific to PDP</w:t>
      </w:r>
    </w:p>
    <w:p w:rsidR="00533718" w:rsidRDefault="00533718" w:rsidP="00533718">
      <w:pPr>
        <w:pStyle w:val="CommentText"/>
        <w:numPr>
          <w:ilvl w:val="0"/>
          <w:numId w:val="11"/>
        </w:numPr>
      </w:pPr>
      <w:r>
        <w:t>Likely to be unfamiliar to a member of the target audience</w:t>
      </w:r>
    </w:p>
    <w:p w:rsidR="00533718" w:rsidRDefault="00533718" w:rsidP="00533718">
      <w:pPr>
        <w:pStyle w:val="Heading3"/>
      </w:pPr>
      <w:r>
        <w:t>Treatment</w:t>
      </w:r>
    </w:p>
    <w:p w:rsidR="00533718" w:rsidRPr="002511B3" w:rsidRDefault="00533718" w:rsidP="00533718">
      <w:pPr>
        <w:pStyle w:val="CommentText"/>
        <w:numPr>
          <w:ilvl w:val="0"/>
          <w:numId w:val="10"/>
        </w:numPr>
      </w:pPr>
      <w:r>
        <w:t xml:space="preserve"> Capitalize and italicize the term </w:t>
      </w:r>
      <w:r w:rsidRPr="002511B3">
        <w:rPr>
          <w:i/>
        </w:rPr>
        <w:t>and</w:t>
      </w:r>
      <w:r>
        <w:t>, on first occurrence in each major section, do one or both of the following:</w:t>
      </w:r>
    </w:p>
    <w:p w:rsidR="00533718" w:rsidRDefault="00533718" w:rsidP="00533718">
      <w:pPr>
        <w:pStyle w:val="CommentText"/>
        <w:numPr>
          <w:ilvl w:val="1"/>
          <w:numId w:val="10"/>
        </w:numPr>
      </w:pPr>
      <w:r>
        <w:t xml:space="preserve"> Define the term</w:t>
      </w:r>
    </w:p>
    <w:p w:rsidR="00533718" w:rsidRDefault="00533718" w:rsidP="00533718">
      <w:pPr>
        <w:pStyle w:val="CommentText"/>
        <w:numPr>
          <w:ilvl w:val="1"/>
          <w:numId w:val="10"/>
        </w:numPr>
      </w:pPr>
      <w:r>
        <w:t xml:space="preserve"> Verify the term is defined in the Glossary (if it’s not, add it there) and link to it if possible</w:t>
      </w:r>
    </w:p>
    <w:p w:rsidR="00533718" w:rsidRDefault="00533718" w:rsidP="00533718">
      <w:pPr>
        <w:pStyle w:val="CommentText"/>
        <w:numPr>
          <w:ilvl w:val="0"/>
          <w:numId w:val="10"/>
        </w:numPr>
      </w:pPr>
      <w:r>
        <w:t>For subsequent occurrences in a major section, capitalization alone is sufficient.</w:t>
      </w:r>
    </w:p>
    <w:p w:rsidR="00533718" w:rsidRPr="00533718" w:rsidRDefault="00533718" w:rsidP="00533718">
      <w:r>
        <w:t>If the term does not meet the criteria for Glossary term, then don’t capitalize, italicize, define, or link.</w:t>
      </w:r>
    </w:p>
    <w:p w:rsidR="001919FF" w:rsidRDefault="001919FF" w:rsidP="00533718">
      <w:pPr>
        <w:pStyle w:val="Heading1"/>
      </w:pPr>
      <w:r w:rsidRPr="00533718">
        <w:t>Links</w:t>
      </w:r>
    </w:p>
    <w:p w:rsidR="001919FF" w:rsidRPr="001919FF" w:rsidRDefault="003E6B3D" w:rsidP="001F7FB1">
      <w:pPr>
        <w:pStyle w:val="Heading2"/>
      </w:pPr>
      <w:r>
        <w:t>To</w:t>
      </w:r>
      <w:r w:rsidR="001919FF">
        <w:t xml:space="preserve"> other doc</w:t>
      </w:r>
      <w:r>
        <w:t>ument</w:t>
      </w:r>
      <w:r w:rsidR="001919FF">
        <w:t>s</w:t>
      </w:r>
    </w:p>
    <w:p w:rsidR="001919FF" w:rsidRDefault="003E6B3D">
      <w:r>
        <w:t>Italicize the title of and l</w:t>
      </w:r>
      <w:r w:rsidR="001919FF">
        <w:t>ink</w:t>
      </w:r>
      <w:r>
        <w:t>, if possible,</w:t>
      </w:r>
      <w:r w:rsidR="001919FF">
        <w:t xml:space="preserve"> to </w:t>
      </w:r>
      <w:r>
        <w:t>the other document</w:t>
      </w:r>
      <w:r w:rsidR="001919FF">
        <w:t xml:space="preserve">, such as </w:t>
      </w:r>
      <w:r w:rsidR="001919FF" w:rsidRPr="001919FF">
        <w:rPr>
          <w:i/>
        </w:rPr>
        <w:t>Generic Transaction Pattern</w:t>
      </w:r>
      <w:r>
        <w:t xml:space="preserve">s, if possible. </w:t>
      </w:r>
    </w:p>
    <w:p w:rsidR="001919FF" w:rsidRDefault="003E6B3D" w:rsidP="001F7FB1">
      <w:pPr>
        <w:pStyle w:val="Heading2"/>
      </w:pPr>
      <w:r>
        <w:lastRenderedPageBreak/>
        <w:t xml:space="preserve">To </w:t>
      </w:r>
      <w:r w:rsidR="001919FF">
        <w:t>Glossary terms</w:t>
      </w:r>
    </w:p>
    <w:p w:rsidR="003E6B3D" w:rsidRPr="003E6B3D" w:rsidRDefault="003E6B3D" w:rsidP="003E6B3D">
      <w:r>
        <w:t xml:space="preserve">A </w:t>
      </w:r>
      <w:r w:rsidRPr="003E6B3D">
        <w:rPr>
          <w:i/>
        </w:rPr>
        <w:t>Glossary term</w:t>
      </w:r>
      <w:r>
        <w:t xml:space="preserve"> is a term that might be unfamiliar for any member of the target audience for the document.</w:t>
      </w:r>
    </w:p>
    <w:p w:rsidR="001919FF" w:rsidRDefault="001919FF">
      <w:r>
        <w:t xml:space="preserve">Link to </w:t>
      </w:r>
      <w:r w:rsidR="003E6B3D">
        <w:t>the Glossary (if possible) the first time a Glossary term appears in each major section of the document. If linking is not possible</w:t>
      </w:r>
      <w:r>
        <w:t>, italicize</w:t>
      </w:r>
      <w:r w:rsidR="00946357">
        <w:t xml:space="preserve"> </w:t>
      </w:r>
      <w:r w:rsidR="003E6B3D">
        <w:t xml:space="preserve">the term </w:t>
      </w:r>
      <w:r w:rsidR="00946357">
        <w:t xml:space="preserve">and define </w:t>
      </w:r>
      <w:r w:rsidR="003E6B3D">
        <w:t>it on first occurrence in each major section.</w:t>
      </w:r>
    </w:p>
    <w:p w:rsidR="00E72011" w:rsidRDefault="003E6B3D">
      <w:r>
        <w:t>In addition, c</w:t>
      </w:r>
      <w:r w:rsidR="00E72011">
        <w:t xml:space="preserve">apitalize </w:t>
      </w:r>
      <w:r>
        <w:t xml:space="preserve">the term </w:t>
      </w:r>
      <w:r w:rsidR="00E72011">
        <w:t>for entities such as Business and Device.</w:t>
      </w:r>
    </w:p>
    <w:p w:rsidR="001919FF" w:rsidRDefault="003E6B3D" w:rsidP="001F7FB1">
      <w:pPr>
        <w:pStyle w:val="Heading2"/>
      </w:pPr>
      <w:r>
        <w:t>To o</w:t>
      </w:r>
      <w:r w:rsidR="001919FF">
        <w:t>ther sections</w:t>
      </w:r>
    </w:p>
    <w:p w:rsidR="003E6B3D" w:rsidRDefault="00946357" w:rsidP="00946357">
      <w:r>
        <w:t>Link to section title or number; not necessary to link to both, which is why I have deleted the latter of the two in cases where both were given.</w:t>
      </w:r>
    </w:p>
    <w:p w:rsidR="003E6B3D" w:rsidRDefault="003E6B3D" w:rsidP="003E6B3D">
      <w:r>
        <w:br w:type="page"/>
      </w:r>
    </w:p>
    <w:p w:rsidR="00946357" w:rsidRDefault="00946357" w:rsidP="00946357"/>
    <w:p w:rsidR="00946357" w:rsidRDefault="00946357" w:rsidP="001F7FB1">
      <w:pPr>
        <w:pStyle w:val="Heading1"/>
      </w:pPr>
      <w:r>
        <w:t>Typographic conventions</w:t>
      </w:r>
    </w:p>
    <w:p w:rsidR="003E6B3D" w:rsidRPr="003E6B3D" w:rsidRDefault="003E6B3D" w:rsidP="003E6B3D">
      <w:r>
        <w:t>A typographic convention is any c</w:t>
      </w:r>
      <w:r w:rsidR="00AF6839">
        <w:t>hange in the way certain information is</w:t>
      </w:r>
      <w:r>
        <w:t xml:space="preserve"> presented that </w:t>
      </w:r>
      <w:r w:rsidR="00AF6839">
        <w:t>identifies the information as being different from regular information.</w:t>
      </w:r>
    </w:p>
    <w:p w:rsidR="00946357" w:rsidRDefault="00946357" w:rsidP="001F7FB1">
      <w:pPr>
        <w:pStyle w:val="Heading2"/>
      </w:pPr>
      <w:r w:rsidRPr="00A755D8">
        <w:t>Bold</w:t>
      </w:r>
      <w:r w:rsidRPr="00946357">
        <w:t xml:space="preserve"> </w:t>
      </w:r>
    </w:p>
    <w:p w:rsidR="00AF6839" w:rsidRPr="00AF6839" w:rsidRDefault="00AF6839" w:rsidP="00AF6839">
      <w:r>
        <w:t>Use for:</w:t>
      </w:r>
    </w:p>
    <w:p w:rsidR="00946357" w:rsidRPr="00A755D8" w:rsidRDefault="00946357" w:rsidP="00A755D8">
      <w:pPr>
        <w:pStyle w:val="ListParagraph"/>
        <w:numPr>
          <w:ilvl w:val="0"/>
          <w:numId w:val="1"/>
        </w:numPr>
      </w:pPr>
      <w:r w:rsidRPr="00A755D8">
        <w:t>API elements</w:t>
      </w:r>
    </w:p>
    <w:p w:rsidR="00946357" w:rsidRDefault="00946357" w:rsidP="00946357">
      <w:pPr>
        <w:pStyle w:val="ListParagraph"/>
        <w:numPr>
          <w:ilvl w:val="0"/>
          <w:numId w:val="1"/>
        </w:numPr>
      </w:pPr>
      <w:r>
        <w:t>Characters the user must type</w:t>
      </w:r>
      <w:r w:rsidR="001C2BE8">
        <w:t xml:space="preserve"> or enter</w:t>
      </w:r>
      <w:r>
        <w:t>, unless the character is unknown (that is, a variable)</w:t>
      </w:r>
    </w:p>
    <w:p w:rsidR="001C2BE8" w:rsidRDefault="001C2BE8" w:rsidP="00946357">
      <w:pPr>
        <w:pStyle w:val="ListParagraph"/>
        <w:numPr>
          <w:ilvl w:val="0"/>
          <w:numId w:val="1"/>
        </w:numPr>
      </w:pPr>
      <w:r>
        <w:t>Most examples (because they contain characters a user has typed or entered)</w:t>
      </w:r>
    </w:p>
    <w:p w:rsidR="00A755D8" w:rsidRDefault="00A755D8" w:rsidP="00A755D8">
      <w:pPr>
        <w:pStyle w:val="ListParagraph"/>
        <w:numPr>
          <w:ilvl w:val="0"/>
          <w:numId w:val="1"/>
        </w:numPr>
      </w:pPr>
      <w:r>
        <w:t>Special characters, when identified in text</w:t>
      </w:r>
      <w:r>
        <w:br/>
        <w:t>Note: Identify the name of the character, then bold and enclose in parentheses)</w:t>
      </w:r>
    </w:p>
    <w:p w:rsidR="00A755D8" w:rsidRDefault="00A755D8" w:rsidP="001F7FB1">
      <w:pPr>
        <w:pStyle w:val="Heading3"/>
      </w:pPr>
      <w:r>
        <w:t xml:space="preserve">Examples </w:t>
      </w:r>
    </w:p>
    <w:p w:rsidR="00A755D8" w:rsidRPr="00A755D8" w:rsidRDefault="00A755D8" w:rsidP="00A755D8">
      <w:pPr>
        <w:pStyle w:val="ListParagraph"/>
        <w:numPr>
          <w:ilvl w:val="0"/>
          <w:numId w:val="3"/>
        </w:numPr>
        <w:rPr>
          <w:b/>
        </w:rPr>
      </w:pPr>
      <w:r>
        <w:t>/</w:t>
      </w:r>
      <w:r w:rsidRPr="00A755D8">
        <w:rPr>
          <w:b/>
        </w:rPr>
        <w:t>participants</w:t>
      </w:r>
    </w:p>
    <w:p w:rsidR="00A755D8" w:rsidRPr="00A755D8" w:rsidRDefault="00A755D8" w:rsidP="00A755D8">
      <w:pPr>
        <w:pStyle w:val="ListParagraph"/>
        <w:numPr>
          <w:ilvl w:val="0"/>
          <w:numId w:val="3"/>
        </w:numPr>
      </w:pPr>
      <w:r>
        <w:t>the ampersand character (</w:t>
      </w:r>
      <w:r w:rsidRPr="00A755D8">
        <w:rPr>
          <w:b/>
        </w:rPr>
        <w:t>&amp;</w:t>
      </w:r>
      <w:r>
        <w:t>)</w:t>
      </w:r>
    </w:p>
    <w:p w:rsidR="00946357" w:rsidRDefault="00946357" w:rsidP="001F7FB1">
      <w:pPr>
        <w:pStyle w:val="Heading2"/>
      </w:pPr>
      <w:r w:rsidRPr="00946357">
        <w:t>Italics</w:t>
      </w:r>
    </w:p>
    <w:p w:rsidR="00AF6839" w:rsidRPr="00AF6839" w:rsidRDefault="00AF6839" w:rsidP="00AF6839">
      <w:r>
        <w:t xml:space="preserve">Use for: </w:t>
      </w:r>
    </w:p>
    <w:p w:rsidR="00946357" w:rsidRDefault="00946357" w:rsidP="00946357">
      <w:pPr>
        <w:pStyle w:val="ListParagraph"/>
        <w:numPr>
          <w:ilvl w:val="0"/>
          <w:numId w:val="2"/>
        </w:numPr>
      </w:pPr>
      <w:r>
        <w:t>Variables</w:t>
      </w:r>
      <w:r w:rsidR="00A755D8">
        <w:t xml:space="preserve"> </w:t>
      </w:r>
      <w:r w:rsidR="00A755D8">
        <w:br/>
      </w:r>
      <w:r w:rsidR="00A755D8" w:rsidRPr="001F7FB1">
        <w:rPr>
          <w:b/>
        </w:rPr>
        <w:t>Note</w:t>
      </w:r>
      <w:r w:rsidR="00A755D8">
        <w:t>: Italicize and enclose variables in angle brackets (</w:t>
      </w:r>
      <w:r w:rsidR="00A755D8" w:rsidRPr="00A755D8">
        <w:rPr>
          <w:b/>
        </w:rPr>
        <w:t>&lt;&gt;</w:t>
      </w:r>
      <w:r w:rsidR="00A755D8">
        <w:t>)</w:t>
      </w:r>
    </w:p>
    <w:p w:rsidR="00946357" w:rsidRDefault="00946357" w:rsidP="00946357">
      <w:pPr>
        <w:pStyle w:val="ListParagraph"/>
        <w:numPr>
          <w:ilvl w:val="0"/>
          <w:numId w:val="2"/>
        </w:numPr>
      </w:pPr>
      <w:r>
        <w:t>Document Titles</w:t>
      </w:r>
    </w:p>
    <w:p w:rsidR="00A755D8" w:rsidRDefault="00A755D8" w:rsidP="001F7FB1">
      <w:pPr>
        <w:pStyle w:val="Heading3"/>
      </w:pPr>
      <w:r>
        <w:t>Example</w:t>
      </w:r>
    </w:p>
    <w:p w:rsidR="00A755D8" w:rsidRPr="00A755D8" w:rsidRDefault="00A755D8" w:rsidP="008A352A">
      <w:pPr>
        <w:ind w:left="720"/>
        <w:rPr>
          <w:i/>
        </w:rPr>
      </w:pPr>
      <w:r w:rsidRPr="00A755D8">
        <w:rPr>
          <w:i/>
        </w:rPr>
        <w:t>&lt;ID&gt;</w:t>
      </w:r>
    </w:p>
    <w:p w:rsidR="00A755D8" w:rsidRDefault="00A755D8" w:rsidP="001F7FB1">
      <w:pPr>
        <w:pStyle w:val="Heading2"/>
      </w:pPr>
      <w:r w:rsidRPr="00A755D8">
        <w:t>Bold Italics</w:t>
      </w:r>
    </w:p>
    <w:p w:rsidR="00A755D8" w:rsidRDefault="00AF6839" w:rsidP="00AF6839">
      <w:pPr>
        <w:rPr>
          <w:b/>
          <w:i/>
        </w:rPr>
      </w:pPr>
      <w:r>
        <w:t>Use in headings or captions for characters that are normally bolded or italicized</w:t>
      </w:r>
    </w:p>
    <w:p w:rsidR="00A755D8" w:rsidRDefault="00A755D8" w:rsidP="001F7FB1">
      <w:pPr>
        <w:pStyle w:val="Heading3"/>
      </w:pPr>
      <w:r>
        <w:t>Example</w:t>
      </w:r>
    </w:p>
    <w:p w:rsidR="00A755D8" w:rsidRPr="00A755D8" w:rsidRDefault="00A755D8" w:rsidP="008A352A">
      <w:pPr>
        <w:ind w:left="720"/>
        <w:rPr>
          <w:i/>
        </w:rPr>
      </w:pPr>
      <w:bookmarkStart w:id="0" w:name="_Ref477511721"/>
      <w:r>
        <w:rPr>
          <w:b/>
        </w:rPr>
        <w:t xml:space="preserve">5.2.4.2 </w:t>
      </w:r>
      <w:r w:rsidRPr="00A755D8">
        <w:rPr>
          <w:b/>
        </w:rPr>
        <w:t>PUT /participants</w:t>
      </w:r>
      <w:r w:rsidRPr="00A755D8">
        <w:rPr>
          <w:b/>
          <w:i/>
        </w:rPr>
        <w:t>/&lt;ID&gt;/&lt;error</w:t>
      </w:r>
      <w:bookmarkEnd w:id="0"/>
      <w:r w:rsidRPr="00A755D8">
        <w:rPr>
          <w:b/>
          <w:i/>
        </w:rPr>
        <w:t>&gt;</w:t>
      </w:r>
    </w:p>
    <w:p w:rsidR="00946357" w:rsidRDefault="00946357" w:rsidP="001F7FB1">
      <w:pPr>
        <w:pStyle w:val="Heading2"/>
      </w:pPr>
      <w:r>
        <w:t>Initial Caps</w:t>
      </w:r>
    </w:p>
    <w:p w:rsidR="00AF6839" w:rsidRPr="00AF6839" w:rsidRDefault="00AF6839" w:rsidP="00AF6839">
      <w:r>
        <w:t>Use for:</w:t>
      </w:r>
    </w:p>
    <w:p w:rsidR="001919FF" w:rsidRDefault="00946357" w:rsidP="001F7FB1">
      <w:pPr>
        <w:pStyle w:val="ListParagraph"/>
        <w:numPr>
          <w:ilvl w:val="0"/>
          <w:numId w:val="4"/>
        </w:numPr>
      </w:pPr>
      <w:r>
        <w:t xml:space="preserve">Proper nouns that appear in the Glossary </w:t>
      </w:r>
      <w:r w:rsidR="001A0FF0">
        <w:t>(after first occurrence</w:t>
      </w:r>
      <w:r w:rsidR="00AF6839">
        <w:t>)</w:t>
      </w:r>
    </w:p>
    <w:p w:rsidR="00711792" w:rsidRDefault="00711792" w:rsidP="001F7FB1">
      <w:pPr>
        <w:pStyle w:val="ListParagraph"/>
        <w:numPr>
          <w:ilvl w:val="0"/>
          <w:numId w:val="4"/>
        </w:numPr>
      </w:pPr>
      <w:r>
        <w:t xml:space="preserve">Section </w:t>
      </w:r>
      <w:r w:rsidR="001F7FB1">
        <w:t>titles</w:t>
      </w:r>
    </w:p>
    <w:p w:rsidR="00A755D8" w:rsidRDefault="00A755D8" w:rsidP="001F7FB1">
      <w:pPr>
        <w:pStyle w:val="Heading3"/>
      </w:pPr>
      <w:r>
        <w:t>Example</w:t>
      </w:r>
      <w:r w:rsidR="00AF6839">
        <w:t>s</w:t>
      </w:r>
    </w:p>
    <w:p w:rsidR="001A0FF0" w:rsidRDefault="001A0FF0" w:rsidP="001F7FB1">
      <w:pPr>
        <w:pStyle w:val="ListParagraph"/>
        <w:numPr>
          <w:ilvl w:val="0"/>
          <w:numId w:val="5"/>
        </w:numPr>
      </w:pPr>
      <w:r>
        <w:t>Payer</w:t>
      </w:r>
    </w:p>
    <w:p w:rsidR="001F7FB1" w:rsidRDefault="00AF6839" w:rsidP="001F7FB1">
      <w:pPr>
        <w:pStyle w:val="ListParagraph"/>
        <w:numPr>
          <w:ilvl w:val="0"/>
          <w:numId w:val="5"/>
        </w:numPr>
      </w:pPr>
      <w:r>
        <w:t>…</w:t>
      </w:r>
      <w:r w:rsidR="001F7FB1">
        <w:t>see Section 4.2</w:t>
      </w:r>
    </w:p>
    <w:p w:rsidR="008A352A" w:rsidRDefault="008A352A" w:rsidP="008A352A">
      <w:pPr>
        <w:pStyle w:val="Heading2"/>
      </w:pPr>
      <w:r>
        <w:lastRenderedPageBreak/>
        <w:t>CamelCase</w:t>
      </w:r>
    </w:p>
    <w:p w:rsidR="008A352A" w:rsidRDefault="00AF6839" w:rsidP="008A352A">
      <w:r>
        <w:t xml:space="preserve">Use for (programming) </w:t>
      </w:r>
      <w:r w:rsidR="008A352A">
        <w:t>Type names (do not bold)</w:t>
      </w:r>
    </w:p>
    <w:p w:rsidR="008A352A" w:rsidRDefault="008A352A" w:rsidP="008A352A">
      <w:pPr>
        <w:pStyle w:val="Heading3"/>
      </w:pPr>
      <w:r>
        <w:t>Example</w:t>
      </w:r>
    </w:p>
    <w:p w:rsidR="008A352A" w:rsidRPr="00CA709C" w:rsidRDefault="008A352A" w:rsidP="008A352A">
      <w:pPr>
        <w:ind w:left="720"/>
      </w:pPr>
      <w:r w:rsidRPr="00CA709C">
        <w:fldChar w:fldCharType="begin"/>
      </w:r>
      <w:r w:rsidRPr="00CA709C">
        <w:instrText xml:space="preserve"> REF _Ref477874542 \h </w:instrText>
      </w:r>
      <w:r w:rsidRPr="00CA709C">
        <w:fldChar w:fldCharType="separate"/>
      </w:r>
      <w:r w:rsidRPr="00CA709C">
        <w:t xml:space="preserve">Table </w:t>
      </w:r>
      <w:r>
        <w:rPr>
          <w:noProof/>
        </w:rPr>
        <w:t>69</w:t>
      </w:r>
      <w:r w:rsidRPr="00CA709C">
        <w:fldChar w:fldCharType="end"/>
      </w:r>
      <w:r w:rsidRPr="00CA709C">
        <w:t xml:space="preserve"> contains the data model for the complex type </w:t>
      </w:r>
      <w:proofErr w:type="spellStart"/>
      <w:r w:rsidRPr="00C75A2F">
        <w:t>AuthenticationInfo</w:t>
      </w:r>
      <w:proofErr w:type="spellEnd"/>
      <w:r w:rsidRPr="00CA709C">
        <w:t>.</w:t>
      </w:r>
    </w:p>
    <w:p w:rsidR="00EF18D4" w:rsidRDefault="00EF18D4" w:rsidP="00EF18D4">
      <w:pPr>
        <w:pStyle w:val="Heading2"/>
      </w:pPr>
      <w:r>
        <w:t>Foreign Words</w:t>
      </w:r>
    </w:p>
    <w:p w:rsidR="00EF18D4" w:rsidRDefault="00EF18D4" w:rsidP="00EF18D4">
      <w:r>
        <w:t>Avoid – the English lexicon is sufficient for technical writing.</w:t>
      </w:r>
    </w:p>
    <w:p w:rsidR="00EF18D4" w:rsidRDefault="00EF18D4" w:rsidP="00EF18D4">
      <w:pPr>
        <w:pStyle w:val="Heading3"/>
      </w:pPr>
      <w:r>
        <w:t>Examples</w:t>
      </w:r>
    </w:p>
    <w:p w:rsidR="00EF18D4" w:rsidRPr="00EF18D4" w:rsidRDefault="00EF18D4" w:rsidP="008A352A">
      <w:pPr>
        <w:ind w:left="720"/>
      </w:pPr>
      <w:r w:rsidRPr="00EF18D4">
        <w:rPr>
          <w:strike/>
        </w:rPr>
        <w:t>e.g.</w:t>
      </w:r>
      <w:r>
        <w:t xml:space="preserve"> for example</w:t>
      </w:r>
    </w:p>
    <w:p w:rsidR="00EF18D4" w:rsidRDefault="00EF18D4" w:rsidP="00EF18D4">
      <w:pPr>
        <w:pStyle w:val="Heading2"/>
      </w:pPr>
      <w:r>
        <w:t>Abbreviations and Acronyms</w:t>
      </w:r>
    </w:p>
    <w:p w:rsidR="00EF18D4" w:rsidRDefault="00EF18D4" w:rsidP="00EF18D4">
      <w:r>
        <w:t>Expand on first use unless positive that the audience knows the meaning.</w:t>
      </w:r>
    </w:p>
    <w:p w:rsidR="00EF18D4" w:rsidRDefault="00EF18D4" w:rsidP="00EF18D4">
      <w:pPr>
        <w:pStyle w:val="Heading3"/>
      </w:pPr>
      <w:r>
        <w:t>Examples</w:t>
      </w:r>
    </w:p>
    <w:p w:rsidR="00EF18D4" w:rsidRDefault="00EF18D4" w:rsidP="008A352A">
      <w:pPr>
        <w:ind w:left="720"/>
      </w:pPr>
      <w:r>
        <w:t>One-Time Password (OTP)</w:t>
      </w:r>
    </w:p>
    <w:p w:rsidR="00A70F2D" w:rsidRDefault="00A70F2D" w:rsidP="00A70F2D">
      <w:pPr>
        <w:pStyle w:val="Heading2"/>
      </w:pPr>
      <w:r>
        <w:t>Passive Voice</w:t>
      </w:r>
    </w:p>
    <w:p w:rsidR="00A70F2D" w:rsidRDefault="00927701" w:rsidP="00A70F2D">
      <w:r>
        <w:t>Generally makes for less engaging writing than active voice; u</w:t>
      </w:r>
      <w:r w:rsidR="00A70F2D">
        <w:t xml:space="preserve">se only when the subject is unknown or it doesn’t make sense to identify it. </w:t>
      </w:r>
    </w:p>
    <w:p w:rsidR="00FB0965" w:rsidRPr="00FB0965" w:rsidRDefault="00A70F2D" w:rsidP="00927701">
      <w:pPr>
        <w:pStyle w:val="Heading3"/>
      </w:pPr>
      <w:r>
        <w:t>Example</w:t>
      </w:r>
      <w:r w:rsidR="00AF6839">
        <w:t>s</w:t>
      </w:r>
    </w:p>
    <w:p w:rsidR="00A70F2D" w:rsidRDefault="00A70F2D" w:rsidP="00927701">
      <w:pPr>
        <w:ind w:left="720"/>
      </w:pPr>
      <w:r w:rsidRPr="00CA709C">
        <w:t xml:space="preserve">This section describes the services that </w:t>
      </w:r>
      <w:r w:rsidRPr="00927701">
        <w:rPr>
          <w:strike/>
        </w:rPr>
        <w:t>can be requested by</w:t>
      </w:r>
      <w:r>
        <w:t xml:space="preserve"> a client </w:t>
      </w:r>
      <w:r w:rsidR="00927701">
        <w:t xml:space="preserve">can request </w:t>
      </w:r>
      <w:r w:rsidRPr="00CA709C">
        <w:t xml:space="preserve">in the API on the resource </w:t>
      </w:r>
      <w:r w:rsidRPr="0043552A">
        <w:rPr>
          <w:b/>
          <w:i/>
        </w:rPr>
        <w:t>/</w:t>
      </w:r>
      <w:proofErr w:type="spellStart"/>
      <w:r w:rsidRPr="0043552A">
        <w:rPr>
          <w:b/>
          <w:i/>
        </w:rPr>
        <w:t>bulkTransfers</w:t>
      </w:r>
      <w:proofErr w:type="spellEnd"/>
      <w:r w:rsidRPr="00CA709C">
        <w:t>.</w:t>
      </w:r>
    </w:p>
    <w:p w:rsidR="00EF18D4" w:rsidRDefault="00927701" w:rsidP="00927701">
      <w:pPr>
        <w:ind w:left="720"/>
      </w:pPr>
      <w:r>
        <w:t xml:space="preserve">The regular expression </w:t>
      </w:r>
      <w:r w:rsidRPr="00927701">
        <w:rPr>
          <w:strike/>
        </w:rPr>
        <w:t>can be found</w:t>
      </w:r>
      <w:r>
        <w:t xml:space="preserve"> appears in </w:t>
      </w:r>
      <w:r>
        <w:fldChar w:fldCharType="begin"/>
      </w:r>
      <w:r>
        <w:instrText xml:space="preserve"> REF _Ref484677238 \h </w:instrText>
      </w:r>
      <w:r>
        <w:fldChar w:fldCharType="separate"/>
      </w:r>
      <w:r>
        <w:t xml:space="preserve">Listing </w:t>
      </w:r>
      <w:r>
        <w:rPr>
          <w:noProof/>
        </w:rPr>
        <w:t>10</w:t>
      </w:r>
      <w:r>
        <w:fldChar w:fldCharType="end"/>
      </w:r>
      <w:r>
        <w:t>.</w:t>
      </w:r>
    </w:p>
    <w:p w:rsidR="007240A1" w:rsidRDefault="007240A1" w:rsidP="007240A1">
      <w:pPr>
        <w:pStyle w:val="Heading2"/>
      </w:pPr>
      <w:r>
        <w:t>Pronouns in gender-uncertain situations</w:t>
      </w:r>
    </w:p>
    <w:p w:rsidR="007240A1" w:rsidRDefault="007240A1" w:rsidP="007240A1">
      <w:r>
        <w:t>U</w:t>
      </w:r>
      <w:r>
        <w:t>se the plural pron</w:t>
      </w:r>
      <w:r>
        <w:t>ouns ‘they’, ‘them’, ‘their’ and so on,</w:t>
      </w:r>
      <w:r>
        <w:t xml:space="preserve"> </w:t>
      </w:r>
      <w:proofErr w:type="gramStart"/>
      <w:r>
        <w:t>despite the fact that</w:t>
      </w:r>
      <w:proofErr w:type="gramEnd"/>
      <w:r>
        <w:t>, technically, they are re</w:t>
      </w:r>
      <w:r>
        <w:t xml:space="preserve">ferring back to a singular noun. For more information, see </w:t>
      </w:r>
      <w:hyperlink r:id="rId7" w:history="1">
        <w:r w:rsidRPr="009A7412">
          <w:rPr>
            <w:rStyle w:val="Hyperlink"/>
          </w:rPr>
          <w:t>https://en.oxforddictionaries.com/usage/he-or-she-versus-they</w:t>
        </w:r>
      </w:hyperlink>
    </w:p>
    <w:p w:rsidR="007240A1" w:rsidRDefault="007240A1" w:rsidP="007240A1">
      <w:pPr>
        <w:pStyle w:val="Heading3"/>
      </w:pPr>
      <w:r>
        <w:t>Example</w:t>
      </w:r>
    </w:p>
    <w:p w:rsidR="007240A1" w:rsidRDefault="007240A1" w:rsidP="007240A1">
      <w:pPr>
        <w:spacing w:after="160" w:line="259" w:lineRule="auto"/>
        <w:ind w:left="720"/>
        <w:contextualSpacing/>
        <w:rPr>
          <w:lang w:eastAsia="zh-CN"/>
        </w:rPr>
      </w:pPr>
      <w:bookmarkStart w:id="1" w:name="_GoBack"/>
      <w:bookmarkEnd w:id="1"/>
      <w:r>
        <w:t xml:space="preserve">If </w:t>
      </w:r>
      <w:r>
        <w:rPr>
          <w:rFonts w:hint="eastAsia"/>
          <w:lang w:eastAsia="zh-CN"/>
        </w:rPr>
        <w:t>the c</w:t>
      </w:r>
      <w:r w:rsidRPr="0009697D">
        <w:t xml:space="preserve">ustomer doesn’t want to proceed, </w:t>
      </w:r>
      <w:r>
        <w:rPr>
          <w:lang w:eastAsia="zh-CN"/>
        </w:rPr>
        <w:t>they</w:t>
      </w:r>
      <w:r w:rsidRPr="0009697D">
        <w:t xml:space="preserve"> wal</w:t>
      </w:r>
      <w:r>
        <w:t>k away</w:t>
      </w:r>
      <w:r w:rsidRPr="0009697D">
        <w:t xml:space="preserve"> and no transaction is created.</w:t>
      </w:r>
    </w:p>
    <w:p w:rsidR="007240A1" w:rsidRDefault="007240A1" w:rsidP="007240A1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2A2A2A"/>
        </w:rPr>
      </w:pPr>
    </w:p>
    <w:sectPr w:rsidR="0072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2DF8"/>
    <w:multiLevelType w:val="multilevel"/>
    <w:tmpl w:val="6C1A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252C1"/>
    <w:multiLevelType w:val="hybridMultilevel"/>
    <w:tmpl w:val="01E4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E0F8E"/>
    <w:multiLevelType w:val="hybridMultilevel"/>
    <w:tmpl w:val="283AC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E0B94"/>
    <w:multiLevelType w:val="hybridMultilevel"/>
    <w:tmpl w:val="9BBC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3768B"/>
    <w:multiLevelType w:val="hybridMultilevel"/>
    <w:tmpl w:val="E438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F356E"/>
    <w:multiLevelType w:val="hybridMultilevel"/>
    <w:tmpl w:val="19D69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05D9B"/>
    <w:multiLevelType w:val="hybridMultilevel"/>
    <w:tmpl w:val="8DE29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946C8"/>
    <w:multiLevelType w:val="hybridMultilevel"/>
    <w:tmpl w:val="C018D5F6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DD0A3E"/>
    <w:multiLevelType w:val="hybridMultilevel"/>
    <w:tmpl w:val="6104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732E68"/>
    <w:multiLevelType w:val="hybridMultilevel"/>
    <w:tmpl w:val="EAC4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7647B"/>
    <w:multiLevelType w:val="hybridMultilevel"/>
    <w:tmpl w:val="8DE29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B671E"/>
    <w:multiLevelType w:val="hybridMultilevel"/>
    <w:tmpl w:val="70C6C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5"/>
  </w:num>
  <w:num w:numId="5">
    <w:abstractNumId w:val="4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9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FF"/>
    <w:rsid w:val="001919FF"/>
    <w:rsid w:val="001A0FF0"/>
    <w:rsid w:val="001B3767"/>
    <w:rsid w:val="001C2BE8"/>
    <w:rsid w:val="001F7FB1"/>
    <w:rsid w:val="002A200C"/>
    <w:rsid w:val="00345549"/>
    <w:rsid w:val="00350696"/>
    <w:rsid w:val="003C7754"/>
    <w:rsid w:val="003E6B3D"/>
    <w:rsid w:val="004027F8"/>
    <w:rsid w:val="00533718"/>
    <w:rsid w:val="005923DA"/>
    <w:rsid w:val="00711792"/>
    <w:rsid w:val="007240A1"/>
    <w:rsid w:val="00724724"/>
    <w:rsid w:val="008A352A"/>
    <w:rsid w:val="00927701"/>
    <w:rsid w:val="00946357"/>
    <w:rsid w:val="00996128"/>
    <w:rsid w:val="009E7E45"/>
    <w:rsid w:val="00A70F2D"/>
    <w:rsid w:val="00A755D8"/>
    <w:rsid w:val="00A83BD2"/>
    <w:rsid w:val="00A8760A"/>
    <w:rsid w:val="00AF094F"/>
    <w:rsid w:val="00AF6839"/>
    <w:rsid w:val="00C11516"/>
    <w:rsid w:val="00C1243D"/>
    <w:rsid w:val="00C22959"/>
    <w:rsid w:val="00CC5A9B"/>
    <w:rsid w:val="00D17F09"/>
    <w:rsid w:val="00D204A2"/>
    <w:rsid w:val="00D76BD4"/>
    <w:rsid w:val="00E72011"/>
    <w:rsid w:val="00EF18D4"/>
    <w:rsid w:val="00FB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F6FA"/>
  <w15:chartTrackingRefBased/>
  <w15:docId w15:val="{061E0498-B399-4F12-914A-EA12111ED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9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55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9F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19F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94635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755D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F7F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F7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37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767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350696"/>
    <w:pPr>
      <w:keepNext/>
      <w:spacing w:after="0" w:line="240" w:lineRule="auto"/>
    </w:pPr>
    <w:rPr>
      <w:lang w:val="sv-S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rPr>
      <w:cantSplit/>
    </w:tr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A6A6A6" w:themeFill="background1" w:themeFillShade="A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rsid w:val="00AF094F"/>
  </w:style>
  <w:style w:type="paragraph" w:styleId="Subtitle">
    <w:name w:val="Subtitle"/>
    <w:basedOn w:val="Normal"/>
    <w:next w:val="Normal"/>
    <w:link w:val="SubtitleChar"/>
    <w:uiPriority w:val="11"/>
    <w:qFormat/>
    <w:rsid w:val="00C229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2959"/>
    <w:rPr>
      <w:rFonts w:eastAsiaTheme="minorEastAsia"/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uiPriority w:val="99"/>
    <w:rsid w:val="00533718"/>
    <w:pPr>
      <w:spacing w:after="12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33718"/>
    <w:rPr>
      <w:rFonts w:eastAsia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unhideWhenUsed/>
    <w:rsid w:val="00724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240A1"/>
    <w:rPr>
      <w:i/>
      <w:iCs/>
    </w:rPr>
  </w:style>
  <w:style w:type="character" w:styleId="Strong">
    <w:name w:val="Strong"/>
    <w:basedOn w:val="DefaultParagraphFont"/>
    <w:uiPriority w:val="22"/>
    <w:qFormat/>
    <w:rsid w:val="007240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2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oxforddictionaries.com/usage/he-or-she-versus-th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mputer.org/cms/Computer.org/Publications/docs/2016CSStyleGuide.pdf" TargetMode="External"/><Relationship Id="rId5" Type="http://schemas.openxmlformats.org/officeDocument/2006/relationships/hyperlink" Target="https://www.computer.org/cms/Computer.org/Publications/docs/2016CSStyleGuide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W</dc:creator>
  <cp:keywords/>
  <dc:description/>
  <cp:lastModifiedBy>Ian W</cp:lastModifiedBy>
  <cp:revision>19</cp:revision>
  <dcterms:created xsi:type="dcterms:W3CDTF">2017-07-02T04:12:00Z</dcterms:created>
  <dcterms:modified xsi:type="dcterms:W3CDTF">2017-07-07T07:09:00Z</dcterms:modified>
</cp:coreProperties>
</file>