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40"/>
          <w:szCs w:val="40"/>
        </w:rPr>
        <w:t xml:space="preserve">Moving Average Crossover Strategy:</w:t>
      </w:r>
    </w:p>
    <w:p>
      <w:pPr>
        <w:spacing w:after="400" w:before="0"/>
        <w:jc w:val="center"/>
      </w:pPr>
      <w:r>
        <w:rPr>
          <w:rFonts w:ascii="Arial" w:cs="Arial" w:eastAsia="Arial" w:hAnsi="Arial"/>
          <w:b/>
          <w:bCs/>
          <w:color w:val="2E74B5"/>
          <w:sz w:val="36"/>
          <w:szCs w:val="36"/>
        </w:rPr>
        <w:t xml:space="preserve">A Backtesting Study on the Nifty 50 Universe (2019–2024)</w:t>
      </w:r>
    </w:p>
    <w:p>
      <w:pPr>
        <w:spacing w:after="120" w:before="120" w:line="276"/>
        <w:jc w:val="center"/>
      </w:pPr>
      <w:r>
        <w:rPr>
          <w:rFonts w:ascii="Arial" w:cs="Arial" w:eastAsia="Arial" w:hAnsi="Arial"/>
          <w:b w:val="false"/>
          <w:bCs w:val="false"/>
          <w:i w:val="false"/>
          <w:iCs w:val="false"/>
          <w:color w:val="000000"/>
          <w:sz w:val="22"/>
          <w:szCs w:val="22"/>
        </w:rPr>
        <w:t xml:space="preserve"/>
      </w:r>
    </w:p>
    <w:p>
      <w:pPr>
        <w:spacing w:after="120" w:before="120" w:line="276"/>
        <w:jc w:val="center"/>
      </w:pPr>
      <w:r>
        <w:rPr>
          <w:rFonts w:ascii="Arial" w:cs="Arial" w:eastAsia="Arial" w:hAnsi="Arial"/>
          <w:b/>
          <w:bCs/>
          <w:i w:val="false"/>
          <w:iCs w:val="false"/>
          <w:color w:val="000000"/>
          <w:sz w:val="24"/>
          <w:szCs w:val="24"/>
        </w:rPr>
        <w:t xml:space="preserve">Sachin</w:t>
      </w:r>
    </w:p>
    <w:p>
      <w:pPr>
        <w:spacing w:after="120" w:before="120" w:line="276"/>
        <w:jc w:val="center"/>
      </w:pPr>
      <w:r>
        <w:rPr>
          <w:rFonts w:ascii="Arial" w:cs="Arial" w:eastAsia="Arial" w:hAnsi="Arial"/>
          <w:b w:val="false"/>
          <w:bCs w:val="false"/>
          <w:i w:val="false"/>
          <w:iCs w:val="false"/>
          <w:color w:val="000000"/>
          <w:sz w:val="22"/>
          <w:szCs w:val="22"/>
        </w:rPr>
        <w:t xml:space="preserve">BBA (Business Analytics) — O.P. Jindal Global University</w:t>
      </w:r>
    </w:p>
    <w:p>
      <w:pPr>
        <w:spacing w:after="120" w:before="120" w:line="276"/>
        <w:jc w:val="center"/>
      </w:pPr>
      <w:r>
        <w:rPr>
          <w:rFonts w:ascii="Arial" w:cs="Arial" w:eastAsia="Arial" w:hAnsi="Arial"/>
          <w:b w:val="false"/>
          <w:bCs w:val="false"/>
          <w:i/>
          <w:iCs/>
          <w:color w:val="000000"/>
          <w:sz w:val="22"/>
          <w:szCs w:val="22"/>
        </w:rPr>
        <w:t xml:space="preserve">June 2026</w:t>
      </w:r>
    </w:p>
    <w:p>
      <w:pPr>
        <w:spacing w:after="80" w:before="80"/>
      </w:pPr>
      <w:r>
        <w:t xml:space="preserve"/>
      </w:r>
    </w:p>
    <w:p>
      <w:pPr>
        <w:spacing w:after="80" w:before="80"/>
      </w:pPr>
      <w:r>
        <w:t xml:space="preserve"/>
      </w:r>
    </w:p>
    <w:p>
      <w:r>
        <w:br w:type="page"/>
      </w:r>
    </w:p>
    <w:p>
      <w:pPr>
        <w:pStyle w:val="Heading1"/>
        <w:spacing w:after="160" w:before="300"/>
      </w:pPr>
      <w:r>
        <w:rPr>
          <w:rFonts w:ascii="Arial" w:cs="Arial" w:eastAsia="Arial" w:hAnsi="Arial"/>
          <w:b/>
          <w:bCs/>
          <w:color w:val="1F4E79"/>
          <w:sz w:val="28"/>
          <w:szCs w:val="28"/>
        </w:rPr>
        <w:t xml:space="preserve">Abstract</w:t>
      </w:r>
    </w:p>
    <w:p>
      <w:pPr>
        <w:spacing w:after="120" w:before="120" w:line="276"/>
        <w:jc w:val="both"/>
      </w:pPr>
      <w:r>
        <w:rPr>
          <w:rFonts w:ascii="Arial" w:cs="Arial" w:eastAsia="Arial" w:hAnsi="Arial"/>
          <w:b w:val="false"/>
          <w:bCs w:val="false"/>
          <w:i w:val="false"/>
          <w:iCs w:val="false"/>
          <w:color w:val="000000"/>
          <w:sz w:val="22"/>
          <w:szCs w:val="22"/>
        </w:rPr>
        <w:t xml:space="preserve">This paper evaluates the performance of a Golden Cross / Death Cross moving average (MA) crossover strategy applied to the Nifty 50 stock universe over a six-year period from January 2019 to December 2024. Using Python-based backtesting infrastructure and adjusted daily price data sourced via Yahoo Finance, the strategy generates buy and sell signals based on the 50-day MA crossing above or below the 200-day MA. Monthly portfolio rebalancing is simulated with equal-weight capital allocation across all stocks exhibiting active Golden Cross signals, with a 0.1% per-trade transaction cost applied. Results are benchmarked against an equal-weight buy-and-hold portfolio of the same universe.</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The strategy produced a total return of +113.6% (CAGR 13.5%, Sharpe 0.85) compared to the benchmark's +210.3% (CAGR 20.8%, Sharpe 1.11). The MA crossover strategy underperformed on both absolute and risk-adjusted returns, with comparable maximum drawdowns of approximately -36% for both. The findings suggest that in the context of India's strong bull market from 2020 to 2024, passive buy-and-hold significantly outperformed active trend-following. The study contributes practical insight into the limitations of MA crossover strategies during fast crash-and-recovery cycles.</w:t>
      </w:r>
    </w:p>
    <w:p>
      <w:pPr>
        <w:spacing w:after="80" w:before="80"/>
      </w:pPr>
      <w:r>
        <w:t xml:space="preserve"/>
      </w:r>
    </w:p>
    <w:p>
      <w:pPr>
        <w:spacing w:after="120" w:before="120" w:line="276"/>
        <w:jc w:val="both"/>
      </w:pPr>
      <w:r>
        <w:rPr>
          <w:rFonts w:ascii="Arial" w:cs="Arial" w:eastAsia="Arial" w:hAnsi="Arial"/>
          <w:b w:val="false"/>
          <w:bCs w:val="false"/>
          <w:i/>
          <w:iCs/>
          <w:color w:val="000000"/>
          <w:sz w:val="22"/>
          <w:szCs w:val="22"/>
        </w:rPr>
        <w:t xml:space="preserve">Keywords: moving average crossover, golden cross, death cross, algorithmic trading, backtesting, Nifty 50, quantitative finance, trend following</w:t>
      </w:r>
    </w:p>
    <w:p>
      <w:r>
        <w:br w:type="page"/>
      </w:r>
    </w:p>
    <w:p>
      <w:pPr>
        <w:pStyle w:val="Heading1"/>
        <w:spacing w:after="160" w:before="300"/>
      </w:pPr>
      <w:r>
        <w:rPr>
          <w:rFonts w:ascii="Arial" w:cs="Arial" w:eastAsia="Arial" w:hAnsi="Arial"/>
          <w:b/>
          <w:bCs/>
          <w:color w:val="1F4E79"/>
          <w:sz w:val="28"/>
          <w:szCs w:val="28"/>
        </w:rPr>
        <w:t xml:space="preserve">1. Introduction</w:t>
      </w:r>
    </w:p>
    <w:p>
      <w:pPr>
        <w:spacing w:after="120" w:before="120" w:line="276"/>
        <w:jc w:val="both"/>
      </w:pPr>
      <w:r>
        <w:rPr>
          <w:rFonts w:ascii="Arial" w:cs="Arial" w:eastAsia="Arial" w:hAnsi="Arial"/>
          <w:b w:val="false"/>
          <w:bCs w:val="false"/>
          <w:i w:val="false"/>
          <w:iCs w:val="false"/>
          <w:color w:val="000000"/>
          <w:sz w:val="22"/>
          <w:szCs w:val="22"/>
        </w:rPr>
        <w:t xml:space="preserve">Technical analysis has long been a subject of debate in financial markets. Proponents argue that price-based signals capture momentum and trend information that can be systematically exploited. Critics, drawing from the Efficient Market Hypothesis (Fama, 1970), contend that historical price patterns cannot reliably predict future returns in informationally efficient markets.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Among technical strategies, the moving average (MA) crossover is one of the most studied and widely applied. The Golden Cross — where a short-period MA crosses above a long-period MA — is widely interpreted as a bullish signal, while the Death Cross carries bearish implications. Institutional desks and retail traders alike monitor these signals, particularly the 50-day and 200-day MA combination, which has achieved near-canonical status in equity markets.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Despite its popularity, empirical evidence on MA crossover profitability is mixed. Studies in developed markets generally find diminishing returns from MA strategies over time, attributing this to increased market efficiency and the strategy's tendency to lag during sharp reversals. Less is known, however, about its performance in emerging markets like India, which combine periods of high growth with periodic macro-driven shocks.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This study addresses that gap by backtesting the 50/200-day MA crossover strategy on the Nifty 50 universe across a six-year window that includes the COVID-19 market crash (2020), a prolonged bull market (2021–2022), and subsequent volatility cycles. The objective is not merely to determine whether the strategy beats the market, but to understand why it performs as it does — and what that reveals about the strategy's structural assumptions.</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1.1 Research Questions</w:t>
      </w:r>
    </w:p>
    <w:p>
      <w:pPr>
        <w:pStyle w:val="ListParagraph"/>
        <w:numPr>
          <w:ilvl w:val="0"/>
          <w:numId w:val="2"/>
        </w:numPr>
        <w:spacing w:after="60" w:before="60"/>
      </w:pPr>
      <w:r>
        <w:rPr>
          <w:rFonts w:ascii="Arial" w:cs="Arial" w:eastAsia="Arial" w:hAnsi="Arial"/>
          <w:sz w:val="22"/>
          <w:szCs w:val="22"/>
        </w:rPr>
        <w:t xml:space="preserve">Does the MA crossover strategy generate superior risk-adjusted returns compared to a passive buy-and-hold approach in the Nifty 50 universe over 2019–2024?</w:t>
      </w:r>
    </w:p>
    <w:p>
      <w:pPr>
        <w:pStyle w:val="ListParagraph"/>
        <w:numPr>
          <w:ilvl w:val="0"/>
          <w:numId w:val="2"/>
        </w:numPr>
        <w:spacing w:after="60" w:before="60"/>
      </w:pPr>
      <w:r>
        <w:rPr>
          <w:rFonts w:ascii="Arial" w:cs="Arial" w:eastAsia="Arial" w:hAnsi="Arial"/>
          <w:sz w:val="22"/>
          <w:szCs w:val="22"/>
        </w:rPr>
        <w:t xml:space="preserve">How does the strategy behave during distinct market regimes — specifically the COVID crash, the subsequent recovery, and the post-2022 consolidation?</w:t>
      </w:r>
    </w:p>
    <w:p>
      <w:pPr>
        <w:pStyle w:val="ListParagraph"/>
        <w:numPr>
          <w:ilvl w:val="0"/>
          <w:numId w:val="2"/>
        </w:numPr>
        <w:spacing w:after="60" w:before="60"/>
      </w:pPr>
      <w:r>
        <w:rPr>
          <w:rFonts w:ascii="Arial" w:cs="Arial" w:eastAsia="Arial" w:hAnsi="Arial"/>
          <w:sz w:val="22"/>
          <w:szCs w:val="22"/>
        </w:rPr>
        <w:t xml:space="preserve">What are the practical limitations of MA crossover strategies in fast crash-and-recovery market cycles?</w:t>
      </w:r>
    </w:p>
    <w:p>
      <w:r>
        <w:br w:type="page"/>
      </w:r>
    </w:p>
    <w:p>
      <w:pPr>
        <w:pStyle w:val="Heading1"/>
        <w:spacing w:after="160" w:before="300"/>
      </w:pPr>
      <w:r>
        <w:rPr>
          <w:rFonts w:ascii="Arial" w:cs="Arial" w:eastAsia="Arial" w:hAnsi="Arial"/>
          <w:b/>
          <w:bCs/>
          <w:color w:val="1F4E79"/>
          <w:sz w:val="28"/>
          <w:szCs w:val="28"/>
        </w:rPr>
        <w:t xml:space="preserve">2. Literature Review</w:t>
      </w:r>
    </w:p>
    <w:p>
      <w:pPr>
        <w:spacing w:after="120" w:before="120" w:line="276"/>
        <w:jc w:val="both"/>
      </w:pPr>
      <w:r>
        <w:rPr>
          <w:rFonts w:ascii="Arial" w:cs="Arial" w:eastAsia="Arial" w:hAnsi="Arial"/>
          <w:b w:val="false"/>
          <w:bCs w:val="false"/>
          <w:i w:val="false"/>
          <w:iCs w:val="false"/>
          <w:color w:val="000000"/>
          <w:sz w:val="22"/>
          <w:szCs w:val="22"/>
        </w:rPr>
        <w:t xml:space="preserve">The academic literature on moving average strategies spans over five decades. Fama and Blume (1966) were among the first to systematically test filter rules — a precursor to MA strategies — and found limited profitability after transaction costs. Brock, Lakonishok, and LeBaron (1992) offered a more optimistic assessment, finding statistically significant predictive power for MA rules in the Dow Jones index from 1897 to 1986. However, Sullivan, Timmermann, and White (1999) challenged these results, arguing that data-snooping biases inflated performance estimates.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In emerging markets, Ratner and Leal (1999) found MA strategies to be profitable in several Asian and Latin American markets during the 1980s and 1990s, suggesting that lower market efficiency in these contexts may provide exploitable trends. More recent work, however, has found that profitability in emerging markets has declined as institutional participation and information efficiency have improved.</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For Indian markets specifically, studies have generally found mixed results. Anbalagan and Maheswari (2015) found short-term MA crossover strategies to be profitable on the NSE over 2006–2012, while Gupta and Aggarwal (2019) found that the advantage largely disappeared once transaction costs and slippage were accounted for. This paper contributes to the latter body of evidence, with a focus on the post-2019 period characterized by a distinct macro environment.</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A key theoretical challenge for MA crossover strategies is their structural lag. Because MAs are calculated on past prices, crossover signals necessarily occur after the trend has begun. In slow-moving, sustained trends, this lag is a minor cost. In fast crash-and-recovery cycles — such as the COVID-19 shock — the lag can cause the strategy to be fully invested during the drawdown and to re-enter only after a significant portion of the recovery has already occurred.</w:t>
      </w:r>
    </w:p>
    <w:p>
      <w:r>
        <w:br w:type="page"/>
      </w:r>
    </w:p>
    <w:p>
      <w:pPr>
        <w:pStyle w:val="Heading1"/>
        <w:spacing w:after="160" w:before="300"/>
      </w:pPr>
      <w:r>
        <w:rPr>
          <w:rFonts w:ascii="Arial" w:cs="Arial" w:eastAsia="Arial" w:hAnsi="Arial"/>
          <w:b/>
          <w:bCs/>
          <w:color w:val="1F4E79"/>
          <w:sz w:val="28"/>
          <w:szCs w:val="28"/>
        </w:rPr>
        <w:t xml:space="preserve">3. Methodology</w:t>
      </w:r>
    </w:p>
    <w:p>
      <w:pPr>
        <w:pStyle w:val="Heading2"/>
        <w:spacing w:after="120" w:before="200"/>
      </w:pPr>
      <w:r>
        <w:rPr>
          <w:rFonts w:ascii="Arial" w:cs="Arial" w:eastAsia="Arial" w:hAnsi="Arial"/>
          <w:b/>
          <w:bCs/>
          <w:color w:val="2E74B5"/>
          <w:sz w:val="24"/>
          <w:szCs w:val="24"/>
        </w:rPr>
        <w:t xml:space="preserve">3.1 Data</w:t>
      </w:r>
    </w:p>
    <w:p>
      <w:pPr>
        <w:spacing w:after="120" w:before="120" w:line="276"/>
        <w:jc w:val="both"/>
      </w:pPr>
      <w:r>
        <w:rPr>
          <w:rFonts w:ascii="Arial" w:cs="Arial" w:eastAsia="Arial" w:hAnsi="Arial"/>
          <w:b w:val="false"/>
          <w:bCs w:val="false"/>
          <w:i w:val="false"/>
          <w:iCs w:val="false"/>
          <w:color w:val="000000"/>
          <w:sz w:val="22"/>
          <w:szCs w:val="22"/>
        </w:rPr>
        <w:t xml:space="preserve">Daily adjusted closing price data was collected for all 50 constituents of the Nifty 50 index using the yfinance Python library, which sources data from Yahoo Finance. The sample period runs from January 1, 2019 to December 31, 2024, yielding approximately 1,480 trading days. Adjusted prices account for dividends and stock splits. Stocks with more than 10% missing data were excluded from the universe; minor gaps were forward-filled.</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3.2 Signal Generation</w:t>
      </w:r>
    </w:p>
    <w:p>
      <w:pPr>
        <w:spacing w:after="120" w:before="120" w:line="276"/>
        <w:jc w:val="both"/>
      </w:pPr>
      <w:r>
        <w:rPr>
          <w:rFonts w:ascii="Arial" w:cs="Arial" w:eastAsia="Arial" w:hAnsi="Arial"/>
          <w:b w:val="false"/>
          <w:bCs w:val="false"/>
          <w:i w:val="false"/>
          <w:iCs w:val="false"/>
          <w:color w:val="000000"/>
          <w:sz w:val="22"/>
          <w:szCs w:val="22"/>
        </w:rPr>
        <w:t xml:space="preserve">For each stock in the universe, two rolling moving averages were computed on each trading day:</w:t>
      </w:r>
    </w:p>
    <w:p>
      <w:pPr>
        <w:pStyle w:val="ListParagraph"/>
        <w:numPr>
          <w:ilvl w:val="0"/>
          <w:numId w:val="2"/>
        </w:numPr>
        <w:spacing w:after="60" w:before="60"/>
      </w:pPr>
      <w:r>
        <w:rPr>
          <w:rFonts w:ascii="Arial" w:cs="Arial" w:eastAsia="Arial" w:hAnsi="Arial"/>
          <w:sz w:val="22"/>
          <w:szCs w:val="22"/>
        </w:rPr>
        <w:t xml:space="preserve">Short-term MA: 50-day simple moving average of adjusted closing price</w:t>
      </w:r>
    </w:p>
    <w:p>
      <w:pPr>
        <w:pStyle w:val="ListParagraph"/>
        <w:numPr>
          <w:ilvl w:val="0"/>
          <w:numId w:val="2"/>
        </w:numPr>
        <w:spacing w:after="60" w:before="60"/>
      </w:pPr>
      <w:r>
        <w:rPr>
          <w:rFonts w:ascii="Arial" w:cs="Arial" w:eastAsia="Arial" w:hAnsi="Arial"/>
          <w:sz w:val="22"/>
          <w:szCs w:val="22"/>
        </w:rPr>
        <w:t xml:space="preserve">Long-term MA: 200-day simple moving average of adjusted closing price</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A binary position indicator was assigned: 1 (long / bullish) when the 50-day MA exceeds the 200-day MA, and 0 (flat / bearish) otherwise. A Golden Cross is defined as the day on which the position transitions from 0 to 1, and a Death Cross as the transition from 1 to 0. The strategy holds a long position between a Golden Cross and the subsequent Death Cross, and holds no position (sits in cash) otherwise.</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3.3 Portfolio Construction</w:t>
      </w:r>
    </w:p>
    <w:p>
      <w:pPr>
        <w:spacing w:after="120" w:before="120" w:line="276"/>
        <w:jc w:val="both"/>
      </w:pPr>
      <w:r>
        <w:rPr>
          <w:rFonts w:ascii="Arial" w:cs="Arial" w:eastAsia="Arial" w:hAnsi="Arial"/>
          <w:b w:val="false"/>
          <w:bCs w:val="false"/>
          <w:i w:val="false"/>
          <w:iCs w:val="false"/>
          <w:color w:val="000000"/>
          <w:sz w:val="22"/>
          <w:szCs w:val="22"/>
        </w:rPr>
        <w:t xml:space="preserve">The portfolio is rebalanced on the first trading day of each calendar month using the following procedure:</w:t>
      </w:r>
    </w:p>
    <w:p>
      <w:pPr>
        <w:pStyle w:val="ListParagraph"/>
        <w:numPr>
          <w:ilvl w:val="0"/>
          <w:numId w:val="2"/>
        </w:numPr>
        <w:spacing w:after="60" w:before="60"/>
      </w:pPr>
      <w:r>
        <w:rPr>
          <w:rFonts w:ascii="Arial" w:cs="Arial" w:eastAsia="Arial" w:hAnsi="Arial"/>
          <w:sz w:val="22"/>
          <w:szCs w:val="22"/>
        </w:rPr>
        <w:t xml:space="preserve">All existing holdings are liquidated at the day's closing price, less a 0.1% sell-side transaction cost</w:t>
      </w:r>
    </w:p>
    <w:p>
      <w:pPr>
        <w:pStyle w:val="ListParagraph"/>
        <w:numPr>
          <w:ilvl w:val="0"/>
          <w:numId w:val="2"/>
        </w:numPr>
        <w:spacing w:after="60" w:before="60"/>
      </w:pPr>
      <w:r>
        <w:rPr>
          <w:rFonts w:ascii="Arial" w:cs="Arial" w:eastAsia="Arial" w:hAnsi="Arial"/>
          <w:sz w:val="22"/>
          <w:szCs w:val="22"/>
        </w:rPr>
        <w:t xml:space="preserve">Stocks exhibiting an active Golden Cross signal (50-day MA &gt; 200-day MA) on the rebalance date are identified</w:t>
      </w:r>
    </w:p>
    <w:p>
      <w:pPr>
        <w:pStyle w:val="ListParagraph"/>
        <w:numPr>
          <w:ilvl w:val="0"/>
          <w:numId w:val="2"/>
        </w:numPr>
        <w:spacing w:after="60" w:before="60"/>
      </w:pPr>
      <w:r>
        <w:rPr>
          <w:rFonts w:ascii="Arial" w:cs="Arial" w:eastAsia="Arial" w:hAnsi="Arial"/>
          <w:sz w:val="22"/>
          <w:szCs w:val="22"/>
        </w:rPr>
        <w:t xml:space="preserve">Available capital is allocated equally across all qualifying stocks, net of a 0.1% buy-side transaction cost</w:t>
      </w:r>
    </w:p>
    <w:p>
      <w:pPr>
        <w:pStyle w:val="ListParagraph"/>
        <w:numPr>
          <w:ilvl w:val="0"/>
          <w:numId w:val="2"/>
        </w:numPr>
        <w:spacing w:after="60" w:before="60"/>
      </w:pPr>
      <w:r>
        <w:rPr>
          <w:rFonts w:ascii="Arial" w:cs="Arial" w:eastAsia="Arial" w:hAnsi="Arial"/>
          <w:sz w:val="22"/>
          <w:szCs w:val="22"/>
        </w:rPr>
        <w:t xml:space="preserve">Stocks without a valid price on the rebalance date are excluded</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The initial capital is ₹10,00,000 (INR 1,000,000). The portfolio is assumed to be fully invested at all times when qualifying stocks exist; otherwise, cash earns no return.</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3.4 Benchmark</w:t>
      </w:r>
    </w:p>
    <w:p>
      <w:pPr>
        <w:spacing w:after="120" w:before="120" w:line="276"/>
        <w:jc w:val="both"/>
      </w:pPr>
      <w:r>
        <w:rPr>
          <w:rFonts w:ascii="Arial" w:cs="Arial" w:eastAsia="Arial" w:hAnsi="Arial"/>
          <w:b w:val="false"/>
          <w:bCs w:val="false"/>
          <w:i w:val="false"/>
          <w:iCs w:val="false"/>
          <w:color w:val="000000"/>
          <w:sz w:val="22"/>
          <w:szCs w:val="22"/>
        </w:rPr>
        <w:t xml:space="preserve">The benchmark is an equal-weight buy-and-hold portfolio of all Nifty 50 stocks with valid prices on the first trading day of the sample. Shares are purchased on Day 1 in equal INR amounts and held without rebalancing through December 2024. This benchmark captures the returns available from passive exposure to the same universe, net of the initial purchase costs.</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3.5 Performance Metrics</w:t>
      </w:r>
    </w:p>
    <w:p>
      <w:pPr>
        <w:spacing w:after="120" w:before="120" w:line="276"/>
        <w:jc w:val="both"/>
      </w:pPr>
      <w:r>
        <w:rPr>
          <w:rFonts w:ascii="Arial" w:cs="Arial" w:eastAsia="Arial" w:hAnsi="Arial"/>
          <w:b w:val="false"/>
          <w:bCs w:val="false"/>
          <w:i w:val="false"/>
          <w:iCs w:val="false"/>
          <w:color w:val="000000"/>
          <w:sz w:val="22"/>
          <w:szCs w:val="22"/>
        </w:rPr>
        <w:t xml:space="preserve">Strategy performance is evaluated using the following metrics:</w:t>
      </w:r>
    </w:p>
    <w:p>
      <w:pPr>
        <w:pStyle w:val="ListParagraph"/>
        <w:numPr>
          <w:ilvl w:val="0"/>
          <w:numId w:val="2"/>
        </w:numPr>
        <w:spacing w:after="60" w:before="60"/>
      </w:pPr>
      <w:r>
        <w:rPr>
          <w:rFonts w:ascii="Arial" w:cs="Arial" w:eastAsia="Arial" w:hAnsi="Arial"/>
          <w:sz w:val="22"/>
          <w:szCs w:val="22"/>
        </w:rPr>
        <w:t xml:space="preserve">Total Return: percentage change in portfolio value over the full sample period</w:t>
      </w:r>
    </w:p>
    <w:p>
      <w:pPr>
        <w:pStyle w:val="ListParagraph"/>
        <w:numPr>
          <w:ilvl w:val="0"/>
          <w:numId w:val="2"/>
        </w:numPr>
        <w:spacing w:after="60" w:before="60"/>
      </w:pPr>
      <w:r>
        <w:rPr>
          <w:rFonts w:ascii="Arial" w:cs="Arial" w:eastAsia="Arial" w:hAnsi="Arial"/>
          <w:sz w:val="22"/>
          <w:szCs w:val="22"/>
        </w:rPr>
        <w:t xml:space="preserve">CAGR (Compound Annual Growth Rate): annualised equivalent of total return</w:t>
      </w:r>
    </w:p>
    <w:p>
      <w:pPr>
        <w:pStyle w:val="ListParagraph"/>
        <w:numPr>
          <w:ilvl w:val="0"/>
          <w:numId w:val="2"/>
        </w:numPr>
        <w:spacing w:after="60" w:before="60"/>
      </w:pPr>
      <w:r>
        <w:rPr>
          <w:rFonts w:ascii="Arial" w:cs="Arial" w:eastAsia="Arial" w:hAnsi="Arial"/>
          <w:sz w:val="22"/>
          <w:szCs w:val="22"/>
        </w:rPr>
        <w:t xml:space="preserve">Sharpe Ratio: annualised return per unit of annualised volatility, using daily returns scaled by √252</w:t>
      </w:r>
    </w:p>
    <w:p>
      <w:pPr>
        <w:pStyle w:val="ListParagraph"/>
        <w:numPr>
          <w:ilvl w:val="0"/>
          <w:numId w:val="2"/>
        </w:numPr>
        <w:spacing w:after="60" w:before="60"/>
      </w:pPr>
      <w:r>
        <w:rPr>
          <w:rFonts w:ascii="Arial" w:cs="Arial" w:eastAsia="Arial" w:hAnsi="Arial"/>
          <w:sz w:val="22"/>
          <w:szCs w:val="22"/>
        </w:rPr>
        <w:t xml:space="preserve">Maximum Drawdown: largest peak-to-trough decline in portfolio value</w:t>
      </w:r>
    </w:p>
    <w:p>
      <w:pPr>
        <w:pStyle w:val="ListParagraph"/>
        <w:numPr>
          <w:ilvl w:val="0"/>
          <w:numId w:val="2"/>
        </w:numPr>
        <w:spacing w:after="60" w:before="60"/>
      </w:pPr>
      <w:r>
        <w:rPr>
          <w:rFonts w:ascii="Arial" w:cs="Arial" w:eastAsia="Arial" w:hAnsi="Arial"/>
          <w:sz w:val="22"/>
          <w:szCs w:val="22"/>
        </w:rPr>
        <w:t xml:space="preserve">Volatility: annualised standard deviation of daily returns</w:t>
      </w:r>
    </w:p>
    <w:p>
      <w:r>
        <w:br w:type="page"/>
      </w:r>
    </w:p>
    <w:p>
      <w:pPr>
        <w:pStyle w:val="Heading1"/>
        <w:spacing w:after="160" w:before="300"/>
      </w:pPr>
      <w:r>
        <w:rPr>
          <w:rFonts w:ascii="Arial" w:cs="Arial" w:eastAsia="Arial" w:hAnsi="Arial"/>
          <w:b/>
          <w:bCs/>
          <w:color w:val="1F4E79"/>
          <w:sz w:val="28"/>
          <w:szCs w:val="28"/>
        </w:rPr>
        <w:t xml:space="preserve">4. Results</w:t>
      </w:r>
    </w:p>
    <w:p>
      <w:pPr>
        <w:pStyle w:val="Heading2"/>
        <w:spacing w:after="120" w:before="200"/>
      </w:pPr>
      <w:r>
        <w:rPr>
          <w:rFonts w:ascii="Arial" w:cs="Arial" w:eastAsia="Arial" w:hAnsi="Arial"/>
          <w:b/>
          <w:bCs/>
          <w:color w:val="2E74B5"/>
          <w:sz w:val="24"/>
          <w:szCs w:val="24"/>
        </w:rPr>
        <w:t xml:space="preserve">4.1 Summary Performance</w:t>
      </w:r>
    </w:p>
    <w:p>
      <w:pPr>
        <w:spacing w:after="120" w:before="120" w:line="276"/>
        <w:jc w:val="both"/>
      </w:pPr>
      <w:r>
        <w:rPr>
          <w:rFonts w:ascii="Arial" w:cs="Arial" w:eastAsia="Arial" w:hAnsi="Arial"/>
          <w:b w:val="false"/>
          <w:bCs w:val="false"/>
          <w:i w:val="false"/>
          <w:iCs w:val="false"/>
          <w:color w:val="000000"/>
          <w:sz w:val="22"/>
          <w:szCs w:val="22"/>
        </w:rPr>
        <w:t xml:space="preserve">Table 1 presents the full performance comparison between the MA crossover strategy and the buy-and-hold benchmark over the 2019–2024 period.</w:t>
      </w:r>
    </w:p>
    <w:p>
      <w:pPr>
        <w:spacing w:after="80" w:before="80"/>
      </w:pPr>
      <w:r>
        <w:t xml:space="preserve"/>
      </w:r>
    </w:p>
    <w:p>
      <w:pPr>
        <w:spacing w:after="80" w:before="160"/>
        <w:jc w:val="center"/>
      </w:pPr>
      <w:r>
        <w:rPr>
          <w:rFonts w:ascii="Arial" w:cs="Arial" w:eastAsia="Arial" w:hAnsi="Arial"/>
          <w:b/>
          <w:bCs/>
          <w:sz w:val="22"/>
          <w:szCs w:val="22"/>
        </w:rPr>
        <w:t xml:space="preserve">Table 1: Strategy vs Benchmark Performance (2019–2024)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 Crossover Strategy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Buy &amp; Hold Benchmark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 Return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+210.3%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CAGR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20.8%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Sharpe Ratio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Max Drawdown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Volatility (% p.a.)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16.9%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Final Value (₹10L 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₹21,35,820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₹31,03,142</w:t>
            </w:r>
          </w:p>
        </w:tc>
      </w:tr>
    </w:tbl>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The MA crossover strategy delivered a total return of +113.6% over the period, turning ₹10,00,000 into approximately ₹21,35,820. While this represents a meaningful absolute return — equivalent to a 13.5% CAGR — it substantially underperforms the benchmark's +210.3% total return (CAGR 20.8%, final value ₹31,03,142).</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On a risk-adjusted basis, the underperformance is also evident. The strategy's Sharpe ratio of 0.85 compares unfavourably to the benchmark's 1.11, indicating that each unit of volatility borne by the strategy was less well compensated. Notably, the strategy's maximum drawdown of -36.7% is marginally worse than the benchmark's -36.3%, meaning the strategy did not provide the downside protection that is typically cited as its primary advantage.</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4.2 Equity Curve Analysis</w:t>
      </w:r>
    </w:p>
    <w:p>
      <w:pPr>
        <w:spacing w:after="120" w:before="120" w:line="276"/>
        <w:jc w:val="both"/>
      </w:pPr>
      <w:r>
        <w:rPr>
          <w:rFonts w:ascii="Arial" w:cs="Arial" w:eastAsia="Arial" w:hAnsi="Arial"/>
          <w:b w:val="false"/>
          <w:bCs w:val="false"/>
          <w:i w:val="false"/>
          <w:iCs w:val="false"/>
          <w:color w:val="000000"/>
          <w:sz w:val="22"/>
          <w:szCs w:val="22"/>
        </w:rPr>
        <w:t xml:space="preserve">The equity curves reveal three distinct periods in the strategy's relative performance:</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Pre-COVID (2019 – February 2020): Both the strategy and the benchmark tracked closely, with the benchmark holding a modest lead. During this period, most Nifty 50 stocks were in a weak uptrend, resulting in a broadly invested portfolio. The strategy generated returns marginally below the benchmark due to monthly rebalancing transaction costs.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COVID Crash and Recovery (March 2020 – December 2021): This period is critical to understanding the strategy's underperformance. The COVID-19 crash in March 2020 was extraordinarily fast — the Nifty 50 fell approximately 38% in roughly six weeks. Because the 200-day MA adjusts slowly, the Death Cross signal only emerged after the worst of the decline. Consequently, the strategy was nearly fully invested during the peak drawdown, providing minimal protection. More damaging was the re-entry lag: the Golden Cross signals following the recovery bottom emerged in late 2020 and early 2021, by which time the benchmark had already captured a significant portion of the recovery rally. This asymmetric lag — present during both the crash and the recovery — is the primary source of underperformance.</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Post-2022 Consolidation and Bull Run (2022–2024): In the subsequent period, both the strategy and benchmark experienced the 2022 global equity selloff. The number of active Golden Cross signals dropped sharply during this period (as visible in Panel 3 of the equity chart), indicating that the strategy correctly identified the deteriorating trend environment and reduced its market exposure. However, the benchmark's cumulative head start from the superior recovery capture in 2020–2021 was too large to overcome.</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4.3 Portfolio Composition Over Time</w:t>
      </w:r>
    </w:p>
    <w:p>
      <w:pPr>
        <w:spacing w:after="120" w:before="120" w:line="276"/>
        <w:jc w:val="both"/>
      </w:pPr>
      <w:r>
        <w:rPr>
          <w:rFonts w:ascii="Arial" w:cs="Arial" w:eastAsia="Arial" w:hAnsi="Arial"/>
          <w:b w:val="false"/>
          <w:bCs w:val="false"/>
          <w:i w:val="false"/>
          <w:iCs w:val="false"/>
          <w:color w:val="000000"/>
          <w:sz w:val="22"/>
          <w:szCs w:val="22"/>
        </w:rPr>
        <w:t xml:space="preserve">Panel 3 of the backtesting chart plots the number of Nifty 50 stocks held in the portfolio on any given day. At the strategy's most concentrated, nearly all 50 stocks exhibited active Golden Cross signals (mid-2021 bull market). At its most defensive, the portfolio contracted to fewer than 10 stocks (post-COVID crash trough, late 2022 correction). This dynamic exposure is the intended feature of the strategy — it is designed to reduce market exposure during downtrends. In practice, the speed of the 2020 crash meant the defensive shift occurred too late to matter, while the slow re-entry cost the strategy meaningful upside.</w:t>
      </w:r>
    </w:p>
    <w:p>
      <w:r>
        <w:br w:type="page"/>
      </w:r>
    </w:p>
    <w:p>
      <w:pPr>
        <w:pStyle w:val="Heading1"/>
        <w:spacing w:after="160" w:before="300"/>
      </w:pPr>
      <w:r>
        <w:rPr>
          <w:rFonts w:ascii="Arial" w:cs="Arial" w:eastAsia="Arial" w:hAnsi="Arial"/>
          <w:b/>
          <w:bCs/>
          <w:color w:val="1F4E79"/>
          <w:sz w:val="28"/>
          <w:szCs w:val="28"/>
        </w:rPr>
        <w:t xml:space="preserve">5. Discussion</w:t>
      </w:r>
    </w:p>
    <w:p>
      <w:pPr>
        <w:pStyle w:val="Heading2"/>
        <w:spacing w:after="120" w:before="200"/>
      </w:pPr>
      <w:r>
        <w:rPr>
          <w:rFonts w:ascii="Arial" w:cs="Arial" w:eastAsia="Arial" w:hAnsi="Arial"/>
          <w:b/>
          <w:bCs/>
          <w:color w:val="2E74B5"/>
          <w:sz w:val="24"/>
          <w:szCs w:val="24"/>
        </w:rPr>
        <w:t xml:space="preserve">5.1 Why MA Crossover Underperformed in This Period</w:t>
      </w:r>
    </w:p>
    <w:p>
      <w:pPr>
        <w:spacing w:after="120" w:before="120" w:line="276"/>
        <w:jc w:val="both"/>
      </w:pPr>
      <w:r>
        <w:rPr>
          <w:rFonts w:ascii="Arial" w:cs="Arial" w:eastAsia="Arial" w:hAnsi="Arial"/>
          <w:b w:val="false"/>
          <w:bCs w:val="false"/>
          <w:i w:val="false"/>
          <w:iCs w:val="false"/>
          <w:color w:val="000000"/>
          <w:sz w:val="22"/>
          <w:szCs w:val="22"/>
        </w:rPr>
        <w:t xml:space="preserve">The 2019–2024 period in Indian equities was characterised by a single sharp crash followed by one of the strongest bull markets in recent history. This market regime is precisely where MA crossover strategies are structurally disadvantaged. The strategy's core assumption is that trends persist long enough to be profitably exploited after the signal fires. In a V-shaped recovery, by definition, the trend reversal is violent and brief — the opposite of what the strategy needs.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Furthermore, India's post-COVID recovery was driven heavily by retail investor participation, government stimulus, and global liquidity conditions that produced an unusually sustained uptrend. In such an environment, simply holding equities — the benchmark approach — was the dominant strategy. The transaction costs of monthly rebalancing compounded the drag, with the strategy executing 72 rebalance cycles over the six-year period.</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5.2 When MA Crossover Strategies Work Best</w:t>
      </w:r>
    </w:p>
    <w:p>
      <w:pPr>
        <w:spacing w:after="120" w:before="120" w:line="276"/>
        <w:jc w:val="both"/>
      </w:pPr>
      <w:r>
        <w:rPr>
          <w:rFonts w:ascii="Arial" w:cs="Arial" w:eastAsia="Arial" w:hAnsi="Arial"/>
          <w:b w:val="false"/>
          <w:bCs w:val="false"/>
          <w:i w:val="false"/>
          <w:iCs w:val="false"/>
          <w:color w:val="000000"/>
          <w:sz w:val="22"/>
          <w:szCs w:val="22"/>
        </w:rPr>
        <w:t xml:space="preserve">The academic and practitioner literature consistently identifies prolonged bear markets — such as the 2000–2002 dot-com bust or the 2007–2009 global financial crisis — as the environment where MA crossover strategies demonstrate their value. In these scenarios, the strategy correctly identifies the sustained downtrend early enough to exit, preserving capital that the buy-and-hold investor loses. The current study's finding that the strategy offered no meaningful drawdown protection during COVID does not invalidate this general principle; rather, it highlights that the strategy's protective benefit is contingent on the duration of the bear market, not its severity.</w:t>
      </w:r>
    </w:p>
    <w:p>
      <w:pPr>
        <w:spacing w:after="80" w:before="80"/>
      </w:pPr>
      <w:r>
        <w:t xml:space="preserve"/>
      </w:r>
    </w:p>
    <w:p>
      <w:pPr>
        <w:pStyle w:val="Heading2"/>
        <w:spacing w:after="120" w:before="200"/>
      </w:pPr>
      <w:r>
        <w:rPr>
          <w:rFonts w:ascii="Arial" w:cs="Arial" w:eastAsia="Arial" w:hAnsi="Arial"/>
          <w:b/>
          <w:bCs/>
          <w:color w:val="2E74B5"/>
          <w:sz w:val="24"/>
          <w:szCs w:val="24"/>
        </w:rPr>
        <w:t xml:space="preserve">5.3 Limitations</w:t>
      </w:r>
    </w:p>
    <w:p>
      <w:pPr>
        <w:pStyle w:val="ListParagraph"/>
        <w:numPr>
          <w:ilvl w:val="0"/>
          <w:numId w:val="2"/>
        </w:numPr>
        <w:spacing w:after="60" w:before="60"/>
      </w:pPr>
      <w:r>
        <w:rPr>
          <w:rFonts w:ascii="Arial" w:cs="Arial" w:eastAsia="Arial" w:hAnsi="Arial"/>
          <w:sz w:val="22"/>
          <w:szCs w:val="22"/>
        </w:rPr>
        <w:t xml:space="preserve">Survivorship bias: The Nifty 50 universe was fixed to current constituents. Stocks that were delisted or removed from the index during the sample period were not included, which may inflate both strategy and benchmark returns.</w:t>
      </w:r>
    </w:p>
    <w:p>
      <w:pPr>
        <w:pStyle w:val="ListParagraph"/>
        <w:numPr>
          <w:ilvl w:val="0"/>
          <w:numId w:val="2"/>
        </w:numPr>
        <w:spacing w:after="60" w:before="60"/>
      </w:pPr>
      <w:r>
        <w:rPr>
          <w:rFonts w:ascii="Arial" w:cs="Arial" w:eastAsia="Arial" w:hAnsi="Arial"/>
          <w:sz w:val="22"/>
          <w:szCs w:val="22"/>
        </w:rPr>
        <w:t xml:space="preserve">Transaction cost assumptions: The 0.1% per-trade cost is a simplified approximation. Real-world execution would involve market impact, bid-ask spreads, and Securities Transaction Tax (STT), which could meaningfully reduce strategy returns given the monthly rebalancing frequency.</w:t>
      </w:r>
    </w:p>
    <w:p>
      <w:pPr>
        <w:pStyle w:val="ListParagraph"/>
        <w:numPr>
          <w:ilvl w:val="0"/>
          <w:numId w:val="2"/>
        </w:numPr>
        <w:spacing w:after="60" w:before="60"/>
      </w:pPr>
      <w:r>
        <w:rPr>
          <w:rFonts w:ascii="Arial" w:cs="Arial" w:eastAsia="Arial" w:hAnsi="Arial"/>
          <w:sz w:val="22"/>
          <w:szCs w:val="22"/>
        </w:rPr>
        <w:t xml:space="preserve">No short selling: The strategy only goes long or sits in cash. A long-short variant that shorts Death Cross stocks could improve risk-adjusted performance but introduces additional costs and regulatory constraints.</w:t>
      </w:r>
    </w:p>
    <w:p>
      <w:pPr>
        <w:pStyle w:val="ListParagraph"/>
        <w:numPr>
          <w:ilvl w:val="0"/>
          <w:numId w:val="2"/>
        </w:numPr>
        <w:spacing w:after="60" w:before="60"/>
      </w:pPr>
      <w:r>
        <w:rPr>
          <w:rFonts w:ascii="Arial" w:cs="Arial" w:eastAsia="Arial" w:hAnsi="Arial"/>
          <w:sz w:val="22"/>
          <w:szCs w:val="22"/>
        </w:rPr>
        <w:t xml:space="preserve">Parameter sensitivity: The 50/200-day MA parameters were not optimized. In-sample optimization could improve results but would introduce data-snooping risk. A robustness check across alternative parameter combinations (e.g., 20/100, 50/150) would strengthen the conclusions.</w:t>
      </w:r>
    </w:p>
    <w:p>
      <w:pPr>
        <w:pStyle w:val="ListParagraph"/>
        <w:numPr>
          <w:ilvl w:val="0"/>
          <w:numId w:val="2"/>
        </w:numPr>
        <w:spacing w:after="60" w:before="60"/>
      </w:pPr>
      <w:r>
        <w:rPr>
          <w:rFonts w:ascii="Arial" w:cs="Arial" w:eastAsia="Arial" w:hAnsi="Arial"/>
          <w:sz w:val="22"/>
          <w:szCs w:val="22"/>
        </w:rPr>
        <w:t xml:space="preserve">Cash returns: The simulation assumes zero return on uninvested cash. In practice, cash holdings could earn short-duration fixed income returns, which would modestly improve the strategy's risk-adjusted performance.</w:t>
      </w:r>
    </w:p>
    <w:p>
      <w:r>
        <w:br w:type="page"/>
      </w:r>
    </w:p>
    <w:p>
      <w:pPr>
        <w:pStyle w:val="Heading1"/>
        <w:spacing w:after="160" w:before="300"/>
      </w:pPr>
      <w:r>
        <w:rPr>
          <w:rFonts w:ascii="Arial" w:cs="Arial" w:eastAsia="Arial" w:hAnsi="Arial"/>
          <w:b/>
          <w:bCs/>
          <w:color w:val="1F4E79"/>
          <w:sz w:val="28"/>
          <w:szCs w:val="28"/>
        </w:rPr>
        <w:t xml:space="preserve">6. Conclusion</w:t>
      </w:r>
    </w:p>
    <w:p>
      <w:pPr>
        <w:spacing w:after="120" w:before="120" w:line="276"/>
        <w:jc w:val="both"/>
      </w:pPr>
      <w:r>
        <w:rPr>
          <w:rFonts w:ascii="Arial" w:cs="Arial" w:eastAsia="Arial" w:hAnsi="Arial"/>
          <w:b w:val="false"/>
          <w:bCs w:val="false"/>
          <w:i w:val="false"/>
          <w:iCs w:val="false"/>
          <w:color w:val="000000"/>
          <w:sz w:val="22"/>
          <w:szCs w:val="22"/>
        </w:rPr>
        <w:t xml:space="preserve">This paper tested whether a 50/200-day MA crossover strategy could outperform passive buy-and-hold investing in the Nifty 50 universe over 2019–2024. The answer, for this specific period, is clearly no — the strategy returned +113.6% versus the benchmark's +210.3%, with an inferior Sharpe ratio and no meaningful improvement in drawdown protection.</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However, the more important finding is the mechanism of underperformance. The COVID-19 crash of 2020 was too fast for the 200-day MA to generate a timely exit signal, and the V-shaped recovery that followed penalised the strategy's delayed re-entry. This structural lag — inherent to any backward-looking trend indicator — is the strategy's core vulnerability in volatile, mean-reverting markets.</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These findings have practical implications for retail and systematic investors in India. In a market environment characterised by strong secular uptrends and infrequent but sharp corrections, the costs of market-timing through MA crossovers — in the form of missed upside and transaction drag — are likely to exceed the benefits of drawdown mitigation. A more promising application of MA crossover signals may be as a filter within a multi-factor strategy, rather than as a standalone timing mechanism.</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Future research could extend this analysis by: (i) testing across longer sample periods that include the 2008 financial crisis; (ii) applying the strategy to sector-specific indices to identify where trend-following adds most value; and (iii) combining the MA crossover signal with fundamental filters such as earnings momentum or valuation screens to improve signal quality.</w:t>
      </w:r>
    </w:p>
    <w:p>
      <w:r>
        <w:br w:type="page"/>
      </w:r>
    </w:p>
    <w:p>
      <w:pPr>
        <w:pStyle w:val="Heading1"/>
        <w:spacing w:after="160" w:before="300"/>
      </w:pPr>
      <w:r>
        <w:rPr>
          <w:rFonts w:ascii="Arial" w:cs="Arial" w:eastAsia="Arial" w:hAnsi="Arial"/>
          <w:b/>
          <w:bCs/>
          <w:color w:val="1F4E79"/>
          <w:sz w:val="28"/>
          <w:szCs w:val="28"/>
        </w:rPr>
        <w:t xml:space="preserve">References</w:t>
      </w:r>
    </w:p>
    <w:p>
      <w:pPr>
        <w:spacing w:after="120" w:before="120" w:line="276"/>
        <w:jc w:val="both"/>
      </w:pPr>
      <w:r>
        <w:rPr>
          <w:rFonts w:ascii="Arial" w:cs="Arial" w:eastAsia="Arial" w:hAnsi="Arial"/>
          <w:b w:val="false"/>
          <w:bCs w:val="false"/>
          <w:i w:val="false"/>
          <w:iCs w:val="false"/>
          <w:color w:val="000000"/>
          <w:sz w:val="22"/>
          <w:szCs w:val="22"/>
        </w:rPr>
        <w:t xml:space="preserve">Anbalagan, T., &amp; Maheswari, S. (2015). Classification and prediction of stock market index based on fuzzy metagraph. Procedia Computer Science, 47, 214–221.</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Brock, W., Lakonishok, J., &amp; LeBaron, B. (1992). Simple technical trading rules and the stochastic properties of stock returns. Journal of Finance, 47(5), 1731–1764.</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Fama, E. F. (1970). Efficient capital markets: A review of theory and empirical work. Journal of Finance, 25(2), 383–417.</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Fama, E. F., &amp; Blume, M. E. (1966). Filter rules and stock-market trading. Journal of Business, 39(1), 226–241.</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Gupta, N., &amp; Aggarwal, A. (2019). Profitability of technical analysis in Indian equity markets. Journal of Emerging Market Finance, 18(3), 304–330.</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Ratner, M., &amp; Leal, R. P. C. (1999). Tests of technical trading strategies in the emerging equity markets of Latin America and Asia. Journal of Banking &amp; Finance, 23(12), 1887–1905.</w:t>
      </w:r>
    </w:p>
    <w:p>
      <w:pP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Sullivan, R., Timmermann, A., &amp; White, H. (1999). Data-snooping, technical trading rule performance, and the bootstrap. Journal of Finance, 54(5), 1647–1691.</w:t>
      </w:r>
    </w:p>
    <w:p>
      <w:pPr>
        <w:spacing w:after="80" w:before="80"/>
      </w:pPr>
      <w:r>
        <w:t xml:space="preserve"/>
      </w:r>
    </w:p>
    <w:p>
      <w:pPr>
        <w:spacing w:after="80" w:before="80"/>
      </w:pPr>
      <w:r>
        <w:t xml:space="preserve"/>
      </w:r>
    </w:p>
    <w:p>
      <w:pPr>
        <w:jc w:val="center"/>
      </w:pPr>
      <w:r>
        <w:rPr>
          <w:rFonts w:ascii="Arial" w:cs="Arial" w:eastAsia="Arial" w:hAnsi="Arial"/>
          <w:color w:val="888888"/>
          <w:sz w:val="20"/>
          <w:szCs w:val="20"/>
        </w:rPr>
        <w:t xml:space="preserve">— End of Paper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2026-06-08T09:00:07.671Z</dcterms:created>
  <dcterms:modified xsi:type="dcterms:W3CDTF">2026-06-08T09:00:07.671Z</dcterms:modified>
</cp:coreProperties>
</file>

<file path=docProps/custom.xml><?xml version="1.0" encoding="utf-8"?>
<Properties xmlns="http://schemas.openxmlformats.org/officeDocument/2006/custom-properties" xmlns:vt="http://schemas.openxmlformats.org/officeDocument/2006/docPropsVTypes"/>
</file>