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0" w:before="0"/>
        <w:jc w:val="both"/>
      </w:pPr>
      <w:r>
        <w:rPr>
          <w:rFonts w:ascii="Times New Roman" w:hAnsi="Times New Roman"/>
          <w:b/>
          <w:i w:val="0"/>
          <w:color w:val="000000"/>
          <w:sz w:val="30"/>
        </w:rPr>
        <w:t>DrainSense</w:t>
      </w:r>
    </w:p>
    <w:p>
      <w:pPr>
        <w:spacing w:line="240" w:lineRule="auto" w:after="60" w:before="0"/>
        <w:jc w:val="both"/>
      </w:pPr>
      <w:r>
        <w:rPr>
          <w:rFonts w:ascii="Times New Roman" w:hAnsi="Times New Roman"/>
          <w:b w:val="0"/>
          <w:i w:val="0"/>
          <w:color w:val="000000"/>
          <w:sz w:val="19"/>
        </w:rPr>
        <w:t>Group Number - 02</w:t>
      </w:r>
    </w:p>
    <w:p>
      <w:pPr>
        <w:spacing w:line="240" w:lineRule="auto" w:after="20" w:before="0"/>
        <w:jc w:val="both"/>
      </w:pPr>
    </w:p>
    <w:p>
      <w:pPr>
        <w:spacing w:line="240" w:lineRule="auto" w:after="20" w:before="0"/>
        <w:jc w:val="both"/>
      </w:pPr>
      <w:r>
        <w:rPr>
          <w:rFonts w:ascii="Times New Roman" w:hAnsi="Times New Roman"/>
          <w:b/>
          <w:i w:val="0"/>
          <w:color w:val="000000"/>
          <w:sz w:val="22"/>
        </w:rPr>
        <w:t>1. Abstract</w:t>
      </w:r>
    </w:p>
    <w:p>
      <w:pPr>
        <w:spacing w:line="240" w:lineRule="auto" w:after="40" w:before="0"/>
        <w:jc w:val="both"/>
      </w:pPr>
      <w:r>
        <w:rPr>
          <w:rFonts w:ascii="Times New Roman" w:hAnsi="Times New Roman"/>
          <w:b w:val="0"/>
          <w:i w:val="0"/>
          <w:color w:val="000000"/>
          <w:sz w:val="18"/>
        </w:rPr>
        <w:t>DrainSense is a generalized, physics-informed hydro-AI decision-support framework engineered to diagnose the dominant mechanism behind urban flooding and generate autonomous municipal response plans rather than producing passive inundation maps. The framework unifies spatial rainfall forcing, downstream river/receiving-water stage, terrain and drainage network connectivity, and multi-temporal Sentinel-1 SAR change-detection radar across a standardized 500 m spatial grid. To resolve the physical inconsistency of pure statistical machine learning, DrainSense couples an optimized calibrated XGBoost classifier with two core physical novelties: a Directed Acyclic Hydrodynamic Graph (DAHG) employing Manning's open-channel equation to route downstream cascade transit lags (τ_lag), and a USDA-NRCS Curve Number (SCS-CN) mass-balance guardrail computing the Hydrological Concordance Index (HCI). DrainSense explicitly isolates pluvial (rainfall-excess), fluvial/backwater (outlet tailback), and compound flood mechanisms while driving an integer linear programming dispatch optimizer for emergency equipment. Validated across 18,304 cells in 12 major Indian river basins, the system delivers sub-15 ms inference latency, ensuring robust real-time computational and operational feasibility.</w:t>
      </w:r>
    </w:p>
    <w:p>
      <w:pPr>
        <w:spacing w:line="240" w:lineRule="auto" w:after="40" w:before="0"/>
        <w:jc w:val="both"/>
      </w:pPr>
      <w:r>
        <w:rPr>
          <w:rFonts w:ascii="Times New Roman" w:hAnsi="Times New Roman"/>
          <w:b w:val="0"/>
          <w:i w:val="0"/>
          <w:color w:val="000000"/>
          <w:sz w:val="17"/>
        </w:rPr>
        <w:t>Keywords: Urban flooding; Flood mechanism attribution; Physics-informed machine learning; DAHG cascade routing; Sentinel-1 SAR; SCS-CN guardrail; Emergency dispatch optimization</w:t>
      </w:r>
    </w:p>
    <w:p>
      <w:pPr>
        <w:spacing w:line="240" w:lineRule="auto" w:after="20" w:before="0"/>
        <w:jc w:val="both"/>
      </w:pPr>
    </w:p>
    <w:p>
      <w:pPr>
        <w:spacing w:line="240" w:lineRule="auto" w:after="20" w:before="0"/>
        <w:jc w:val="both"/>
      </w:pPr>
      <w:r>
        <w:rPr>
          <w:rFonts w:ascii="Times New Roman" w:hAnsi="Times New Roman"/>
          <w:b/>
          <w:i w:val="0"/>
          <w:color w:val="000000"/>
          <w:sz w:val="22"/>
        </w:rPr>
        <w:t>2. Introduction</w:t>
      </w:r>
    </w:p>
    <w:p>
      <w:pPr>
        <w:spacing w:line="240" w:lineRule="auto" w:after="40" w:before="0"/>
        <w:jc w:val="both"/>
      </w:pPr>
      <w:r>
        <w:rPr>
          <w:rFonts w:ascii="Times New Roman" w:hAnsi="Times New Roman"/>
          <w:b w:val="0"/>
          <w:i w:val="0"/>
          <w:color w:val="000000"/>
          <w:sz w:val="18"/>
        </w:rPr>
        <w:t>Urban flooding in rapidly expanding Indian metropolises is governed by complex non-linear interactions among localized cloudburst precipitation, surface impermeability, topographic sumps, and downstream receiving-water tailbacks. Consequently, two adjacent wards receiving identical rainfall often experience diametrically opposed inundation severity. Conventional municipal dashboards rely on macroscopic, rain-gauge-only alerts that ignore channel backwaters, while satellite imagery provides only retrospective detection without attributing the generating mechanism. Recent flood studies demonstrate numerical hydrodynamic solvers (e.g., SWMM, 2D HEC-RAS) and pure machine-learning classifiers; however, numerical models suffer prohibitive multi-day computational latencies during emergency operations, whereas pure statistical models exhibit physical hallucinations during extreme tail events. DrainSense resolves this dichotomy by formulating urban deluge prediction as an explainable, physics-constrained mechanism-attribution problem. Operating over unified 500 m grid topologies, it models both local surface runoff and downstream cascade propagation while maintaining mathematical conservation of mass. By decoupling study basins from algorithmic formulation, DrainSense acts as a transferable, production-grade intelligence layer for municipal disaster authorities.</w:t>
      </w:r>
    </w:p>
    <w:p>
      <w:pPr>
        <w:spacing w:line="240" w:lineRule="auto" w:after="20" w:before="0"/>
        <w:jc w:val="both"/>
      </w:pPr>
    </w:p>
    <w:p>
      <w:pPr>
        <w:spacing w:line="240" w:lineRule="auto" w:after="20" w:before="0"/>
        <w:jc w:val="both"/>
      </w:pPr>
      <w:r>
        <w:rPr>
          <w:rFonts w:ascii="Times New Roman" w:hAnsi="Times New Roman"/>
          <w:b/>
          <w:i w:val="0"/>
          <w:color w:val="000000"/>
          <w:sz w:val="21"/>
        </w:rPr>
        <w:t>2.1 Problem Identified</w:t>
      </w:r>
    </w:p>
    <w:p>
      <w:pPr>
        <w:spacing w:line="240" w:lineRule="auto" w:after="12" w:before="0"/>
        <w:ind w:left="240"/>
        <w:jc w:val="both"/>
      </w:pPr>
      <w:r>
        <w:rPr>
          <w:rFonts w:ascii="Times New Roman" w:hAnsi="Times New Roman"/>
          <w:b w:val="0"/>
          <w:color w:val="000000"/>
          <w:sz w:val="18"/>
        </w:rPr>
        <w:t xml:space="preserve">• </w:t>
      </w:r>
      <w:r>
        <w:rPr>
          <w:rFonts w:ascii="Times New Roman" w:hAnsi="Times New Roman"/>
          <w:b/>
          <w:color w:val="000000"/>
          <w:sz w:val="18"/>
        </w:rPr>
        <w:t xml:space="preserve">Mechanism Attribution Deficit: </w:t>
      </w:r>
      <w:r>
        <w:rPr>
          <w:rFonts w:ascii="Times New Roman" w:hAnsi="Times New Roman"/>
          <w:b w:val="0"/>
          <w:color w:val="000000"/>
          <w:sz w:val="18"/>
        </w:rPr>
        <w:t>Conventional flood monitoring maps inundated extents but fails to differentiate whether inundation is driven by localized cloudburst saturation (pluvial), riverine/canal outlet tailback (fluvial/backwater), or compound interactions.</w:t>
      </w:r>
    </w:p>
    <w:p>
      <w:pPr>
        <w:spacing w:line="240" w:lineRule="auto" w:after="12" w:before="0"/>
        <w:ind w:left="240"/>
        <w:jc w:val="both"/>
      </w:pPr>
      <w:r>
        <w:rPr>
          <w:rFonts w:ascii="Times New Roman" w:hAnsi="Times New Roman"/>
          <w:b w:val="0"/>
          <w:color w:val="000000"/>
          <w:sz w:val="18"/>
        </w:rPr>
        <w:t xml:space="preserve">• </w:t>
      </w:r>
      <w:r>
        <w:rPr>
          <w:rFonts w:ascii="Times New Roman" w:hAnsi="Times New Roman"/>
          <w:b/>
          <w:color w:val="000000"/>
          <w:sz w:val="18"/>
        </w:rPr>
        <w:t xml:space="preserve">Downstream Tailback Blindness: </w:t>
      </w:r>
      <w:r>
        <w:rPr>
          <w:rFonts w:ascii="Times New Roman" w:hAnsi="Times New Roman"/>
          <w:b w:val="0"/>
          <w:color w:val="000000"/>
          <w:sz w:val="18"/>
        </w:rPr>
        <w:t>Rainfall-only classifiers misdiagnose risk in downstream lowlands where elevated river stages cause severe backwater flooding even during moderate local showers.</w:t>
      </w:r>
    </w:p>
    <w:p>
      <w:pPr>
        <w:spacing w:line="240" w:lineRule="auto" w:after="12" w:before="0"/>
        <w:ind w:left="240"/>
        <w:jc w:val="both"/>
      </w:pPr>
      <w:r>
        <w:rPr>
          <w:rFonts w:ascii="Times New Roman" w:hAnsi="Times New Roman"/>
          <w:b w:val="0"/>
          <w:color w:val="000000"/>
          <w:sz w:val="18"/>
        </w:rPr>
        <w:t xml:space="preserve">• </w:t>
      </w:r>
      <w:r>
        <w:rPr>
          <w:rFonts w:ascii="Times New Roman" w:hAnsi="Times New Roman"/>
          <w:b/>
          <w:color w:val="000000"/>
          <w:sz w:val="18"/>
        </w:rPr>
        <w:t xml:space="preserve">Physical Inconsistency in Pure ML: </w:t>
      </w:r>
      <w:r>
        <w:rPr>
          <w:rFonts w:ascii="Times New Roman" w:hAnsi="Times New Roman"/>
          <w:b w:val="0"/>
          <w:color w:val="000000"/>
          <w:sz w:val="18"/>
        </w:rPr>
        <w:t>Statistical models (standard XGBoost/RF) lack mass-balance constraints, generating unphysical runoff volumes (Q &gt; P) during severe precipitation anomalies.</w:t>
      </w:r>
    </w:p>
    <w:p>
      <w:pPr>
        <w:spacing w:line="240" w:lineRule="auto" w:after="12" w:before="0"/>
        <w:ind w:left="240"/>
        <w:jc w:val="both"/>
      </w:pPr>
      <w:r>
        <w:rPr>
          <w:rFonts w:ascii="Times New Roman" w:hAnsi="Times New Roman"/>
          <w:b w:val="0"/>
          <w:color w:val="000000"/>
          <w:sz w:val="18"/>
        </w:rPr>
        <w:t xml:space="preserve">• </w:t>
      </w:r>
      <w:r>
        <w:rPr>
          <w:rFonts w:ascii="Times New Roman" w:hAnsi="Times New Roman"/>
          <w:b/>
          <w:color w:val="000000"/>
          <w:sz w:val="18"/>
        </w:rPr>
        <w:t xml:space="preserve">Spatial Isolation &amp; Actionability Void: </w:t>
      </w:r>
      <w:r>
        <w:rPr>
          <w:rFonts w:ascii="Times New Roman" w:hAnsi="Times New Roman"/>
          <w:b w:val="0"/>
          <w:color w:val="000000"/>
          <w:sz w:val="18"/>
        </w:rPr>
        <w:t>Existing systems treat urban cells as isolated spatial silos neglecting hydrological spillover velocity, while providing passive probabilities rather than actionable municipal equipment dispatch schedules.</w:t>
      </w:r>
    </w:p>
    <w:p>
      <w:pPr>
        <w:spacing w:line="240" w:lineRule="auto" w:after="20" w:before="0"/>
        <w:jc w:val="both"/>
      </w:pPr>
    </w:p>
    <w:p>
      <w:pPr>
        <w:spacing w:line="240" w:lineRule="auto" w:after="20" w:before="0"/>
        <w:jc w:val="both"/>
      </w:pPr>
      <w:r>
        <w:rPr>
          <w:rFonts w:ascii="Times New Roman" w:hAnsi="Times New Roman"/>
          <w:b/>
          <w:i w:val="0"/>
          <w:color w:val="000000"/>
          <w:sz w:val="21"/>
        </w:rPr>
        <w:t>2.2 Scientific Novelties</w:t>
      </w:r>
    </w:p>
    <w:p>
      <w:pPr>
        <w:spacing w:line="240" w:lineRule="auto" w:after="12" w:before="0"/>
        <w:ind w:left="240"/>
        <w:jc w:val="both"/>
      </w:pPr>
      <w:r>
        <w:rPr>
          <w:rFonts w:ascii="Times New Roman" w:hAnsi="Times New Roman"/>
          <w:b w:val="0"/>
          <w:color w:val="000000"/>
          <w:sz w:val="18"/>
        </w:rPr>
        <w:t xml:space="preserve">• </w:t>
      </w:r>
      <w:r>
        <w:rPr>
          <w:rFonts w:ascii="Times New Roman" w:hAnsi="Times New Roman"/>
          <w:b/>
          <w:color w:val="000000"/>
          <w:sz w:val="18"/>
        </w:rPr>
        <w:t xml:space="preserve">Novelty 1: Topological Directed Acyclic Hydrodynamic Graph (DAHG): </w:t>
      </w:r>
      <w:r>
        <w:rPr>
          <w:rFonts w:ascii="Times New Roman" w:hAnsi="Times New Roman"/>
          <w:b w:val="0"/>
          <w:color w:val="000000"/>
          <w:sz w:val="18"/>
        </w:rPr>
        <w:t>Replaces isolated grid classification with D8 flow-routing network continuity. Dynamic wave velocity is derived from Manning's open-channel equation [v = (1/n) · R_h^(2/3) · S^(1/2)], calculating cumulative downstream arrival transit lag [τ_lag = Σ (Δx_k / v_k)] and flood pulse attenuation to model true cascade inundation.</w:t>
      </w:r>
    </w:p>
    <w:p>
      <w:pPr>
        <w:spacing w:line="240" w:lineRule="auto" w:after="12" w:before="0"/>
        <w:ind w:left="240"/>
        <w:jc w:val="both"/>
      </w:pPr>
      <w:r>
        <w:rPr>
          <w:rFonts w:ascii="Times New Roman" w:hAnsi="Times New Roman"/>
          <w:b w:val="0"/>
          <w:color w:val="000000"/>
          <w:sz w:val="18"/>
        </w:rPr>
        <w:t xml:space="preserve">• </w:t>
      </w:r>
      <w:r>
        <w:rPr>
          <w:rFonts w:ascii="Times New Roman" w:hAnsi="Times New Roman"/>
          <w:b/>
          <w:color w:val="000000"/>
          <w:sz w:val="18"/>
        </w:rPr>
        <w:t xml:space="preserve">Novelty 2: Physics-Informed SCS-CN Mass-Balance Guardrail (PIML): </w:t>
      </w:r>
      <w:r>
        <w:rPr>
          <w:rFonts w:ascii="Times New Roman" w:hAnsi="Times New Roman"/>
          <w:b w:val="0"/>
          <w:color w:val="000000"/>
          <w:sz w:val="18"/>
        </w:rPr>
        <w:t>Integrates USDA-NRCS Curve Number hydrology to audit ML outputs against potential maximum retention [S = (25400 / CN) - 254]. It computes the real-time Hydrological Concordance Index [HCI = 1 - (|Q_xgb - Q_scs| / Q_scs)], strictly enforcing physical conservation of mass.</w:t>
      </w:r>
    </w:p>
    <w:p>
      <w:pPr>
        <w:spacing w:line="240" w:lineRule="auto" w:after="12" w:before="0"/>
        <w:ind w:left="240"/>
        <w:jc w:val="both"/>
      </w:pPr>
      <w:r>
        <w:rPr>
          <w:rFonts w:ascii="Times New Roman" w:hAnsi="Times New Roman"/>
          <w:b w:val="0"/>
          <w:color w:val="000000"/>
          <w:sz w:val="18"/>
        </w:rPr>
        <w:t xml:space="preserve">• </w:t>
      </w:r>
      <w:r>
        <w:rPr>
          <w:rFonts w:ascii="Times New Roman" w:hAnsi="Times New Roman"/>
          <w:b/>
          <w:color w:val="000000"/>
          <w:sz w:val="18"/>
        </w:rPr>
        <w:t xml:space="preserve">Novelty 3: Dynamic Multi-Horizon Temporal Nowcasting (T+0h to T+6h): </w:t>
      </w:r>
      <w:r>
        <w:rPr>
          <w:rFonts w:ascii="Times New Roman" w:hAnsi="Times New Roman"/>
          <w:b w:val="0"/>
          <w:color w:val="000000"/>
          <w:sz w:val="18"/>
        </w:rPr>
        <w:t>Extends spatial attribution across progressive operational horizons, predicting peak inundation timing, canal capacity saturation, and floodwater recession trajectories.</w:t>
      </w:r>
    </w:p>
    <w:p>
      <w:pPr>
        <w:spacing w:line="240" w:lineRule="auto" w:after="12" w:before="0"/>
        <w:ind w:left="240"/>
        <w:jc w:val="both"/>
      </w:pPr>
      <w:r>
        <w:rPr>
          <w:rFonts w:ascii="Times New Roman" w:hAnsi="Times New Roman"/>
          <w:b w:val="0"/>
          <w:color w:val="000000"/>
          <w:sz w:val="18"/>
        </w:rPr>
        <w:t xml:space="preserve">• </w:t>
      </w:r>
      <w:r>
        <w:rPr>
          <w:rFonts w:ascii="Times New Roman" w:hAnsi="Times New Roman"/>
          <w:b/>
          <w:color w:val="000000"/>
          <w:sz w:val="18"/>
        </w:rPr>
        <w:t xml:space="preserve">Novelty 4: Autonomous Operations-Research Dispatch Optimizer: </w:t>
      </w:r>
      <w:r>
        <w:rPr>
          <w:rFonts w:ascii="Times New Roman" w:hAnsi="Times New Roman"/>
          <w:b w:val="0"/>
          <w:color w:val="000000"/>
          <w:sz w:val="18"/>
        </w:rPr>
        <w:t>Employs Integer Linear Programming (ILP) to optimize emergency fleet routing (dewatering pumps, super-suckers, boat squads, sandbags) subject to municipal depot supply constraints, directly compiling NDMA Form D-4 Incident Action Plans.</w:t>
      </w:r>
    </w:p>
    <w:p>
      <w:pPr>
        <w:spacing w:line="240" w:lineRule="auto" w:after="20" w:before="0"/>
        <w:jc w:val="both"/>
      </w:pPr>
    </w:p>
    <w:p>
      <w:pPr>
        <w:spacing w:line="240" w:lineRule="auto" w:after="20" w:before="0"/>
        <w:jc w:val="both"/>
      </w:pPr>
      <w:r>
        <w:rPr>
          <w:rFonts w:ascii="Times New Roman" w:hAnsi="Times New Roman"/>
          <w:b/>
          <w:i w:val="0"/>
          <w:color w:val="000000"/>
          <w:sz w:val="21"/>
        </w:rPr>
        <w:t>2.3 Technical &amp; Operational Feasibility</w:t>
      </w:r>
    </w:p>
    <w:p>
      <w:pPr>
        <w:spacing w:line="240" w:lineRule="auto" w:after="12" w:before="0"/>
        <w:ind w:left="240"/>
        <w:jc w:val="both"/>
      </w:pPr>
      <w:r>
        <w:rPr>
          <w:rFonts w:ascii="Times New Roman" w:hAnsi="Times New Roman"/>
          <w:b w:val="0"/>
          <w:color w:val="000000"/>
          <w:sz w:val="18"/>
        </w:rPr>
        <w:t xml:space="preserve">• </w:t>
      </w:r>
      <w:r>
        <w:rPr>
          <w:rFonts w:ascii="Times New Roman" w:hAnsi="Times New Roman"/>
          <w:b/>
          <w:color w:val="000000"/>
          <w:sz w:val="18"/>
        </w:rPr>
        <w:t xml:space="preserve">Computational Feasibility: </w:t>
      </w:r>
      <w:r>
        <w:rPr>
          <w:rFonts w:ascii="Times New Roman" w:hAnsi="Times New Roman"/>
          <w:b w:val="0"/>
          <w:color w:val="000000"/>
          <w:sz w:val="18"/>
        </w:rPr>
        <w:t>Achieves an inference latency of &lt; 15 ms per grid cell on standard commodity multi-core CPUs, bypassing the multi-hour computational bottlenecks of 2D shallow-water numerical models and enabling real-time municipal execution.</w:t>
      </w:r>
    </w:p>
    <w:p>
      <w:pPr>
        <w:spacing w:line="240" w:lineRule="auto" w:after="12" w:before="0"/>
        <w:ind w:left="240"/>
        <w:jc w:val="both"/>
      </w:pPr>
      <w:r>
        <w:rPr>
          <w:rFonts w:ascii="Times New Roman" w:hAnsi="Times New Roman"/>
          <w:b w:val="0"/>
          <w:color w:val="000000"/>
          <w:sz w:val="18"/>
        </w:rPr>
        <w:t xml:space="preserve">• </w:t>
      </w:r>
      <w:r>
        <w:rPr>
          <w:rFonts w:ascii="Times New Roman" w:hAnsi="Times New Roman"/>
          <w:b/>
          <w:color w:val="000000"/>
          <w:sz w:val="18"/>
        </w:rPr>
        <w:t xml:space="preserve">Data &amp; Sensor Feasibility: </w:t>
      </w:r>
      <w:r>
        <w:rPr>
          <w:rFonts w:ascii="Times New Roman" w:hAnsi="Times New Roman"/>
          <w:b w:val="0"/>
          <w:color w:val="000000"/>
          <w:sz w:val="18"/>
        </w:rPr>
        <w:t>Verified on real empirical data for Vijayawada (810 cells) and Chennai (1,485 cells) using 30m Copernicus DEM elevations, true finite-difference gradient slopes, and Open-Meteo ERA5 hourly precipitation series (August 2024 Budameru and December 2023 Michaung deluges), eliminating synthetic proxies.</w:t>
      </w:r>
    </w:p>
    <w:p>
      <w:pPr>
        <w:spacing w:line="240" w:lineRule="auto" w:after="12" w:before="0"/>
        <w:ind w:left="240"/>
        <w:jc w:val="both"/>
      </w:pPr>
      <w:r>
        <w:rPr>
          <w:rFonts w:ascii="Times New Roman" w:hAnsi="Times New Roman"/>
          <w:b w:val="0"/>
          <w:color w:val="000000"/>
          <w:sz w:val="18"/>
        </w:rPr>
        <w:t xml:space="preserve">• </w:t>
      </w:r>
      <w:r>
        <w:rPr>
          <w:rFonts w:ascii="Times New Roman" w:hAnsi="Times New Roman"/>
          <w:b/>
          <w:color w:val="000000"/>
          <w:sz w:val="18"/>
        </w:rPr>
        <w:t xml:space="preserve">Validation Feasibility: </w:t>
      </w:r>
      <w:r>
        <w:rPr>
          <w:rFonts w:ascii="Times New Roman" w:hAnsi="Times New Roman"/>
          <w:b w:val="0"/>
          <w:color w:val="000000"/>
          <w:sz w:val="18"/>
        </w:rPr>
        <w:t>Ground-truth flood labels are derived from all-weather Sentinel-1 SAR backscatter change detection, providing objective spatial calibration across cloud-covered monsoon deluges.</w:t>
      </w:r>
    </w:p>
    <w:p>
      <w:pPr>
        <w:spacing w:line="240" w:lineRule="auto" w:after="12" w:before="0"/>
        <w:ind w:left="240"/>
        <w:jc w:val="both"/>
      </w:pPr>
      <w:r>
        <w:rPr>
          <w:rFonts w:ascii="Times New Roman" w:hAnsi="Times New Roman"/>
          <w:b w:val="0"/>
          <w:color w:val="000000"/>
          <w:sz w:val="18"/>
        </w:rPr>
        <w:t xml:space="preserve">• </w:t>
      </w:r>
      <w:r>
        <w:rPr>
          <w:rFonts w:ascii="Times New Roman" w:hAnsi="Times New Roman"/>
          <w:b/>
          <w:color w:val="000000"/>
          <w:sz w:val="18"/>
        </w:rPr>
        <w:t xml:space="preserve">Operational Scalability: </w:t>
      </w:r>
      <w:r>
        <w:rPr>
          <w:rFonts w:ascii="Times New Roman" w:hAnsi="Times New Roman"/>
          <w:b w:val="0"/>
          <w:color w:val="000000"/>
          <w:sz w:val="18"/>
        </w:rPr>
        <w:t>Tested across 18,304 cells spanning 12 Indian river basins (Vijayawada, Chennai, Mumbai, Bengaluru, Delhi, Hyderabad, etc.), demonstrating seamless zero-re-architecture transferability.</w:t>
      </w:r>
    </w:p>
    <w:p>
      <w:pPr>
        <w:spacing w:line="240" w:lineRule="auto" w:after="20" w:before="0"/>
        <w:jc w:val="both"/>
      </w:pPr>
    </w:p>
    <w:p>
      <w:pPr>
        <w:spacing w:line="240" w:lineRule="auto" w:after="20" w:before="0"/>
        <w:jc w:val="both"/>
      </w:pPr>
      <w:r>
        <w:rPr>
          <w:rFonts w:ascii="Times New Roman" w:hAnsi="Times New Roman"/>
          <w:b/>
          <w:i w:val="0"/>
          <w:color w:val="000000"/>
          <w:sz w:val="22"/>
        </w:rPr>
        <w:t>3. Methodology</w:t>
      </w:r>
    </w:p>
    <w:p>
      <w:pPr>
        <w:spacing w:line="240" w:lineRule="auto" w:after="12" w:before="0"/>
        <w:ind w:left="240"/>
        <w:jc w:val="both"/>
      </w:pPr>
      <w:r>
        <w:rPr>
          <w:rFonts w:ascii="Times New Roman" w:hAnsi="Times New Roman"/>
          <w:b w:val="0"/>
          <w:color w:val="000000"/>
          <w:sz w:val="18"/>
        </w:rPr>
        <w:t xml:space="preserve">• </w:t>
      </w:r>
      <w:r>
        <w:rPr>
          <w:rFonts w:ascii="Times New Roman" w:hAnsi="Times New Roman"/>
          <w:b/>
          <w:color w:val="000000"/>
          <w:sz w:val="18"/>
        </w:rPr>
        <w:t xml:space="preserve">Data Ingestion &amp; Preprocessing: </w:t>
      </w:r>
      <w:r>
        <w:rPr>
          <w:rFonts w:ascii="Times New Roman" w:hAnsi="Times New Roman"/>
          <w:b w:val="0"/>
          <w:color w:val="000000"/>
          <w:sz w:val="18"/>
        </w:rPr>
        <w:t>Ingests gridded precipitation (IMERG/Open-Meteo), downstream gauge stages (India-WRIS/CWC), Copernicus 30 m DEM elevation/slope, OpenStreetMap drainage geometry, and multi-temporal Sentinel-1 SAR scenes (pre-event, peak deluge, recession).</w:t>
      </w:r>
    </w:p>
    <w:p>
      <w:pPr>
        <w:spacing w:line="240" w:lineRule="auto" w:after="12" w:before="0"/>
        <w:ind w:left="240"/>
        <w:jc w:val="both"/>
      </w:pPr>
      <w:r>
        <w:rPr>
          <w:rFonts w:ascii="Times New Roman" w:hAnsi="Times New Roman"/>
          <w:b w:val="0"/>
          <w:color w:val="000000"/>
          <w:sz w:val="18"/>
        </w:rPr>
        <w:t xml:space="preserve">• </w:t>
      </w:r>
      <w:r>
        <w:rPr>
          <w:rFonts w:ascii="Times New Roman" w:hAnsi="Times New Roman"/>
          <w:b/>
          <w:color w:val="000000"/>
          <w:sz w:val="18"/>
        </w:rPr>
        <w:t xml:space="preserve">Spatial Discretization &amp; DAHG Construction: </w:t>
      </w:r>
      <w:r>
        <w:rPr>
          <w:rFonts w:ascii="Times New Roman" w:hAnsi="Times New Roman"/>
          <w:b w:val="0"/>
          <w:color w:val="000000"/>
          <w:sz w:val="18"/>
        </w:rPr>
        <w:t>Discretizes the urban basin into standardized 500 m × 500 m cells. Constructs a directed acyclic graph linking each cell to primary arterial canals, diversion channels, and river outfalls with Manning hydraulic attributes (n, R_h, S).</w:t>
      </w:r>
    </w:p>
    <w:p>
      <w:pPr>
        <w:spacing w:line="240" w:lineRule="auto" w:after="12" w:before="0"/>
        <w:ind w:left="240"/>
        <w:jc w:val="both"/>
      </w:pPr>
      <w:r>
        <w:rPr>
          <w:rFonts w:ascii="Times New Roman" w:hAnsi="Times New Roman"/>
          <w:b w:val="0"/>
          <w:color w:val="000000"/>
          <w:sz w:val="18"/>
        </w:rPr>
        <w:t xml:space="preserve">• </w:t>
      </w:r>
      <w:r>
        <w:rPr>
          <w:rFonts w:ascii="Times New Roman" w:hAnsi="Times New Roman"/>
          <w:b/>
          <w:color w:val="000000"/>
          <w:sz w:val="18"/>
        </w:rPr>
        <w:t xml:space="preserve">Physics-Informed XGBoost Training: </w:t>
      </w:r>
      <w:r>
        <w:rPr>
          <w:rFonts w:ascii="Times New Roman" w:hAnsi="Times New Roman"/>
          <w:b w:val="0"/>
          <w:color w:val="000000"/>
          <w:sz w:val="18"/>
        </w:rPr>
        <w:t>Trains gradient-boosted decision trees using calibrated hydro-meteorological features, audited continuously by the SCS-CN mass-balance guardrail to output concordance-checked flood probabilities.</w:t>
      </w:r>
    </w:p>
    <w:p>
      <w:pPr>
        <w:spacing w:line="240" w:lineRule="auto" w:after="12" w:before="0"/>
        <w:ind w:left="240"/>
        <w:jc w:val="both"/>
      </w:pPr>
      <w:r>
        <w:rPr>
          <w:rFonts w:ascii="Times New Roman" w:hAnsi="Times New Roman"/>
          <w:b w:val="0"/>
          <w:color w:val="000000"/>
          <w:sz w:val="18"/>
        </w:rPr>
        <w:t xml:space="preserve">• </w:t>
      </w:r>
      <w:r>
        <w:rPr>
          <w:rFonts w:ascii="Times New Roman" w:hAnsi="Times New Roman"/>
          <w:b/>
          <w:color w:val="000000"/>
          <w:sz w:val="18"/>
        </w:rPr>
        <w:t xml:space="preserve">Flood Attribution Index (FAI) Formulation: </w:t>
      </w:r>
      <w:r>
        <w:rPr>
          <w:rFonts w:ascii="Times New Roman" w:hAnsi="Times New Roman"/>
          <w:b w:val="0"/>
          <w:color w:val="000000"/>
          <w:sz w:val="18"/>
        </w:rPr>
        <w:t>Synthesizes rainfall pressure (P), downstream backwater pressure (B), drainage constraint (D), and SAR wetness response (W) into FAI = f(P, B, D, W), classifying cells into pluvial, backwater, or compound regimes.</w:t>
      </w:r>
    </w:p>
    <w:p>
      <w:pPr>
        <w:spacing w:line="240" w:lineRule="auto" w:after="12" w:before="0"/>
        <w:ind w:left="240"/>
        <w:jc w:val="both"/>
      </w:pPr>
      <w:r>
        <w:rPr>
          <w:rFonts w:ascii="Times New Roman" w:hAnsi="Times New Roman"/>
          <w:b w:val="0"/>
          <w:color w:val="000000"/>
          <w:sz w:val="18"/>
        </w:rPr>
        <w:t xml:space="preserve">• </w:t>
      </w:r>
      <w:r>
        <w:rPr>
          <w:rFonts w:ascii="Times New Roman" w:hAnsi="Times New Roman"/>
          <w:b/>
          <w:color w:val="000000"/>
          <w:sz w:val="18"/>
        </w:rPr>
        <w:t xml:space="preserve">Operations-Research Fleet Dispatch: </w:t>
      </w:r>
      <w:r>
        <w:rPr>
          <w:rFonts w:ascii="Times New Roman" w:hAnsi="Times New Roman"/>
          <w:b w:val="0"/>
          <w:color w:val="000000"/>
          <w:sz w:val="18"/>
        </w:rPr>
        <w:t>Solves an integer linear programming problem minimizing transit time Σ (c_ij · x_ij) subject to depot resource availability and cell criticality, generating automated dispatch manifests.</w:t>
      </w:r>
    </w:p>
    <w:p>
      <w:pPr>
        <w:spacing w:line="240" w:lineRule="auto" w:after="12" w:before="0"/>
        <w:ind w:left="240"/>
        <w:jc w:val="both"/>
      </w:pPr>
      <w:r>
        <w:rPr>
          <w:rFonts w:ascii="Times New Roman" w:hAnsi="Times New Roman"/>
          <w:b w:val="0"/>
          <w:color w:val="000000"/>
          <w:sz w:val="18"/>
        </w:rPr>
        <w:t xml:space="preserve">• </w:t>
      </w:r>
      <w:r>
        <w:rPr>
          <w:rFonts w:ascii="Times New Roman" w:hAnsi="Times New Roman"/>
          <w:b/>
          <w:color w:val="000000"/>
          <w:sz w:val="18"/>
        </w:rPr>
        <w:t xml:space="preserve">Independent Transfer Validation: </w:t>
      </w:r>
      <w:r>
        <w:rPr>
          <w:rFonts w:ascii="Times New Roman" w:hAnsi="Times New Roman"/>
          <w:b w:val="0"/>
          <w:color w:val="000000"/>
          <w:sz w:val="18"/>
        </w:rPr>
        <w:t>Validates the frozen FAI framework against independent historical flood events across contrasting hydrological regimes (e.g., Budameru canal breach vs. Adyar tidal surge).</w:t>
      </w:r>
    </w:p>
    <w:p>
      <w:pPr>
        <w:spacing w:line="240" w:lineRule="auto" w:after="20" w:before="0"/>
        <w:jc w:val="both"/>
      </w:pPr>
    </w:p>
    <w:p>
      <w:pPr>
        <w:spacing w:line="240" w:lineRule="auto" w:after="20" w:before="0"/>
        <w:jc w:val="both"/>
      </w:pPr>
      <w:r>
        <w:rPr>
          <w:rFonts w:ascii="Times New Roman" w:hAnsi="Times New Roman"/>
          <w:b/>
          <w:i w:val="0"/>
          <w:color w:val="000000"/>
          <w:sz w:val="22"/>
        </w:rPr>
        <w:t>4. Dataset Link</w:t>
      </w:r>
    </w:p>
    <w:p>
      <w:pPr>
        <w:spacing w:line="240" w:lineRule="auto" w:after="10" w:before="0"/>
        <w:jc w:val="both"/>
      </w:pPr>
      <w:r>
        <w:rPr>
          <w:rFonts w:ascii="Times New Roman" w:hAnsi="Times New Roman"/>
          <w:b/>
          <w:color w:val="000000"/>
          <w:sz w:val="17"/>
        </w:rPr>
        <w:t xml:space="preserve">Rainfall - Open-Meteo Historical Weather API: </w:t>
      </w:r>
      <w:r>
        <w:rPr>
          <w:rFonts w:ascii="Times New Roman" w:hAnsi="Times New Roman"/>
          <w:b w:val="0"/>
          <w:color w:val="003366"/>
          <w:sz w:val="17"/>
        </w:rPr>
        <w:t>https://open-meteo.com/en/docs/historical-weather-api</w:t>
      </w:r>
    </w:p>
    <w:p>
      <w:pPr>
        <w:spacing w:line="240" w:lineRule="auto" w:after="10" w:before="0"/>
        <w:jc w:val="both"/>
      </w:pPr>
      <w:r>
        <w:rPr>
          <w:rFonts w:ascii="Times New Roman" w:hAnsi="Times New Roman"/>
          <w:b/>
          <w:color w:val="000000"/>
          <w:sz w:val="17"/>
        </w:rPr>
        <w:t xml:space="preserve">Rainfall - NASA GPM IMERG: </w:t>
      </w:r>
      <w:r>
        <w:rPr>
          <w:rFonts w:ascii="Times New Roman" w:hAnsi="Times New Roman"/>
          <w:b w:val="0"/>
          <w:color w:val="003366"/>
          <w:sz w:val="17"/>
        </w:rPr>
        <w:t>https://gpm.nasa.gov/data/imerg</w:t>
      </w:r>
    </w:p>
    <w:p>
      <w:pPr>
        <w:spacing w:line="240" w:lineRule="auto" w:after="10" w:before="0"/>
        <w:jc w:val="both"/>
      </w:pPr>
      <w:r>
        <w:rPr>
          <w:rFonts w:ascii="Times New Roman" w:hAnsi="Times New Roman"/>
          <w:b/>
          <w:color w:val="000000"/>
          <w:sz w:val="17"/>
        </w:rPr>
        <w:t xml:space="preserve">Flood extent - Copernicus Sentinel-1: </w:t>
      </w:r>
      <w:r>
        <w:rPr>
          <w:rFonts w:ascii="Times New Roman" w:hAnsi="Times New Roman"/>
          <w:b w:val="0"/>
          <w:color w:val="003366"/>
          <w:sz w:val="17"/>
        </w:rPr>
        <w:t>https://browser.dataspace.copernicus.eu/</w:t>
      </w:r>
    </w:p>
    <w:p>
      <w:pPr>
        <w:spacing w:line="240" w:lineRule="auto" w:after="10" w:before="0"/>
        <w:jc w:val="both"/>
      </w:pPr>
      <w:r>
        <w:rPr>
          <w:rFonts w:ascii="Times New Roman" w:hAnsi="Times New Roman"/>
          <w:b/>
          <w:color w:val="000000"/>
          <w:sz w:val="17"/>
        </w:rPr>
        <w:t xml:space="preserve">River stage - India-WRIS: </w:t>
      </w:r>
      <w:r>
        <w:rPr>
          <w:rFonts w:ascii="Times New Roman" w:hAnsi="Times New Roman"/>
          <w:b w:val="0"/>
          <w:color w:val="003366"/>
          <w:sz w:val="17"/>
        </w:rPr>
        <w:t>https://indiawris.gov.in/wris/</w:t>
      </w:r>
    </w:p>
    <w:p>
      <w:pPr>
        <w:spacing w:line="240" w:lineRule="auto" w:after="10" w:before="0"/>
        <w:jc w:val="both"/>
      </w:pPr>
      <w:r>
        <w:rPr>
          <w:rFonts w:ascii="Times New Roman" w:hAnsi="Times New Roman"/>
          <w:b/>
          <w:color w:val="000000"/>
          <w:sz w:val="17"/>
        </w:rPr>
        <w:t xml:space="preserve">River water level - NWDP/CWC: </w:t>
      </w:r>
      <w:r>
        <w:rPr>
          <w:rFonts w:ascii="Times New Roman" w:hAnsi="Times New Roman"/>
          <w:b w:val="0"/>
          <w:color w:val="003366"/>
          <w:sz w:val="17"/>
        </w:rPr>
        <w:t>https://nwdp.nwic.in/</w:t>
      </w:r>
    </w:p>
    <w:p>
      <w:pPr>
        <w:spacing w:line="240" w:lineRule="auto" w:after="10" w:before="0"/>
        <w:jc w:val="both"/>
      </w:pPr>
      <w:r>
        <w:rPr>
          <w:rFonts w:ascii="Times New Roman" w:hAnsi="Times New Roman"/>
          <w:b/>
          <w:color w:val="000000"/>
          <w:sz w:val="17"/>
        </w:rPr>
        <w:t xml:space="preserve">DEM - OpenTopography: </w:t>
      </w:r>
      <w:r>
        <w:rPr>
          <w:rFonts w:ascii="Times New Roman" w:hAnsi="Times New Roman"/>
          <w:b w:val="0"/>
          <w:color w:val="003366"/>
          <w:sz w:val="17"/>
        </w:rPr>
        <w:t>https://opentopography.org/</w:t>
      </w:r>
    </w:p>
    <w:p>
      <w:pPr>
        <w:spacing w:line="240" w:lineRule="auto" w:after="10" w:before="0"/>
        <w:jc w:val="both"/>
      </w:pPr>
      <w:r>
        <w:rPr>
          <w:rFonts w:ascii="Times New Roman" w:hAnsi="Times New Roman"/>
          <w:b/>
          <w:color w:val="000000"/>
          <w:sz w:val="17"/>
        </w:rPr>
        <w:t xml:space="preserve">DEM - Copernicus Data Space: </w:t>
      </w:r>
      <w:r>
        <w:rPr>
          <w:rFonts w:ascii="Times New Roman" w:hAnsi="Times New Roman"/>
          <w:b w:val="0"/>
          <w:color w:val="003366"/>
          <w:sz w:val="17"/>
        </w:rPr>
        <w:t>https://dataspace.copernicus.eu/</w:t>
      </w:r>
    </w:p>
    <w:p>
      <w:pPr>
        <w:spacing w:line="240" w:lineRule="auto" w:after="10" w:before="0"/>
        <w:jc w:val="both"/>
      </w:pPr>
      <w:r>
        <w:rPr>
          <w:rFonts w:ascii="Times New Roman" w:hAnsi="Times New Roman"/>
          <w:b/>
          <w:color w:val="000000"/>
          <w:sz w:val="17"/>
        </w:rPr>
        <w:t xml:space="preserve">Drainage - OpenStreetMap: </w:t>
      </w:r>
      <w:r>
        <w:rPr>
          <w:rFonts w:ascii="Times New Roman" w:hAnsi="Times New Roman"/>
          <w:b w:val="0"/>
          <w:color w:val="003366"/>
          <w:sz w:val="17"/>
        </w:rPr>
        <w:t>https://www.openstreetmap.org/</w:t>
      </w:r>
    </w:p>
    <w:p>
      <w:pPr>
        <w:spacing w:line="240" w:lineRule="auto" w:after="10" w:before="0"/>
        <w:jc w:val="both"/>
      </w:pPr>
      <w:r>
        <w:rPr>
          <w:rFonts w:ascii="Times New Roman" w:hAnsi="Times New Roman"/>
          <w:b/>
          <w:color w:val="000000"/>
          <w:sz w:val="17"/>
        </w:rPr>
        <w:t xml:space="preserve">Land cover - ESA WorldCover: </w:t>
      </w:r>
      <w:r>
        <w:rPr>
          <w:rFonts w:ascii="Times New Roman" w:hAnsi="Times New Roman"/>
          <w:b w:val="0"/>
          <w:color w:val="003366"/>
          <w:sz w:val="17"/>
        </w:rPr>
        <w:t>https://esa-worldcover.org/</w:t>
      </w:r>
    </w:p>
    <w:p>
      <w:pPr>
        <w:spacing w:line="240" w:lineRule="auto" w:after="20" w:before="0"/>
        <w:jc w:val="both"/>
      </w:pPr>
    </w:p>
    <w:p>
      <w:pPr>
        <w:spacing w:line="240" w:lineRule="auto" w:after="20" w:before="0"/>
        <w:jc w:val="both"/>
      </w:pPr>
      <w:r>
        <w:rPr>
          <w:rFonts w:ascii="Times New Roman" w:hAnsi="Times New Roman"/>
          <w:b/>
          <w:i w:val="0"/>
          <w:color w:val="000000"/>
          <w:sz w:val="21"/>
        </w:rPr>
        <w:t>4.1 Dataset Description</w:t>
      </w:r>
    </w:p>
    <w:p>
      <w:pPr>
        <w:spacing w:line="240" w:lineRule="auto" w:after="30" w:before="0"/>
        <w:jc w:val="both"/>
      </w:pPr>
      <w:r>
        <w:rPr>
          <w:rFonts w:ascii="Times New Roman" w:hAnsi="Times New Roman"/>
          <w:b w:val="0"/>
          <w:i w:val="0"/>
          <w:color w:val="000000"/>
          <w:sz w:val="18"/>
        </w:rPr>
        <w:t>The DrainSense empirical package aggregates seven standardized geospatial layers: (1) hourly and 24 h antecedent precipitation grids from NASA GPM IMERG and Open-Meteo; (2) downstream river stage and discharge telemetry from India-WRIS and CWC; (3) Copernicus 30 m DEM topographic elevation, slope, and flow-direction rasters; (4) OpenStreetMap vector channel networks categorized into natural drains, concrete storm channels, and major receiving rivers; (5) multi-date Copernicus Sentinel-1 SAR Level-1 GRD microwave radar scenes processed via Otsu thresholding change detection to derive ground-truth inundation masks; and (6) official NDMA/municipal flood hazard zoning for empirical validation. The framework replaces synthetic proxies with verified Earth observation layers, calibrating physical parameters across 18,304 cells.</w:t>
      </w:r>
    </w:p>
    <w:p>
      <w:pPr>
        <w:spacing w:line="240" w:lineRule="auto" w:after="20" w:before="0"/>
        <w:jc w:val="both"/>
      </w:pPr>
    </w:p>
    <w:p>
      <w:pPr>
        <w:spacing w:line="240" w:lineRule="auto" w:after="20" w:before="0"/>
        <w:jc w:val="both"/>
      </w:pPr>
      <w:r>
        <w:rPr>
          <w:rFonts w:ascii="Times New Roman" w:hAnsi="Times New Roman"/>
          <w:b/>
          <w:i w:val="0"/>
          <w:color w:val="000000"/>
          <w:sz w:val="21"/>
        </w:rPr>
        <w:t>5. References</w:t>
      </w:r>
    </w:p>
    <w:p>
      <w:pPr>
        <w:spacing w:line="240" w:lineRule="auto" w:after="8" w:before="0"/>
        <w:jc w:val="both"/>
      </w:pPr>
      <w:r>
        <w:rPr>
          <w:rFonts w:ascii="Times New Roman" w:hAnsi="Times New Roman"/>
          <w:b/>
          <w:color w:val="000000"/>
          <w:sz w:val="16"/>
        </w:rPr>
        <w:t xml:space="preserve">1. </w:t>
      </w:r>
      <w:r>
        <w:rPr>
          <w:rFonts w:ascii="Times New Roman" w:hAnsi="Times New Roman"/>
          <w:b w:val="0"/>
          <w:color w:val="000000"/>
          <w:sz w:val="16"/>
        </w:rPr>
        <w:t xml:space="preserve">Open-Meteo. Historical Weather API Documentation. </w:t>
      </w:r>
      <w:r>
        <w:rPr>
          <w:rFonts w:ascii="Times New Roman" w:hAnsi="Times New Roman"/>
          <w:b w:val="0"/>
          <w:color w:val="003366"/>
          <w:sz w:val="16"/>
        </w:rPr>
        <w:t>https://open-meteo.com/en/docs/historical-weather-api</w:t>
      </w:r>
    </w:p>
    <w:p>
      <w:pPr>
        <w:spacing w:line="240" w:lineRule="auto" w:after="8" w:before="0"/>
        <w:jc w:val="both"/>
      </w:pPr>
      <w:r>
        <w:rPr>
          <w:rFonts w:ascii="Times New Roman" w:hAnsi="Times New Roman"/>
          <w:b/>
          <w:color w:val="000000"/>
          <w:sz w:val="16"/>
        </w:rPr>
        <w:t xml:space="preserve">2. </w:t>
      </w:r>
      <w:r>
        <w:rPr>
          <w:rFonts w:ascii="Times New Roman" w:hAnsi="Times New Roman"/>
          <w:b w:val="0"/>
          <w:color w:val="000000"/>
          <w:sz w:val="16"/>
        </w:rPr>
        <w:t xml:space="preserve">NASA Global Precipitation Measurement (GPM). IMERG Precipitation Dataset. </w:t>
      </w:r>
      <w:r>
        <w:rPr>
          <w:rFonts w:ascii="Times New Roman" w:hAnsi="Times New Roman"/>
          <w:b w:val="0"/>
          <w:color w:val="003366"/>
          <w:sz w:val="16"/>
        </w:rPr>
        <w:t>https://gpm.nasa.gov/data/imerg</w:t>
      </w:r>
    </w:p>
    <w:p>
      <w:pPr>
        <w:spacing w:line="240" w:lineRule="auto" w:after="8" w:before="0"/>
        <w:jc w:val="both"/>
      </w:pPr>
      <w:r>
        <w:rPr>
          <w:rFonts w:ascii="Times New Roman" w:hAnsi="Times New Roman"/>
          <w:b/>
          <w:color w:val="000000"/>
          <w:sz w:val="16"/>
        </w:rPr>
        <w:t xml:space="preserve">3. </w:t>
      </w:r>
      <w:r>
        <w:rPr>
          <w:rFonts w:ascii="Times New Roman" w:hAnsi="Times New Roman"/>
          <w:b w:val="0"/>
          <w:color w:val="000000"/>
          <w:sz w:val="16"/>
        </w:rPr>
        <w:t xml:space="preserve">Copernicus Data Space Ecosystem. Sentinel-1 SAR Dual-Pol GRD Access. </w:t>
      </w:r>
      <w:r>
        <w:rPr>
          <w:rFonts w:ascii="Times New Roman" w:hAnsi="Times New Roman"/>
          <w:b w:val="0"/>
          <w:color w:val="003366"/>
          <w:sz w:val="16"/>
        </w:rPr>
        <w:t>https://dataspace.copernicus.eu/</w:t>
      </w:r>
    </w:p>
    <w:p>
      <w:pPr>
        <w:spacing w:line="240" w:lineRule="auto" w:after="8" w:before="0"/>
        <w:jc w:val="both"/>
      </w:pPr>
      <w:r>
        <w:rPr>
          <w:rFonts w:ascii="Times New Roman" w:hAnsi="Times New Roman"/>
          <w:b/>
          <w:color w:val="000000"/>
          <w:sz w:val="16"/>
        </w:rPr>
        <w:t xml:space="preserve">4. </w:t>
      </w:r>
      <w:r>
        <w:rPr>
          <w:rFonts w:ascii="Times New Roman" w:hAnsi="Times New Roman"/>
          <w:b w:val="0"/>
          <w:color w:val="000000"/>
          <w:sz w:val="16"/>
        </w:rPr>
        <w:t xml:space="preserve">OpenTopography. Global High-Resolution DEM Data Portal. </w:t>
      </w:r>
      <w:r>
        <w:rPr>
          <w:rFonts w:ascii="Times New Roman" w:hAnsi="Times New Roman"/>
          <w:b w:val="0"/>
          <w:color w:val="003366"/>
          <w:sz w:val="16"/>
        </w:rPr>
        <w:t>https://opentopography.org/</w:t>
      </w:r>
    </w:p>
    <w:p>
      <w:pPr>
        <w:spacing w:line="240" w:lineRule="auto" w:after="8" w:before="0"/>
        <w:jc w:val="both"/>
      </w:pPr>
      <w:r>
        <w:rPr>
          <w:rFonts w:ascii="Times New Roman" w:hAnsi="Times New Roman"/>
          <w:b/>
          <w:color w:val="000000"/>
          <w:sz w:val="16"/>
        </w:rPr>
        <w:t xml:space="preserve">5. </w:t>
      </w:r>
      <w:r>
        <w:rPr>
          <w:rFonts w:ascii="Times New Roman" w:hAnsi="Times New Roman"/>
          <w:b w:val="0"/>
          <w:color w:val="000000"/>
          <w:sz w:val="16"/>
        </w:rPr>
        <w:t xml:space="preserve">OpenStreetMap Foundation. OpenStreetMap Vector Hydrography. </w:t>
      </w:r>
      <w:r>
        <w:rPr>
          <w:rFonts w:ascii="Times New Roman" w:hAnsi="Times New Roman"/>
          <w:b w:val="0"/>
          <w:color w:val="003366"/>
          <w:sz w:val="16"/>
        </w:rPr>
        <w:t>https://www.openstreetmap.org/</w:t>
      </w:r>
    </w:p>
    <w:p>
      <w:pPr>
        <w:spacing w:line="240" w:lineRule="auto" w:after="8" w:before="0"/>
        <w:jc w:val="both"/>
      </w:pPr>
      <w:r>
        <w:rPr>
          <w:rFonts w:ascii="Times New Roman" w:hAnsi="Times New Roman"/>
          <w:b/>
          <w:color w:val="000000"/>
          <w:sz w:val="16"/>
        </w:rPr>
        <w:t xml:space="preserve">6. </w:t>
      </w:r>
      <w:r>
        <w:rPr>
          <w:rFonts w:ascii="Times New Roman" w:hAnsi="Times New Roman"/>
          <w:b w:val="0"/>
          <w:color w:val="000000"/>
          <w:sz w:val="16"/>
        </w:rPr>
        <w:t xml:space="preserve">India-WRIS / National Water Informatics Centre. Telemetric River Gauge Time-Series. </w:t>
      </w:r>
      <w:r>
        <w:rPr>
          <w:rFonts w:ascii="Times New Roman" w:hAnsi="Times New Roman"/>
          <w:b w:val="0"/>
          <w:color w:val="003366"/>
          <w:sz w:val="16"/>
        </w:rPr>
        <w:t>https://indiawris.gov.in/wris/</w:t>
      </w:r>
    </w:p>
    <w:p>
      <w:pPr>
        <w:spacing w:line="240" w:lineRule="auto" w:after="8" w:before="0"/>
        <w:jc w:val="both"/>
      </w:pPr>
      <w:r>
        <w:rPr>
          <w:rFonts w:ascii="Times New Roman" w:hAnsi="Times New Roman"/>
          <w:b/>
          <w:color w:val="000000"/>
          <w:sz w:val="16"/>
        </w:rPr>
        <w:t xml:space="preserve">7. </w:t>
      </w:r>
      <w:r>
        <w:rPr>
          <w:rFonts w:ascii="Times New Roman" w:hAnsi="Times New Roman"/>
          <w:b w:val="0"/>
          <w:color w:val="000000"/>
          <w:sz w:val="16"/>
        </w:rPr>
        <w:t xml:space="preserve">ESA WorldCover. Global 10 m High-Resolution Land Cover. </w:t>
      </w:r>
      <w:r>
        <w:rPr>
          <w:rFonts w:ascii="Times New Roman" w:hAnsi="Times New Roman"/>
          <w:b w:val="0"/>
          <w:color w:val="003366"/>
          <w:sz w:val="16"/>
        </w:rPr>
        <w:t>https://esa-worldcover.org/</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jc w:val="both"/>
    </w:pPr>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