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7855" w:rsidRDefault="00000000">
      <w:pPr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Event-Driven Intra-ETF Spillover Model</w:t>
      </w:r>
    </w:p>
    <w:p w14:paraId="00000002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03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 Data Requirements</w:t>
      </w:r>
    </w:p>
    <w:p w14:paraId="00000004" w14:textId="77777777" w:rsidR="00407855" w:rsidRDefault="00407855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5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1.1 Identifiers and Mapping</w:t>
      </w:r>
    </w:p>
    <w:p w14:paraId="00000006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Unique stock identifier (Ticker + ISIN/PERMNO).</w:t>
      </w:r>
    </w:p>
    <w:p w14:paraId="00000007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Unique ETF identifier (Ticker + ISIN).</w:t>
      </w:r>
    </w:p>
    <w:p w14:paraId="00000008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• Constituent membership table: stock j </w:t>
      </w:r>
      <w:r>
        <w:rPr>
          <w:rFonts w:ascii="Cambria Math" w:eastAsia="Cambria Math" w:hAnsi="Cambria Math" w:cs="Cambria Math"/>
          <w:sz w:val="20"/>
          <w:szCs w:val="20"/>
        </w:rPr>
        <w:t>∈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ETF k at date t.</w:t>
      </w:r>
    </w:p>
    <w:p w14:paraId="00000009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1.2 Prices and Returns</w:t>
      </w:r>
    </w:p>
    <w:p w14:paraId="0000000B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Daily (or intraday) adjusted prices for all stocks.</w:t>
      </w:r>
    </w:p>
    <w:p w14:paraId="0000000C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Daily (or intraday) adjusted prices for all ETFs.</w:t>
      </w:r>
    </w:p>
    <w:p w14:paraId="0000000D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Corporate action adjustments (splits/dividends).</w:t>
      </w:r>
    </w:p>
    <w:p w14:paraId="0000000E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Daily factor returns (MKT, SMB, HML, MOM, RMW, CMA)</w:t>
      </w:r>
    </w:p>
    <w:p w14:paraId="0000000F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10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1.3 ETF Holdings / Weights</w:t>
      </w:r>
    </w:p>
    <w:p w14:paraId="00000011" w14:textId="7722343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Time-varying weights w{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j,k,t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} for each stock j in ETF k.</w:t>
      </w:r>
    </w:p>
    <w:p w14:paraId="00000012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13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1.4 Company Event Data</w:t>
      </w:r>
    </w:p>
    <w:p w14:paraId="00000014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Event timestamp (date and time).</w:t>
      </w:r>
    </w:p>
    <w:p w14:paraId="00000015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Event type classification (earnings, CEO resignation, regulatory, etc.).</w:t>
      </w:r>
    </w:p>
    <w:p w14:paraId="00000016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Event sentiment or sign (positive/negative).</w:t>
      </w:r>
    </w:p>
    <w:p w14:paraId="00000017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0"/>
          <w:id w:val="-123688297"/>
        </w:sdtPr>
        <w:sdtContent>
          <w:r>
            <w:rPr>
              <w:rFonts w:ascii="Gungsuh" w:eastAsia="Gungsuh" w:hAnsi="Gungsuh" w:cs="Gungsuh"/>
              <w:sz w:val="20"/>
              <w:szCs w:val="20"/>
            </w:rPr>
            <w:t>• Standardized earnings surprise (actual − expected) / σ</w:t>
          </w:r>
        </w:sdtContent>
      </w:sdt>
    </w:p>
    <w:p w14:paraId="00000018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19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1.5 Liquidity and Microstructure</w:t>
      </w:r>
    </w:p>
    <w:p w14:paraId="0000001A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Trading volume and turnover.</w:t>
      </w:r>
    </w:p>
    <w:p w14:paraId="0000001B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Bid-ask spread.</w:t>
      </w:r>
    </w:p>
    <w:p w14:paraId="0000001C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Amihud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illiquidity measure.</w:t>
      </w:r>
    </w:p>
    <w:p w14:paraId="0000001D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ETF-level volume and premium/discount to NAV.</w:t>
      </w:r>
    </w:p>
    <w:p w14:paraId="0000001E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1F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1.6 ETF Flows / Creation-Redemption</w:t>
      </w:r>
    </w:p>
    <w:p w14:paraId="00000020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Shares outstanding (daily changes).</w:t>
      </w:r>
    </w:p>
    <w:p w14:paraId="00000021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• Net ETF flows </w:t>
      </w:r>
    </w:p>
    <w:p w14:paraId="00000022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23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2. Model Structure</w:t>
      </w:r>
    </w:p>
    <w:p w14:paraId="00000024" w14:textId="77777777" w:rsidR="00407855" w:rsidRDefault="00407855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5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2.1. Objective</w:t>
      </w:r>
    </w:p>
    <w:p w14:paraId="00000026" w14:textId="77777777" w:rsidR="0040785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1"/>
          <w:id w:val="-1236492851"/>
        </w:sdtPr>
        <w:sdtEndPr>
          <w:rPr>
            <w:rFonts w:ascii="Times New Roman" w:eastAsia="Times New Roman" w:hAnsi="Times New Roman" w:cs="Times New Roman"/>
            <w:sz w:val="20"/>
            <w:szCs w:val="20"/>
          </w:rPr>
        </w:sdtEndPr>
        <w:sdtContent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This model tests whether firm-specific corporate events affecting a constituent stock iii of ETF </w:t>
          </w:r>
          <w:proofErr w:type="spellStart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>kkk</w:t>
          </w:r>
          <w:proofErr w:type="spellEnd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generate intra-ETF spillovers to other constituents </w:t>
          </w:r>
          <w:proofErr w:type="spellStart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>j≠ij</w:t>
          </w:r>
          <w:proofErr w:type="spellEnd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\</w:t>
          </w:r>
          <w:proofErr w:type="spellStart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>neq</w:t>
          </w:r>
          <w:proofErr w:type="spellEnd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>ij</w:t>
          </w:r>
          <w:proofErr w:type="spellEnd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>=</w:t>
          </w:r>
          <w:proofErr w:type="spellStart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>i</w:t>
          </w:r>
          <w:proofErr w:type="spellEnd"/>
          <w:r w:rsidRPr="005308A7">
            <w:rPr>
              <w:rFonts w:ascii="Times New Roman" w:eastAsia="Times New Roman" w:hAnsi="Times New Roman" w:cs="Times New Roman"/>
              <w:sz w:val="20"/>
              <w:szCs w:val="20"/>
            </w:rPr>
            <w:t>. The framework explicitly distinguishes between mechanical trading channels (arbitrage and flows), ownership-induced synchronization, and informational spillovers.</w:t>
          </w:r>
        </w:sdtContent>
      </w:sdt>
    </w:p>
    <w:p w14:paraId="00000027" w14:textId="77777777" w:rsidR="0040785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objective is not merely to detect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comovement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but to identify whether ETF structure amplifies firm-level shocks beyond what is explained by common risk factors</w:t>
      </w:r>
    </w:p>
    <w:p w14:paraId="00000028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29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Step 1: Event Shock Measurement</w:t>
      </w:r>
    </w:p>
    <w:p w14:paraId="0000002A" w14:textId="77777777" w:rsidR="00407855" w:rsidRDefault="00407855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B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For each corporate event e affecting stock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at time t0, define a standardized firm-level shock:</w:t>
      </w:r>
    </w:p>
    <w:p w14:paraId="0000002C" w14:textId="77777777" w:rsidR="00407855" w:rsidRDefault="00000000">
      <w:pPr>
        <w:spacing w:after="0"/>
        <w:jc w:val="both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lastRenderedPageBreak/>
        <w:t>Shock_{</w:t>
      </w:r>
      <w:proofErr w:type="spellStart"/>
      <w:r>
        <w:rPr>
          <w:rFonts w:ascii="Consolas" w:eastAsia="Consolas" w:hAnsi="Consolas" w:cs="Consolas"/>
          <w:sz w:val="20"/>
          <w:szCs w:val="20"/>
        </w:rPr>
        <w:t>i,e</w:t>
      </w:r>
      <w:proofErr w:type="spellEnd"/>
      <w:r>
        <w:rPr>
          <w:rFonts w:ascii="Consolas" w:eastAsia="Consolas" w:hAnsi="Consolas" w:cs="Consolas"/>
          <w:sz w:val="20"/>
          <w:szCs w:val="20"/>
        </w:rPr>
        <w:t>} = CAR_{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,[t0,t0+h]}</w:t>
      </w:r>
    </w:p>
    <w:p w14:paraId="0000002D" w14:textId="77777777" w:rsidR="00407855" w:rsidRDefault="00407855">
      <w:pPr>
        <w:spacing w:after="0"/>
        <w:jc w:val="both"/>
        <w:rPr>
          <w:rFonts w:ascii="Consolas" w:eastAsia="Consolas" w:hAnsi="Consolas" w:cs="Consolas"/>
          <w:sz w:val="20"/>
          <w:szCs w:val="20"/>
        </w:rPr>
      </w:pPr>
    </w:p>
    <w:p w14:paraId="0000002E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Why CAR?</w:t>
      </w:r>
    </w:p>
    <w:p w14:paraId="0000002F" w14:textId="77777777" w:rsidR="0040785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cumulative abnormal return (CAR) is the standard metric in event study methodology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MacKinlay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1997) because it isolates the unexpected component of returns around a discrete information event. By estimating abnormal returns using a factor model (e.g., Market + Sector or Fama-French), the shock is purged of systematic risk exposures.</w:t>
      </w:r>
    </w:p>
    <w:p w14:paraId="00000030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1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2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Step 2: Leave-One-Out Basket Return (ETF-Level)</w:t>
      </w:r>
    </w:p>
    <w:p w14:paraId="00000033" w14:textId="77777777" w:rsidR="00407855" w:rsidRDefault="00407855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34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 avoid mechanically capturing the ETF move driven directly by the shocked stock’s own weight, define a leave-one-out ETF response:</w:t>
      </w:r>
    </w:p>
    <w:p w14:paraId="00000035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6" w14:textId="77777777" w:rsidR="00407855" w:rsidRDefault="00000000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AR^{(-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)}_{</w:t>
      </w:r>
      <w:proofErr w:type="spellStart"/>
      <w:r>
        <w:rPr>
          <w:sz w:val="20"/>
          <w:szCs w:val="20"/>
        </w:rPr>
        <w:t>k,e</w:t>
      </w:r>
      <w:proofErr w:type="spellEnd"/>
      <w:r>
        <w:rPr>
          <w:sz w:val="20"/>
          <w:szCs w:val="20"/>
        </w:rPr>
        <w:t>} = AR_{</w:t>
      </w:r>
      <w:proofErr w:type="spellStart"/>
      <w:r>
        <w:rPr>
          <w:sz w:val="20"/>
          <w:szCs w:val="20"/>
        </w:rPr>
        <w:t>k,e</w:t>
      </w:r>
      <w:proofErr w:type="spellEnd"/>
      <w:r>
        <w:rPr>
          <w:sz w:val="20"/>
          <w:szCs w:val="20"/>
        </w:rPr>
        <w:t>} - w_{i,k,t0} × AR_{</w:t>
      </w:r>
      <w:proofErr w:type="spellStart"/>
      <w:r>
        <w:rPr>
          <w:sz w:val="20"/>
          <w:szCs w:val="20"/>
        </w:rPr>
        <w:t>i,e</w:t>
      </w:r>
      <w:proofErr w:type="spellEnd"/>
      <w:r>
        <w:rPr>
          <w:sz w:val="20"/>
          <w:szCs w:val="20"/>
        </w:rPr>
        <w:t>}</w:t>
      </w:r>
    </w:p>
    <w:p w14:paraId="00000037" w14:textId="77777777" w:rsidR="00407855" w:rsidRDefault="00407855">
      <w:pPr>
        <w:spacing w:after="0"/>
        <w:jc w:val="both"/>
        <w:rPr>
          <w:sz w:val="20"/>
          <w:szCs w:val="20"/>
        </w:rPr>
      </w:pPr>
    </w:p>
    <w:p w14:paraId="00000038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isolates the reaction of the remaining basket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constituents.Without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removing the first term, any ETF reaction would mechanically reflect the shock to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39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A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3. Mechanism Variables</w:t>
      </w:r>
    </w:p>
    <w:p w14:paraId="0000003B" w14:textId="77777777" w:rsidR="00407855" w:rsidRDefault="00407855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3C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3.1 Mispricing / Arbitrage Channel</w:t>
      </w:r>
    </w:p>
    <w:p w14:paraId="0000003D" w14:textId="77777777" w:rsidR="00407855" w:rsidRDefault="00407855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3E" w14:textId="77777777" w:rsidR="00407855" w:rsidRDefault="00000000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Mispricing_{</w:t>
      </w:r>
      <w:proofErr w:type="spellStart"/>
      <w:r>
        <w:rPr>
          <w:sz w:val="20"/>
          <w:szCs w:val="20"/>
        </w:rPr>
        <w:t>k,t</w:t>
      </w:r>
      <w:proofErr w:type="spellEnd"/>
      <w:r>
        <w:rPr>
          <w:sz w:val="20"/>
          <w:szCs w:val="20"/>
        </w:rPr>
        <w:t>} = (P^{ETF}_{</w:t>
      </w:r>
      <w:proofErr w:type="spellStart"/>
      <w:r>
        <w:rPr>
          <w:sz w:val="20"/>
          <w:szCs w:val="20"/>
        </w:rPr>
        <w:t>k,t</w:t>
      </w:r>
      <w:proofErr w:type="spellEnd"/>
      <w:r>
        <w:rPr>
          <w:sz w:val="20"/>
          <w:szCs w:val="20"/>
        </w:rPr>
        <w:t>} - NAV_{</w:t>
      </w:r>
      <w:proofErr w:type="spellStart"/>
      <w:r>
        <w:rPr>
          <w:sz w:val="20"/>
          <w:szCs w:val="20"/>
        </w:rPr>
        <w:t>k,t</w:t>
      </w:r>
      <w:proofErr w:type="spellEnd"/>
      <w:r>
        <w:rPr>
          <w:sz w:val="20"/>
          <w:szCs w:val="20"/>
        </w:rPr>
        <w:t>}) / NAV_{</w:t>
      </w:r>
      <w:proofErr w:type="spellStart"/>
      <w:r>
        <w:rPr>
          <w:sz w:val="20"/>
          <w:szCs w:val="20"/>
        </w:rPr>
        <w:t>k,t</w:t>
      </w:r>
      <w:proofErr w:type="spellEnd"/>
      <w:r>
        <w:rPr>
          <w:sz w:val="20"/>
          <w:szCs w:val="20"/>
        </w:rPr>
        <w:t>}</w:t>
      </w:r>
    </w:p>
    <w:p w14:paraId="0000003F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This captures ETF premium/discount and proxies arbitrage intensity.</w:t>
      </w:r>
    </w:p>
    <w:p w14:paraId="00000040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41" w14:textId="77777777" w:rsidR="00407855" w:rsidRDefault="00000000">
      <w:pPr>
        <w:pStyle w:val="Heading3"/>
        <w:keepNext w:val="0"/>
        <w:keepLines w:val="0"/>
        <w:spacing w:before="280" w:after="8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73ftzoz59za1" w:colFirst="0" w:colLast="0"/>
      <w:bookmarkEnd w:id="0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Why include mispricing?</w:t>
      </w:r>
    </w:p>
    <w:p w14:paraId="00000042" w14:textId="77777777" w:rsidR="0040785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 the ETF arbitrage literature, premium/discount reflects temporary deviations between ETF price and underlying value. When mispricing increases:</w:t>
      </w:r>
    </w:p>
    <w:p w14:paraId="00000043" w14:textId="77777777" w:rsidR="00407855" w:rsidRDefault="0000000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Authorized participants engage in creation/redemption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0000044" w14:textId="77777777" w:rsidR="00407855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They trade the entire basket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0000045" w14:textId="77777777" w:rsidR="00407855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This can transmit non-fundamental shocks</w:t>
      </w:r>
    </w:p>
    <w:p w14:paraId="00000046" w14:textId="77777777" w:rsidR="0040785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Therefore, if spillovers are stronger when mispricing is large, this supports a mechanical arbitrage channel rather than informational contagion.</w:t>
      </w:r>
    </w:p>
    <w:p w14:paraId="00000047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48" w14:textId="77777777" w:rsidR="00407855" w:rsidRPr="00250B33" w:rsidRDefault="00000000">
      <w:pPr>
        <w:spacing w:after="0"/>
        <w:jc w:val="both"/>
        <w:rPr>
          <w:rFonts w:ascii="Arial" w:eastAsia="Arial" w:hAnsi="Arial" w:cs="Arial"/>
          <w:b/>
          <w:bCs/>
          <w:color w:val="EE0000"/>
          <w:sz w:val="20"/>
          <w:szCs w:val="20"/>
        </w:rPr>
      </w:pPr>
      <w:r w:rsidRPr="00250B33">
        <w:rPr>
          <w:rFonts w:ascii="Arial" w:eastAsia="Arial" w:hAnsi="Arial" w:cs="Arial"/>
          <w:b/>
          <w:bCs/>
          <w:color w:val="EE0000"/>
          <w:sz w:val="20"/>
          <w:szCs w:val="20"/>
        </w:rPr>
        <w:t>3.2 Creation-Redemption / Flow Channel</w:t>
      </w:r>
    </w:p>
    <w:p w14:paraId="00000049" w14:textId="77777777" w:rsidR="00407855" w:rsidRPr="00250B33" w:rsidRDefault="00407855">
      <w:pPr>
        <w:spacing w:after="0"/>
        <w:jc w:val="both"/>
        <w:rPr>
          <w:rFonts w:ascii="Arial" w:eastAsia="Arial" w:hAnsi="Arial" w:cs="Arial"/>
          <w:b/>
          <w:bCs/>
          <w:color w:val="EE0000"/>
          <w:sz w:val="20"/>
          <w:szCs w:val="20"/>
        </w:rPr>
      </w:pPr>
    </w:p>
    <w:p w14:paraId="0000004A" w14:textId="77777777" w:rsidR="00407855" w:rsidRPr="00250B33" w:rsidRDefault="00000000">
      <w:pPr>
        <w:spacing w:after="0"/>
        <w:jc w:val="both"/>
        <w:rPr>
          <w:color w:val="EE0000"/>
          <w:sz w:val="20"/>
          <w:szCs w:val="20"/>
        </w:rPr>
      </w:pPr>
      <w:r w:rsidRPr="00250B33">
        <w:rPr>
          <w:color w:val="EE0000"/>
          <w:sz w:val="20"/>
          <w:szCs w:val="20"/>
        </w:rPr>
        <w:t>Flow_{</w:t>
      </w:r>
      <w:proofErr w:type="spellStart"/>
      <w:r w:rsidRPr="00250B33">
        <w:rPr>
          <w:color w:val="EE0000"/>
          <w:sz w:val="20"/>
          <w:szCs w:val="20"/>
        </w:rPr>
        <w:t>k,t</w:t>
      </w:r>
      <w:proofErr w:type="spellEnd"/>
      <w:r w:rsidRPr="00250B33">
        <w:rPr>
          <w:color w:val="EE0000"/>
          <w:sz w:val="20"/>
          <w:szCs w:val="20"/>
        </w:rPr>
        <w:t xml:space="preserve">} ∝ </w:t>
      </w:r>
      <w:proofErr w:type="spellStart"/>
      <w:r w:rsidRPr="00250B33">
        <w:rPr>
          <w:color w:val="EE0000"/>
          <w:sz w:val="20"/>
          <w:szCs w:val="20"/>
        </w:rPr>
        <w:t>ΔSharesOutstanding</w:t>
      </w:r>
      <w:proofErr w:type="spellEnd"/>
      <w:r w:rsidRPr="00250B33">
        <w:rPr>
          <w:color w:val="EE0000"/>
          <w:sz w:val="20"/>
          <w:szCs w:val="20"/>
        </w:rPr>
        <w:t>_{</w:t>
      </w:r>
      <w:proofErr w:type="spellStart"/>
      <w:r w:rsidRPr="00250B33">
        <w:rPr>
          <w:color w:val="EE0000"/>
          <w:sz w:val="20"/>
          <w:szCs w:val="20"/>
        </w:rPr>
        <w:t>k,t</w:t>
      </w:r>
      <w:proofErr w:type="spellEnd"/>
      <w:r w:rsidRPr="00250B33">
        <w:rPr>
          <w:color w:val="EE0000"/>
          <w:sz w:val="20"/>
          <w:szCs w:val="20"/>
        </w:rPr>
        <w:t>} × Price_{</w:t>
      </w:r>
      <w:proofErr w:type="spellStart"/>
      <w:r w:rsidRPr="00250B33">
        <w:rPr>
          <w:color w:val="EE0000"/>
          <w:sz w:val="20"/>
          <w:szCs w:val="20"/>
        </w:rPr>
        <w:t>k,t</w:t>
      </w:r>
      <w:proofErr w:type="spellEnd"/>
      <w:r w:rsidRPr="00250B33">
        <w:rPr>
          <w:color w:val="EE0000"/>
          <w:sz w:val="20"/>
          <w:szCs w:val="20"/>
        </w:rPr>
        <w:t>}</w:t>
      </w:r>
    </w:p>
    <w:p w14:paraId="0000004B" w14:textId="77777777" w:rsidR="00407855" w:rsidRPr="00250B33" w:rsidRDefault="00000000">
      <w:pPr>
        <w:spacing w:after="0"/>
        <w:jc w:val="both"/>
        <w:rPr>
          <w:rFonts w:ascii="Times New Roman" w:eastAsia="Times New Roman" w:hAnsi="Times New Roman" w:cs="Times New Roman"/>
          <w:color w:val="EE0000"/>
          <w:sz w:val="20"/>
          <w:szCs w:val="20"/>
        </w:rPr>
      </w:pPr>
      <w:r w:rsidRPr="00250B33">
        <w:rPr>
          <w:rFonts w:ascii="Times New Roman" w:eastAsia="Times New Roman" w:hAnsi="Times New Roman" w:cs="Times New Roman"/>
          <w:color w:val="EE0000"/>
          <w:sz w:val="20"/>
          <w:szCs w:val="20"/>
        </w:rPr>
        <w:t>This measures ETF inflows/outflows and mechanical basket trading pressure.</w:t>
      </w:r>
    </w:p>
    <w:p w14:paraId="0000004C" w14:textId="77777777" w:rsidR="00407855" w:rsidRPr="00250B33" w:rsidRDefault="00000000">
      <w:pPr>
        <w:pStyle w:val="Heading3"/>
        <w:keepNext w:val="0"/>
        <w:keepLines w:val="0"/>
        <w:spacing w:before="280" w:after="80"/>
        <w:jc w:val="both"/>
        <w:rPr>
          <w:rFonts w:ascii="Times New Roman" w:eastAsia="Times New Roman" w:hAnsi="Times New Roman" w:cs="Times New Roman"/>
          <w:color w:val="EE0000"/>
          <w:sz w:val="20"/>
          <w:szCs w:val="20"/>
        </w:rPr>
      </w:pPr>
      <w:bookmarkStart w:id="1" w:name="_heading=h.e117on5p72g" w:colFirst="0" w:colLast="0"/>
      <w:bookmarkEnd w:id="1"/>
      <w:r w:rsidRPr="00250B33">
        <w:rPr>
          <w:rFonts w:ascii="Times New Roman" w:eastAsia="Times New Roman" w:hAnsi="Times New Roman" w:cs="Times New Roman"/>
          <w:color w:val="EE0000"/>
          <w:sz w:val="20"/>
          <w:szCs w:val="20"/>
        </w:rPr>
        <w:t>Why measure flows?</w:t>
      </w:r>
    </w:p>
    <w:p w14:paraId="0000004D" w14:textId="77777777" w:rsidR="00407855" w:rsidRPr="00250B33" w:rsidRDefault="00000000">
      <w:pPr>
        <w:spacing w:before="240" w:after="240"/>
        <w:jc w:val="both"/>
        <w:rPr>
          <w:rFonts w:ascii="Times New Roman" w:eastAsia="Times New Roman" w:hAnsi="Times New Roman" w:cs="Times New Roman"/>
          <w:color w:val="EE0000"/>
          <w:sz w:val="20"/>
          <w:szCs w:val="20"/>
        </w:rPr>
      </w:pPr>
      <w:r w:rsidRPr="00250B33">
        <w:rPr>
          <w:rFonts w:ascii="Times New Roman" w:eastAsia="Times New Roman" w:hAnsi="Times New Roman" w:cs="Times New Roman"/>
          <w:color w:val="EE0000"/>
          <w:sz w:val="20"/>
          <w:szCs w:val="20"/>
        </w:rPr>
        <w:lastRenderedPageBreak/>
        <w:t>ETF flows induce proportional trading of all constituents. When shares outstanding change:</w:t>
      </w:r>
    </w:p>
    <w:p w14:paraId="0000004E" w14:textId="77777777" w:rsidR="00407855" w:rsidRPr="00250B33" w:rsidRDefault="0000000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color w:val="EE0000"/>
          <w:sz w:val="20"/>
          <w:szCs w:val="20"/>
        </w:rPr>
      </w:pPr>
      <w:sdt>
        <w:sdtPr>
          <w:rPr>
            <w:color w:val="EE0000"/>
          </w:rPr>
          <w:tag w:val="goog_rdk_2"/>
          <w:id w:val="-1872784004"/>
        </w:sdtPr>
        <w:sdtContent>
          <w:r w:rsidRPr="00250B33">
            <w:rPr>
              <w:rFonts w:ascii="Cardo" w:eastAsia="Cardo" w:hAnsi="Cardo" w:cs="Cardo"/>
              <w:color w:val="EE0000"/>
              <w:sz w:val="20"/>
              <w:szCs w:val="20"/>
            </w:rPr>
            <w:t>Creations → basket buying pressure</w:t>
          </w:r>
          <w:r w:rsidRPr="00250B33">
            <w:rPr>
              <w:rFonts w:ascii="Cardo" w:eastAsia="Cardo" w:hAnsi="Cardo" w:cs="Cardo"/>
              <w:color w:val="EE0000"/>
              <w:sz w:val="20"/>
              <w:szCs w:val="20"/>
            </w:rPr>
            <w:br/>
          </w:r>
        </w:sdtContent>
      </w:sdt>
    </w:p>
    <w:p w14:paraId="0000004F" w14:textId="77777777" w:rsidR="00407855" w:rsidRPr="00250B33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color w:val="EE0000"/>
          <w:sz w:val="20"/>
          <w:szCs w:val="20"/>
        </w:rPr>
      </w:pPr>
      <w:sdt>
        <w:sdtPr>
          <w:rPr>
            <w:color w:val="EE0000"/>
          </w:rPr>
          <w:tag w:val="goog_rdk_3"/>
          <w:id w:val="835910153"/>
        </w:sdtPr>
        <w:sdtContent>
          <w:r w:rsidRPr="00250B33">
            <w:rPr>
              <w:rFonts w:ascii="Cardo" w:eastAsia="Cardo" w:hAnsi="Cardo" w:cs="Cardo"/>
              <w:color w:val="EE0000"/>
              <w:sz w:val="20"/>
              <w:szCs w:val="20"/>
            </w:rPr>
            <w:t>Redemptions → basket selling pressure</w:t>
          </w:r>
        </w:sdtContent>
      </w:sdt>
    </w:p>
    <w:p w14:paraId="00000050" w14:textId="77777777" w:rsidR="00407855" w:rsidRPr="00250B33" w:rsidRDefault="00000000">
      <w:pPr>
        <w:spacing w:before="240" w:after="240"/>
        <w:jc w:val="both"/>
        <w:rPr>
          <w:rFonts w:ascii="Times New Roman" w:eastAsia="Times New Roman" w:hAnsi="Times New Roman" w:cs="Times New Roman"/>
          <w:color w:val="EE0000"/>
          <w:sz w:val="20"/>
          <w:szCs w:val="20"/>
        </w:rPr>
      </w:pPr>
      <w:r w:rsidRPr="00250B33">
        <w:rPr>
          <w:rFonts w:ascii="Times New Roman" w:eastAsia="Times New Roman" w:hAnsi="Times New Roman" w:cs="Times New Roman"/>
          <w:color w:val="EE0000"/>
          <w:sz w:val="20"/>
          <w:szCs w:val="20"/>
        </w:rPr>
        <w:t>If spillovers intensify on high-flow days, it supports the hypothesis that transmission occurs via basket trading.</w:t>
      </w:r>
    </w:p>
    <w:p w14:paraId="00000051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52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4. Core Intra-ETF Spillover Regression</w:t>
      </w:r>
    </w:p>
    <w:p w14:paraId="00000053" w14:textId="77777777" w:rsidR="00407855" w:rsidRDefault="00000000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AR_{</w:t>
      </w:r>
      <w:proofErr w:type="spellStart"/>
      <w:r>
        <w:rPr>
          <w:sz w:val="20"/>
          <w:szCs w:val="20"/>
        </w:rPr>
        <w:t>j,e</w:t>
      </w:r>
      <w:proofErr w:type="spellEnd"/>
      <w:r>
        <w:rPr>
          <w:sz w:val="20"/>
          <w:szCs w:val="20"/>
        </w:rPr>
        <w:t>} = α + β1 (Shock_{</w:t>
      </w:r>
      <w:proofErr w:type="spellStart"/>
      <w:r>
        <w:rPr>
          <w:sz w:val="20"/>
          <w:szCs w:val="20"/>
        </w:rPr>
        <w:t>i,e</w:t>
      </w:r>
      <w:proofErr w:type="spellEnd"/>
      <w:r>
        <w:rPr>
          <w:sz w:val="20"/>
          <w:szCs w:val="20"/>
        </w:rPr>
        <w:t xml:space="preserve">} × w_{i,k,t0}) </w:t>
      </w:r>
    </w:p>
    <w:p w14:paraId="00000054" w14:textId="77777777" w:rsidR="00407855" w:rsidRDefault="00000000">
      <w:pPr>
        <w:spacing w:after="0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+ β2 (Shock_{</w:t>
      </w:r>
      <w:proofErr w:type="spellStart"/>
      <w:r>
        <w:rPr>
          <w:sz w:val="20"/>
          <w:szCs w:val="20"/>
        </w:rPr>
        <w:t>i,e</w:t>
      </w:r>
      <w:proofErr w:type="spellEnd"/>
      <w:r>
        <w:rPr>
          <w:sz w:val="20"/>
          <w:szCs w:val="20"/>
        </w:rPr>
        <w:t xml:space="preserve">} × w_{i,k,t0} × </w:t>
      </w:r>
      <w:proofErr w:type="spellStart"/>
      <w:r>
        <w:rPr>
          <w:sz w:val="20"/>
          <w:szCs w:val="20"/>
        </w:rPr>
        <w:t>Illiq</w:t>
      </w:r>
      <w:proofErr w:type="spellEnd"/>
      <w:r>
        <w:rPr>
          <w:sz w:val="20"/>
          <w:szCs w:val="20"/>
        </w:rPr>
        <w:t xml:space="preserve">_{j,t0}) </w:t>
      </w:r>
    </w:p>
    <w:p w14:paraId="00000055" w14:textId="77777777" w:rsidR="00407855" w:rsidRPr="007476A8" w:rsidRDefault="00000000">
      <w:pPr>
        <w:spacing w:after="0"/>
        <w:ind w:left="720"/>
        <w:jc w:val="both"/>
        <w:rPr>
          <w:color w:val="C00000"/>
          <w:sz w:val="20"/>
          <w:szCs w:val="20"/>
        </w:rPr>
      </w:pPr>
      <w:r w:rsidRPr="007476A8">
        <w:rPr>
          <w:color w:val="C00000"/>
          <w:sz w:val="20"/>
          <w:szCs w:val="20"/>
        </w:rPr>
        <w:t>+ β3 (Shock_{</w:t>
      </w:r>
      <w:proofErr w:type="spellStart"/>
      <w:r w:rsidRPr="007476A8">
        <w:rPr>
          <w:color w:val="C00000"/>
          <w:sz w:val="20"/>
          <w:szCs w:val="20"/>
        </w:rPr>
        <w:t>i,e</w:t>
      </w:r>
      <w:proofErr w:type="spellEnd"/>
      <w:r w:rsidRPr="007476A8">
        <w:rPr>
          <w:color w:val="C00000"/>
          <w:sz w:val="20"/>
          <w:szCs w:val="20"/>
        </w:rPr>
        <w:t xml:space="preserve">} × w_{i,k,t0} × Flow_{k,t0}) </w:t>
      </w:r>
    </w:p>
    <w:p w14:paraId="00000056" w14:textId="77777777" w:rsidR="00407855" w:rsidRPr="007476A8" w:rsidRDefault="00000000">
      <w:pPr>
        <w:spacing w:after="0"/>
        <w:ind w:left="720"/>
        <w:jc w:val="both"/>
        <w:rPr>
          <w:sz w:val="20"/>
          <w:szCs w:val="20"/>
        </w:rPr>
      </w:pPr>
      <w:r w:rsidRPr="007476A8">
        <w:rPr>
          <w:sz w:val="20"/>
          <w:szCs w:val="20"/>
        </w:rPr>
        <w:t>+ β4 (Shock_{</w:t>
      </w:r>
      <w:proofErr w:type="spellStart"/>
      <w:r w:rsidRPr="007476A8">
        <w:rPr>
          <w:sz w:val="20"/>
          <w:szCs w:val="20"/>
        </w:rPr>
        <w:t>i,e</w:t>
      </w:r>
      <w:proofErr w:type="spellEnd"/>
      <w:r w:rsidRPr="007476A8">
        <w:rPr>
          <w:sz w:val="20"/>
          <w:szCs w:val="20"/>
        </w:rPr>
        <w:t xml:space="preserve">} × w_{i,k,t0} × Mispricing_{k,t0}) </w:t>
      </w:r>
    </w:p>
    <w:p w14:paraId="68A1266C" w14:textId="2A54AFD1" w:rsidR="00250B33" w:rsidRDefault="00000000">
      <w:pPr>
        <w:spacing w:after="0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+ β5 (Shock_{</w:t>
      </w:r>
      <w:proofErr w:type="spellStart"/>
      <w:r>
        <w:rPr>
          <w:sz w:val="20"/>
          <w:szCs w:val="20"/>
        </w:rPr>
        <w:t>i,e</w:t>
      </w:r>
      <w:proofErr w:type="spellEnd"/>
      <w:r>
        <w:rPr>
          <w:sz w:val="20"/>
          <w:szCs w:val="20"/>
        </w:rPr>
        <w:t>} × Similarity_{</w:t>
      </w:r>
      <w:proofErr w:type="spellStart"/>
      <w:r>
        <w:rPr>
          <w:sz w:val="20"/>
          <w:szCs w:val="20"/>
        </w:rPr>
        <w:t>ij</w:t>
      </w:r>
      <w:proofErr w:type="spellEnd"/>
      <w:r>
        <w:rPr>
          <w:sz w:val="20"/>
          <w:szCs w:val="20"/>
        </w:rPr>
        <w:t xml:space="preserve">}) </w:t>
      </w:r>
    </w:p>
    <w:p w14:paraId="7CF96276" w14:textId="06D30C07" w:rsidR="00F03795" w:rsidRDefault="00F03795">
      <w:pPr>
        <w:spacing w:after="0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+ </w:t>
      </w:r>
      <w:r>
        <w:rPr>
          <w:sz w:val="20"/>
          <w:szCs w:val="20"/>
        </w:rPr>
        <w:t>β</w:t>
      </w:r>
      <w:r>
        <w:rPr>
          <w:sz w:val="20"/>
          <w:szCs w:val="20"/>
        </w:rPr>
        <w:t>6 Sentiment (To Be Defined)</w:t>
      </w:r>
    </w:p>
    <w:p w14:paraId="00000058" w14:textId="77777777" w:rsidR="00407855" w:rsidRDefault="00000000">
      <w:pPr>
        <w:spacing w:after="0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+ Controls + ε_{</w:t>
      </w:r>
      <w:proofErr w:type="spellStart"/>
      <w:r>
        <w:rPr>
          <w:sz w:val="20"/>
          <w:szCs w:val="20"/>
        </w:rPr>
        <w:t>j,e</w:t>
      </w:r>
      <w:proofErr w:type="spellEnd"/>
      <w:r>
        <w:rPr>
          <w:sz w:val="20"/>
          <w:szCs w:val="20"/>
        </w:rPr>
        <w:t>}</w:t>
      </w:r>
    </w:p>
    <w:p w14:paraId="00000059" w14:textId="77777777" w:rsidR="00407855" w:rsidRDefault="00407855">
      <w:pPr>
        <w:spacing w:after="0"/>
        <w:jc w:val="both"/>
        <w:rPr>
          <w:rFonts w:ascii="Consolas" w:eastAsia="Consolas" w:hAnsi="Consolas" w:cs="Consolas"/>
          <w:sz w:val="20"/>
          <w:szCs w:val="20"/>
        </w:rPr>
      </w:pPr>
    </w:p>
    <w:p w14:paraId="0000005A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Interpretation:</w:t>
      </w:r>
    </w:p>
    <w:p w14:paraId="0000005B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β1: Baseline intra-ETF propagation scaling with constituent weight.</w:t>
      </w:r>
    </w:p>
    <w:p w14:paraId="0000005C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β2: Liquidity channel (price pressure amplification).</w:t>
      </w:r>
    </w:p>
    <w:p w14:paraId="0000005D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β3: Flow channel (creation/redemption amplification).</w:t>
      </w:r>
    </w:p>
    <w:p w14:paraId="0000005E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β4: Arbitrage channel (mispricing amplification).</w:t>
      </w:r>
    </w:p>
    <w:p w14:paraId="0000005F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β5: Informational spillovers (economic relatedness: same sector, industry, supply chain linkages).</w:t>
      </w:r>
    </w:p>
    <w:p w14:paraId="00000060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61" w14:textId="77777777" w:rsidR="00407855" w:rsidRDefault="00000000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5. Asymmetry and Event-Type Heterogeneity</w:t>
      </w:r>
    </w:p>
    <w:p w14:paraId="00000062" w14:textId="77777777" w:rsidR="00407855" w:rsidRDefault="00407855">
      <w:pPr>
        <w:spacing w:after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63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Include interaction terms to test whether negative shocks propagate more strongly:</w:t>
      </w:r>
    </w:p>
    <w:p w14:paraId="00000064" w14:textId="77777777" w:rsidR="00407855" w:rsidRDefault="00000000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AR_{</w:t>
      </w:r>
      <w:proofErr w:type="spellStart"/>
      <w:r>
        <w:rPr>
          <w:sz w:val="20"/>
          <w:szCs w:val="20"/>
        </w:rPr>
        <w:t>j,e</w:t>
      </w:r>
      <w:proofErr w:type="spellEnd"/>
      <w:r>
        <w:rPr>
          <w:sz w:val="20"/>
          <w:szCs w:val="20"/>
        </w:rPr>
        <w:t>} = ... + δ (</w:t>
      </w:r>
      <w:proofErr w:type="spellStart"/>
      <w:r>
        <w:rPr>
          <w:sz w:val="20"/>
          <w:szCs w:val="20"/>
        </w:rPr>
        <w:t>Neg_e</w:t>
      </w:r>
      <w:proofErr w:type="spellEnd"/>
      <w:r>
        <w:rPr>
          <w:sz w:val="20"/>
          <w:szCs w:val="20"/>
        </w:rPr>
        <w:t xml:space="preserve"> × Shock_{</w:t>
      </w:r>
      <w:proofErr w:type="spellStart"/>
      <w:r>
        <w:rPr>
          <w:sz w:val="20"/>
          <w:szCs w:val="20"/>
        </w:rPr>
        <w:t>i,e</w:t>
      </w:r>
      <w:proofErr w:type="spellEnd"/>
      <w:r>
        <w:rPr>
          <w:sz w:val="20"/>
          <w:szCs w:val="20"/>
        </w:rPr>
        <w:t>} × w_{i,k,t0}) + …</w:t>
      </w:r>
    </w:p>
    <w:p w14:paraId="00000065" w14:textId="77777777" w:rsidR="00407855" w:rsidRDefault="00407855">
      <w:pPr>
        <w:spacing w:after="0"/>
        <w:jc w:val="both"/>
        <w:rPr>
          <w:sz w:val="20"/>
          <w:szCs w:val="20"/>
        </w:rPr>
      </w:pPr>
    </w:p>
    <w:p w14:paraId="00000066" w14:textId="77777777" w:rsidR="00407855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Allow heterogeneous coefficients across event types (earnings, CEO, regulatory, etc.).</w:t>
      </w:r>
    </w:p>
    <w:p w14:paraId="00000067" w14:textId="77777777" w:rsidR="00407855" w:rsidRDefault="0040785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407855">
      <w:pgSz w:w="12240" w:h="15840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F3469F-01E1-48F0-A352-A591195DFF82}"/>
    <w:embedBold r:id="rId2" w:fontKey="{735F08E0-6871-45FE-8705-4336A6350247}"/>
    <w:embedItalic r:id="rId3" w:fontKey="{85DBF99E-76AE-447D-B91C-69D0FB51BB28}"/>
    <w:embedBoldItalic r:id="rId4" w:fontKey="{F67F7D60-9832-46B5-912A-2548DC30A7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45E1AB5-DCBB-42C3-B061-14F9F8F0084A}"/>
    <w:embedBold r:id="rId6" w:fontKey="{F228C106-E17C-46D4-9F46-8CFE64EECF51}"/>
    <w:embedItalic r:id="rId7" w:fontKey="{CE85D8A3-E4FF-4E8A-99B3-8A9001E75894}"/>
    <w:embedBoldItalic r:id="rId8" w:fontKey="{6C3D1820-720A-4111-BB3F-57B4C3FCD74B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1BE38BE-C503-4742-B1FB-ABB0243C9BFC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0" w:subsetted="1" w:fontKey="{1D30FD10-DB41-487F-8340-057F7C5ED03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2677EA5E-7EEA-488D-9426-FD04F3DCEC3C}"/>
  </w:font>
  <w:font w:name="Cardo">
    <w:charset w:val="00"/>
    <w:family w:val="auto"/>
    <w:pitch w:val="default"/>
    <w:embedRegular r:id="rId12" w:fontKey="{4B31D351-7E7C-47E6-B270-86F6B2499F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06003"/>
    <w:multiLevelType w:val="multilevel"/>
    <w:tmpl w:val="51407C8E"/>
    <w:lvl w:ilvl="0">
      <w:start w:val="1"/>
      <w:numFmt w:val="bullet"/>
      <w:pStyle w:val="ListBullet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A14BF"/>
    <w:multiLevelType w:val="multilevel"/>
    <w:tmpl w:val="1CA41926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FF41665"/>
    <w:multiLevelType w:val="multilevel"/>
    <w:tmpl w:val="BE80C32E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3170665">
    <w:abstractNumId w:val="2"/>
  </w:num>
  <w:num w:numId="2" w16cid:durableId="326906653">
    <w:abstractNumId w:val="0"/>
  </w:num>
  <w:num w:numId="3" w16cid:durableId="403917636">
    <w:abstractNumId w:val="1"/>
  </w:num>
  <w:num w:numId="4" w16cid:durableId="760101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09873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44805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855"/>
    <w:rsid w:val="00250B33"/>
    <w:rsid w:val="00407855"/>
    <w:rsid w:val="004846DE"/>
    <w:rsid w:val="005308A7"/>
    <w:rsid w:val="006A5A26"/>
    <w:rsid w:val="006C26FD"/>
    <w:rsid w:val="007476A8"/>
    <w:rsid w:val="00F0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76342"/>
  <w15:docId w15:val="{D8066ED8-DDD7-4481-AEB5-4BF84389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+J0EcN8iYWqZ3P7c1UnvNc4xzQ==">CgMxLjAaJQoBMBIgCh4IB0IaCg9UaW1lcyBOZXcgUm9tYW4SB0d1bmdzdWgaJQoBMRIgCh4IB0IaCg9UaW1lcyBOZXcgUm9tYW4SB0d1bmdzdWgaIwoBMhIeChwIB0IYCg9UaW1lcyBOZXcgUm9tYW4SBUNhcmRvGiMKATMSHgocCAdCGAoPVGltZXMgTmV3IFJvbWFuEgVDYXJkbzIOaC43M2Z0em96NTl6YTEyDWguZTExN29uNXA3Mmc4AHIhMVlFNlhaUkpVYmsxM3ZfNTVPMm5zb0loTGpNd1ZiNl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GABRIEL GUERRA FERNÁNDEZ</cp:lastModifiedBy>
  <cp:revision>3</cp:revision>
  <dcterms:created xsi:type="dcterms:W3CDTF">2013-12-23T23:15:00Z</dcterms:created>
  <dcterms:modified xsi:type="dcterms:W3CDTF">2026-02-27T16:23:00Z</dcterms:modified>
</cp:coreProperties>
</file>