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B6359" w14:textId="77777777" w:rsidR="004407D3" w:rsidRDefault="00000000">
      <w:pPr>
        <w:spacing w:before="1440" w:after="200"/>
        <w:jc w:val="center"/>
      </w:pPr>
      <w:r>
        <w:rPr>
          <w:b/>
          <w:bCs/>
          <w:color w:val="1F4E79"/>
          <w:sz w:val="52"/>
          <w:szCs w:val="52"/>
        </w:rPr>
        <w:t>Intra-ETF Spillover Analysis</w:t>
      </w:r>
    </w:p>
    <w:p w14:paraId="7C4F304F" w14:textId="77777777" w:rsidR="004407D3" w:rsidRDefault="00000000">
      <w:pPr>
        <w:spacing w:after="200"/>
        <w:jc w:val="center"/>
      </w:pPr>
      <w:r>
        <w:rPr>
          <w:color w:val="595959"/>
          <w:sz w:val="28"/>
          <w:szCs w:val="28"/>
        </w:rPr>
        <w:t>Technical Summary: Data Pipeline, Model Design and Preliminary Results</w:t>
      </w:r>
    </w:p>
    <w:p w14:paraId="04FD44E2" w14:textId="77777777" w:rsidR="004407D3" w:rsidRDefault="00000000">
      <w:pPr>
        <w:spacing w:after="1440"/>
        <w:jc w:val="center"/>
      </w:pPr>
      <w:r>
        <w:rPr>
          <w:i/>
          <w:iCs/>
          <w:color w:val="595959"/>
        </w:rPr>
        <w:t>Master's Thesis (TFM) — Progress Report</w:t>
      </w:r>
    </w:p>
    <w:p w14:paraId="03484116" w14:textId="77777777" w:rsidR="004407D3" w:rsidRDefault="004407D3">
      <w:pPr>
        <w:spacing w:before="80" w:after="80"/>
      </w:pPr>
    </w:p>
    <w:p w14:paraId="05F59833" w14:textId="77777777" w:rsidR="004407D3" w:rsidRDefault="00000000">
      <w:pPr>
        <w:pStyle w:val="Heading1"/>
        <w:pBdr>
          <w:bottom w:val="single" w:sz="6" w:space="1" w:color="1F4E79"/>
        </w:pBdr>
      </w:pPr>
      <w:r>
        <w:t>1. Project Overview</w:t>
      </w:r>
    </w:p>
    <w:p w14:paraId="39DCA0A4" w14:textId="77777777" w:rsidR="004407D3" w:rsidRDefault="00000000">
      <w:pPr>
        <w:spacing w:before="60" w:after="100"/>
        <w:jc w:val="both"/>
      </w:pPr>
      <w:r>
        <w:t>This document summarises the data pipeline, methodological decisions, and preliminary econometric results for a study of intra-ETF spillover effects. The core research question is whether firm-specific shocks to large-weight constituents of an ETF generate abnormal returns in other stocks within the same ETF, and through which economic channels such propagation operates.</w:t>
      </w:r>
    </w:p>
    <w:p w14:paraId="600B8251" w14:textId="77777777" w:rsidR="004407D3" w:rsidRDefault="00000000">
      <w:pPr>
        <w:spacing w:before="60" w:after="100"/>
        <w:jc w:val="both"/>
      </w:pPr>
      <w:r>
        <w:t>The shock is defined endogenously — as a pronounced abnormal return of a constituent stock relative to its sector benchmark — requiring no external event database. Five sector ETFs listed on US exchanges are studied over the period 2015–2026:</w:t>
      </w:r>
    </w:p>
    <w:p w14:paraId="34934AAC" w14:textId="77777777" w:rsidR="004407D3" w:rsidRDefault="004407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568"/>
        <w:gridCol w:w="5392"/>
      </w:tblGrid>
      <w:tr w:rsidR="004407D3" w14:paraId="66FAADDB" w14:textId="77777777" w:rsidTr="006E740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A47BE2" w14:textId="77777777" w:rsidR="004407D3" w:rsidRDefault="00000000">
            <w:r>
              <w:rPr>
                <w:b/>
                <w:bCs/>
                <w:color w:val="FFFFFF"/>
                <w:sz w:val="20"/>
                <w:szCs w:val="20"/>
              </w:rPr>
              <w:t>Ticker</w:t>
            </w:r>
          </w:p>
        </w:tc>
        <w:tc>
          <w:tcPr>
            <w:tcW w:w="256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3146F2" w14:textId="77777777" w:rsidR="004407D3" w:rsidRDefault="00000000">
            <w:r>
              <w:rPr>
                <w:b/>
                <w:bCs/>
                <w:color w:val="FFFFFF"/>
                <w:sz w:val="20"/>
                <w:szCs w:val="20"/>
              </w:rPr>
              <w:t>Benchmark used</w:t>
            </w:r>
          </w:p>
        </w:tc>
        <w:tc>
          <w:tcPr>
            <w:tcW w:w="539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7B9471" w14:textId="77777777" w:rsidR="004407D3" w:rsidRDefault="00000000">
            <w:r>
              <w:rPr>
                <w:b/>
                <w:bCs/>
                <w:color w:val="FFFFFF"/>
                <w:sz w:val="20"/>
                <w:szCs w:val="20"/>
              </w:rPr>
              <w:t>Description</w:t>
            </w:r>
          </w:p>
        </w:tc>
      </w:tr>
      <w:tr w:rsidR="004407D3" w14:paraId="57CF8B66" w14:textId="77777777" w:rsidTr="006E740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EC9FAC" w14:textId="77777777" w:rsidR="004407D3" w:rsidRDefault="00000000">
            <w:r>
              <w:rPr>
                <w:rFonts w:ascii="Courier New" w:eastAsia="Courier New" w:hAnsi="Courier New" w:cs="Courier New"/>
                <w:b/>
                <w:bCs/>
                <w:sz w:val="20"/>
                <w:szCs w:val="20"/>
              </w:rPr>
              <w:t>SPY</w:t>
            </w:r>
          </w:p>
        </w:tc>
        <w:tc>
          <w:tcPr>
            <w:tcW w:w="256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B65FA7" w14:textId="77777777" w:rsidR="004407D3" w:rsidRDefault="00000000">
            <w:r>
              <w:rPr>
                <w:rFonts w:ascii="Courier New" w:eastAsia="Courier New" w:hAnsi="Courier New" w:cs="Courier New"/>
                <w:sz w:val="20"/>
                <w:szCs w:val="20"/>
              </w:rPr>
              <w:t>^GSPC</w:t>
            </w:r>
          </w:p>
        </w:tc>
        <w:tc>
          <w:tcPr>
            <w:tcW w:w="539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805F2A" w14:textId="77777777" w:rsidR="004407D3" w:rsidRDefault="00000000">
            <w:r>
              <w:rPr>
                <w:sz w:val="20"/>
                <w:szCs w:val="20"/>
              </w:rPr>
              <w:t>SPDR S&amp;P 500 ETF — broad market</w:t>
            </w:r>
          </w:p>
        </w:tc>
      </w:tr>
      <w:tr w:rsidR="004407D3" w14:paraId="4291AD0E" w14:textId="77777777" w:rsidTr="006E740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23AA49" w14:textId="77777777" w:rsidR="004407D3" w:rsidRDefault="00000000">
            <w:r>
              <w:rPr>
                <w:rFonts w:ascii="Courier New" w:eastAsia="Courier New" w:hAnsi="Courier New" w:cs="Courier New"/>
                <w:b/>
                <w:bCs/>
                <w:sz w:val="20"/>
                <w:szCs w:val="20"/>
              </w:rPr>
              <w:t>XME</w:t>
            </w:r>
          </w:p>
        </w:tc>
        <w:tc>
          <w:tcPr>
            <w:tcW w:w="2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489CD9" w14:textId="77777777" w:rsidR="004407D3" w:rsidRDefault="00000000">
            <w:r>
              <w:rPr>
                <w:rFonts w:ascii="Courier New" w:eastAsia="Courier New" w:hAnsi="Courier New" w:cs="Courier New"/>
                <w:sz w:val="20"/>
                <w:szCs w:val="20"/>
              </w:rPr>
              <w:t>XLB</w:t>
            </w:r>
          </w:p>
        </w:tc>
        <w:tc>
          <w:tcPr>
            <w:tcW w:w="53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5DAA5" w14:textId="77777777" w:rsidR="004407D3" w:rsidRDefault="00000000">
            <w:r>
              <w:rPr>
                <w:sz w:val="20"/>
                <w:szCs w:val="20"/>
              </w:rPr>
              <w:t>S&amp;P Metals &amp; Mining ETF — materials subset</w:t>
            </w:r>
          </w:p>
        </w:tc>
      </w:tr>
      <w:tr w:rsidR="004407D3" w14:paraId="6618CD75" w14:textId="77777777" w:rsidTr="006E740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A8DD02" w14:textId="77777777" w:rsidR="004407D3" w:rsidRDefault="00000000">
            <w:r>
              <w:rPr>
                <w:rFonts w:ascii="Courier New" w:eastAsia="Courier New" w:hAnsi="Courier New" w:cs="Courier New"/>
                <w:b/>
                <w:bCs/>
                <w:sz w:val="20"/>
                <w:szCs w:val="20"/>
              </w:rPr>
              <w:t>XLE</w:t>
            </w:r>
          </w:p>
        </w:tc>
        <w:tc>
          <w:tcPr>
            <w:tcW w:w="256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337749" w14:textId="28751565" w:rsidR="004407D3" w:rsidRDefault="00000000">
            <w:r>
              <w:rPr>
                <w:rFonts w:ascii="Courier New" w:eastAsia="Courier New" w:hAnsi="Courier New" w:cs="Courier New"/>
                <w:sz w:val="20"/>
                <w:szCs w:val="20"/>
              </w:rPr>
              <w:t>^GSPC</w:t>
            </w:r>
            <w:r w:rsidR="005542F1">
              <w:rPr>
                <w:rFonts w:ascii="Courier New" w:eastAsia="Courier New" w:hAnsi="Courier New" w:cs="Courier New"/>
                <w:sz w:val="20"/>
                <w:szCs w:val="20"/>
              </w:rPr>
              <w:t xml:space="preserve"> - BRENT</w:t>
            </w:r>
          </w:p>
        </w:tc>
        <w:tc>
          <w:tcPr>
            <w:tcW w:w="539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73F206" w14:textId="77777777" w:rsidR="004407D3" w:rsidRDefault="00000000">
            <w:r>
              <w:rPr>
                <w:sz w:val="20"/>
                <w:szCs w:val="20"/>
              </w:rPr>
              <w:t>Energy Select Sector SPDR Fund</w:t>
            </w:r>
          </w:p>
        </w:tc>
      </w:tr>
      <w:tr w:rsidR="004407D3" w14:paraId="612D0D50" w14:textId="77777777" w:rsidTr="006E740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8EF651" w14:textId="77777777" w:rsidR="004407D3" w:rsidRDefault="00000000">
            <w:r>
              <w:rPr>
                <w:rFonts w:ascii="Courier New" w:eastAsia="Courier New" w:hAnsi="Courier New" w:cs="Courier New"/>
                <w:b/>
                <w:bCs/>
                <w:sz w:val="20"/>
                <w:szCs w:val="20"/>
              </w:rPr>
              <w:t>IHE</w:t>
            </w:r>
          </w:p>
        </w:tc>
        <w:tc>
          <w:tcPr>
            <w:tcW w:w="2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8C6215" w14:textId="77777777" w:rsidR="004407D3" w:rsidRDefault="00000000">
            <w:r>
              <w:rPr>
                <w:rFonts w:ascii="Courier New" w:eastAsia="Courier New" w:hAnsi="Courier New" w:cs="Courier New"/>
                <w:sz w:val="20"/>
                <w:szCs w:val="20"/>
              </w:rPr>
              <w:t>XLV</w:t>
            </w:r>
          </w:p>
        </w:tc>
        <w:tc>
          <w:tcPr>
            <w:tcW w:w="53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9BA59C" w14:textId="77777777" w:rsidR="004407D3" w:rsidRDefault="00000000">
            <w:r>
              <w:rPr>
                <w:sz w:val="20"/>
                <w:szCs w:val="20"/>
              </w:rPr>
              <w:t>iShares U.S. Pharmaceuticals ETF</w:t>
            </w:r>
          </w:p>
        </w:tc>
      </w:tr>
      <w:tr w:rsidR="004407D3" w14:paraId="2D637FF1" w14:textId="77777777" w:rsidTr="006E740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64A662" w14:textId="77777777" w:rsidR="004407D3" w:rsidRDefault="00000000">
            <w:r>
              <w:rPr>
                <w:rFonts w:ascii="Courier New" w:eastAsia="Courier New" w:hAnsi="Courier New" w:cs="Courier New"/>
                <w:b/>
                <w:bCs/>
                <w:sz w:val="20"/>
                <w:szCs w:val="20"/>
              </w:rPr>
              <w:t>XLV</w:t>
            </w:r>
          </w:p>
        </w:tc>
        <w:tc>
          <w:tcPr>
            <w:tcW w:w="256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4FBBCA" w14:textId="77777777" w:rsidR="004407D3" w:rsidRDefault="00000000">
            <w:r>
              <w:rPr>
                <w:rFonts w:ascii="Courier New" w:eastAsia="Courier New" w:hAnsi="Courier New" w:cs="Courier New"/>
                <w:sz w:val="20"/>
                <w:szCs w:val="20"/>
              </w:rPr>
              <w:t>^SP500-35</w:t>
            </w:r>
          </w:p>
        </w:tc>
        <w:tc>
          <w:tcPr>
            <w:tcW w:w="539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E42B71" w14:textId="77777777" w:rsidR="004407D3" w:rsidRDefault="00000000">
            <w:r>
              <w:rPr>
                <w:sz w:val="20"/>
                <w:szCs w:val="20"/>
              </w:rPr>
              <w:t>Health Care Select Sector SPDR Fund</w:t>
            </w:r>
          </w:p>
        </w:tc>
      </w:tr>
    </w:tbl>
    <w:p w14:paraId="5D301DFC" w14:textId="77777777" w:rsidR="004407D3" w:rsidRDefault="004407D3">
      <w:pPr>
        <w:spacing w:before="80" w:after="80"/>
      </w:pPr>
    </w:p>
    <w:p w14:paraId="19FB39CC" w14:textId="77777777" w:rsidR="004407D3" w:rsidRDefault="00000000">
      <w:r>
        <w:br w:type="page"/>
      </w:r>
    </w:p>
    <w:p w14:paraId="55E4F424" w14:textId="77777777" w:rsidR="004407D3" w:rsidRDefault="00000000">
      <w:pPr>
        <w:pStyle w:val="Heading1"/>
        <w:pBdr>
          <w:bottom w:val="single" w:sz="6" w:space="1" w:color="1F4E79"/>
        </w:pBdr>
      </w:pPr>
      <w:r>
        <w:lastRenderedPageBreak/>
        <w:t>2. Data Pipeline</w:t>
      </w:r>
    </w:p>
    <w:p w14:paraId="4B76E949" w14:textId="77777777" w:rsidR="004407D3" w:rsidRDefault="00000000">
      <w:pPr>
        <w:spacing w:before="60" w:after="100"/>
        <w:jc w:val="both"/>
      </w:pPr>
      <w:r>
        <w:t>The pipeline transforms raw JSON holdings files into a clean econometric panel ready for regression. Every step produces an intermediate CSV file that serves as input to the next stage. The diagram below summarises the full sequence.</w:t>
      </w:r>
    </w:p>
    <w:p w14:paraId="2BE0780D" w14:textId="77777777" w:rsidR="004407D3" w:rsidRDefault="004407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4407D3" w14:paraId="79BED39C"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4E79"/>
            <w:tcMar>
              <w:top w:w="100" w:type="dxa"/>
              <w:left w:w="120" w:type="dxa"/>
              <w:bottom w:w="100" w:type="dxa"/>
              <w:right w:w="120" w:type="dxa"/>
            </w:tcMar>
            <w:vAlign w:val="center"/>
          </w:tcPr>
          <w:p w14:paraId="5D6A5F17" w14:textId="77777777" w:rsidR="004407D3" w:rsidRDefault="00000000">
            <w:pPr>
              <w:jc w:val="center"/>
            </w:pPr>
            <w:r>
              <w:rPr>
                <w:b/>
                <w:bCs/>
                <w:color w:val="FFFFFF"/>
                <w:sz w:val="24"/>
                <w:szCs w:val="24"/>
              </w:rPr>
              <w:t>S1</w:t>
            </w:r>
          </w:p>
        </w:tc>
        <w:tc>
          <w:tcPr>
            <w:tcW w:w="816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14:paraId="54CEE36D" w14:textId="77777777" w:rsidR="004407D3" w:rsidRDefault="00000000">
            <w:pPr>
              <w:spacing w:after="40"/>
            </w:pPr>
            <w:r>
              <w:rPr>
                <w:b/>
                <w:bCs/>
                <w:color w:val="1F4E79"/>
              </w:rPr>
              <w:t>1_</w:t>
            </w:r>
            <w:proofErr w:type="gramStart"/>
            <w:r>
              <w:rPr>
                <w:b/>
                <w:bCs/>
                <w:color w:val="1F4E79"/>
              </w:rPr>
              <w:t>load_holdings.py  →</w:t>
            </w:r>
            <w:proofErr w:type="gramEnd"/>
            <w:r>
              <w:rPr>
                <w:b/>
                <w:bCs/>
                <w:color w:val="1F4E79"/>
              </w:rPr>
              <w:t xml:space="preserve">  processed/{etf}_holdings.csv</w:t>
            </w:r>
          </w:p>
          <w:p w14:paraId="1FF79FEC" w14:textId="77777777" w:rsidR="004407D3" w:rsidRDefault="00000000">
            <w:r>
              <w:rPr>
                <w:color w:val="444444"/>
                <w:sz w:val="20"/>
                <w:szCs w:val="20"/>
              </w:rPr>
              <w:t>Reads all JSON holdings files (5 ETFs, 2015–2026). Removes non-equity rows (Bond, ETP, Fund, Other, cash placeholders). Resolves M&amp;A duplicate tickers by keeping the highest-weight row. Preserves original portfolio weights without renormalisation.</w:t>
            </w:r>
          </w:p>
        </w:tc>
      </w:tr>
      <w:tr w:rsidR="004407D3" w14:paraId="22D6CEC7"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Pr>
          <w:p w14:paraId="28C8EE53" w14:textId="77777777" w:rsidR="004407D3" w:rsidRDefault="00000000">
            <w:pPr>
              <w:jc w:val="center"/>
            </w:pPr>
            <w:r>
              <w:rPr>
                <w:color w:val="595959"/>
                <w:sz w:val="28"/>
                <w:szCs w:val="28"/>
              </w:rPr>
              <w:t>↓</w:t>
            </w:r>
          </w:p>
        </w:tc>
        <w:tc>
          <w:tcPr>
            <w:tcW w:w="8160" w:type="dxa"/>
            <w:tcBorders>
              <w:top w:val="none" w:sz="0" w:space="0" w:color="FFFFFF"/>
              <w:left w:val="none" w:sz="0" w:space="0" w:color="FFFFFF"/>
              <w:bottom w:val="none" w:sz="0" w:space="0" w:color="FFFFFF"/>
              <w:right w:val="none" w:sz="0" w:space="0" w:color="FFFFFF"/>
            </w:tcBorders>
          </w:tcPr>
          <w:p w14:paraId="3F6BBA4C" w14:textId="77777777" w:rsidR="004407D3" w:rsidRDefault="004407D3"/>
        </w:tc>
      </w:tr>
      <w:tr w:rsidR="004407D3" w14:paraId="33635E57"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0F6E56"/>
            <w:tcMar>
              <w:top w:w="100" w:type="dxa"/>
              <w:left w:w="120" w:type="dxa"/>
              <w:bottom w:w="100" w:type="dxa"/>
              <w:right w:w="120" w:type="dxa"/>
            </w:tcMar>
            <w:vAlign w:val="center"/>
          </w:tcPr>
          <w:p w14:paraId="25C7619D" w14:textId="77777777" w:rsidR="004407D3" w:rsidRDefault="00000000">
            <w:pPr>
              <w:jc w:val="center"/>
            </w:pPr>
            <w:r>
              <w:rPr>
                <w:b/>
                <w:bCs/>
                <w:color w:val="FFFFFF"/>
                <w:sz w:val="24"/>
                <w:szCs w:val="24"/>
              </w:rPr>
              <w:t>S2</w:t>
            </w:r>
          </w:p>
        </w:tc>
        <w:tc>
          <w:tcPr>
            <w:tcW w:w="816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14:paraId="6CF89C26" w14:textId="77777777" w:rsidR="004407D3" w:rsidRDefault="00000000">
            <w:pPr>
              <w:spacing w:after="40"/>
            </w:pPr>
            <w:r>
              <w:rPr>
                <w:b/>
                <w:bCs/>
                <w:color w:val="0F6E56"/>
              </w:rPr>
              <w:t>2_</w:t>
            </w:r>
            <w:proofErr w:type="gramStart"/>
            <w:r>
              <w:rPr>
                <w:b/>
                <w:bCs/>
                <w:color w:val="0F6E56"/>
              </w:rPr>
              <w:t>download_prices.py  →</w:t>
            </w:r>
            <w:proofErr w:type="gramEnd"/>
            <w:r>
              <w:rPr>
                <w:b/>
                <w:bCs/>
                <w:color w:val="0F6E56"/>
              </w:rPr>
              <w:t xml:space="preserve">  prices_raw.csv</w:t>
            </w:r>
          </w:p>
          <w:p w14:paraId="188B4F06" w14:textId="77777777" w:rsidR="004407D3" w:rsidRDefault="00000000">
            <w:r>
              <w:rPr>
                <w:color w:val="444444"/>
                <w:sz w:val="20"/>
                <w:szCs w:val="20"/>
              </w:rPr>
              <w:t xml:space="preserve">Downloads daily adjusted closing prices for ~1,758 unique tickers via </w:t>
            </w:r>
            <w:proofErr w:type="spellStart"/>
            <w:r>
              <w:rPr>
                <w:color w:val="444444"/>
                <w:sz w:val="20"/>
                <w:szCs w:val="20"/>
              </w:rPr>
              <w:t>yfinance</w:t>
            </w:r>
            <w:proofErr w:type="spellEnd"/>
            <w:r>
              <w:rPr>
                <w:color w:val="444444"/>
                <w:sz w:val="20"/>
                <w:szCs w:val="20"/>
              </w:rPr>
              <w:t xml:space="preserve"> in batches of 100. Coverage: 864 tickers with data (99–100% of current ETF constituents). Supplementary scripts retry failed tickers (2b), concatenate renamed tickers (2c, e.g. ANTM→ELV), and download sector benchmarks (2d).</w:t>
            </w:r>
          </w:p>
        </w:tc>
      </w:tr>
      <w:tr w:rsidR="004407D3" w14:paraId="03D2EABD"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Pr>
          <w:p w14:paraId="0626FC30" w14:textId="77777777" w:rsidR="004407D3" w:rsidRDefault="00000000">
            <w:pPr>
              <w:jc w:val="center"/>
            </w:pPr>
            <w:r>
              <w:rPr>
                <w:color w:val="595959"/>
                <w:sz w:val="28"/>
                <w:szCs w:val="28"/>
              </w:rPr>
              <w:t>↓</w:t>
            </w:r>
          </w:p>
        </w:tc>
        <w:tc>
          <w:tcPr>
            <w:tcW w:w="8160" w:type="dxa"/>
            <w:tcBorders>
              <w:top w:val="none" w:sz="0" w:space="0" w:color="FFFFFF"/>
              <w:left w:val="none" w:sz="0" w:space="0" w:color="FFFFFF"/>
              <w:bottom w:val="none" w:sz="0" w:space="0" w:color="FFFFFF"/>
              <w:right w:val="none" w:sz="0" w:space="0" w:color="FFFFFF"/>
            </w:tcBorders>
          </w:tcPr>
          <w:p w14:paraId="20A562FB" w14:textId="77777777" w:rsidR="004407D3" w:rsidRDefault="004407D3"/>
        </w:tc>
      </w:tr>
      <w:tr w:rsidR="004407D3" w14:paraId="2430B90B"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854F0B"/>
            <w:tcMar>
              <w:top w:w="100" w:type="dxa"/>
              <w:left w:w="120" w:type="dxa"/>
              <w:bottom w:w="100" w:type="dxa"/>
              <w:right w:w="120" w:type="dxa"/>
            </w:tcMar>
            <w:vAlign w:val="center"/>
          </w:tcPr>
          <w:p w14:paraId="4D8406F0" w14:textId="77777777" w:rsidR="004407D3" w:rsidRDefault="00000000">
            <w:pPr>
              <w:jc w:val="center"/>
            </w:pPr>
            <w:r>
              <w:rPr>
                <w:b/>
                <w:bCs/>
                <w:color w:val="FFFFFF"/>
                <w:sz w:val="24"/>
                <w:szCs w:val="24"/>
              </w:rPr>
              <w:t>S3</w:t>
            </w:r>
          </w:p>
        </w:tc>
        <w:tc>
          <w:tcPr>
            <w:tcW w:w="816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14:paraId="5D0AFA74" w14:textId="77777777" w:rsidR="004407D3" w:rsidRDefault="00000000">
            <w:pPr>
              <w:spacing w:after="40"/>
            </w:pPr>
            <w:r>
              <w:rPr>
                <w:b/>
                <w:bCs/>
                <w:color w:val="854F0B"/>
              </w:rPr>
              <w:t xml:space="preserve">2e/2f — GICS &amp; </w:t>
            </w:r>
            <w:proofErr w:type="spellStart"/>
            <w:proofErr w:type="gramStart"/>
            <w:r>
              <w:rPr>
                <w:b/>
                <w:bCs/>
                <w:color w:val="854F0B"/>
              </w:rPr>
              <w:t>Amihud</w:t>
            </w:r>
            <w:proofErr w:type="spellEnd"/>
            <w:r>
              <w:rPr>
                <w:b/>
                <w:bCs/>
                <w:color w:val="854F0B"/>
              </w:rPr>
              <w:t xml:space="preserve">  →</w:t>
            </w:r>
            <w:proofErr w:type="gramEnd"/>
            <w:r>
              <w:rPr>
                <w:b/>
                <w:bCs/>
                <w:color w:val="854F0B"/>
              </w:rPr>
              <w:t xml:space="preserve">  gics_data.csv, amihud.csv</w:t>
            </w:r>
          </w:p>
          <w:p w14:paraId="0937291B" w14:textId="77777777" w:rsidR="004407D3" w:rsidRDefault="00000000">
            <w:r>
              <w:rPr>
                <w:color w:val="444444"/>
                <w:sz w:val="20"/>
                <w:szCs w:val="20"/>
              </w:rPr>
              <w:t xml:space="preserve">Downloads GICS sector/industry classifications for 802 tickers (772 classified). Computes the </w:t>
            </w:r>
            <w:proofErr w:type="spellStart"/>
            <w:r>
              <w:rPr>
                <w:color w:val="444444"/>
                <w:sz w:val="20"/>
                <w:szCs w:val="20"/>
              </w:rPr>
              <w:t>Amihud</w:t>
            </w:r>
            <w:proofErr w:type="spellEnd"/>
            <w:r>
              <w:rPr>
                <w:color w:val="444444"/>
                <w:sz w:val="20"/>
                <w:szCs w:val="20"/>
              </w:rPr>
              <w:t xml:space="preserve"> (2002) illiquidity ratio: ILLIQ = |</w:t>
            </w:r>
            <w:proofErr w:type="spellStart"/>
            <w:r>
              <w:rPr>
                <w:color w:val="444444"/>
                <w:sz w:val="20"/>
                <w:szCs w:val="20"/>
              </w:rPr>
              <w:t>R_t</w:t>
            </w:r>
            <w:proofErr w:type="spellEnd"/>
            <w:r>
              <w:rPr>
                <w:color w:val="444444"/>
                <w:sz w:val="20"/>
                <w:szCs w:val="20"/>
              </w:rPr>
              <w:t>| / (</w:t>
            </w:r>
            <w:proofErr w:type="spellStart"/>
            <w:r>
              <w:rPr>
                <w:color w:val="444444"/>
                <w:sz w:val="20"/>
                <w:szCs w:val="20"/>
              </w:rPr>
              <w:t>Volume_t</w:t>
            </w:r>
            <w:proofErr w:type="spellEnd"/>
            <w:r>
              <w:rPr>
                <w:color w:val="444444"/>
                <w:sz w:val="20"/>
                <w:szCs w:val="20"/>
              </w:rPr>
              <w:t xml:space="preserve"> × </w:t>
            </w:r>
            <w:proofErr w:type="spellStart"/>
            <w:r>
              <w:rPr>
                <w:color w:val="444444"/>
                <w:sz w:val="20"/>
                <w:szCs w:val="20"/>
              </w:rPr>
              <w:t>Price_t</w:t>
            </w:r>
            <w:proofErr w:type="spellEnd"/>
            <w:r>
              <w:rPr>
                <w:color w:val="444444"/>
                <w:sz w:val="20"/>
                <w:szCs w:val="20"/>
              </w:rPr>
              <w:t xml:space="preserve">), rolling 20-day window, </w:t>
            </w:r>
            <w:proofErr w:type="spellStart"/>
            <w:r>
              <w:rPr>
                <w:color w:val="444444"/>
                <w:sz w:val="20"/>
                <w:szCs w:val="20"/>
              </w:rPr>
              <w:t>winsorised</w:t>
            </w:r>
            <w:proofErr w:type="spellEnd"/>
            <w:r>
              <w:rPr>
                <w:color w:val="444444"/>
                <w:sz w:val="20"/>
                <w:szCs w:val="20"/>
              </w:rPr>
              <w:t xml:space="preserve"> at 1%–99%. These replace simpler proxies used in the initial model.</w:t>
            </w:r>
          </w:p>
        </w:tc>
      </w:tr>
      <w:tr w:rsidR="004407D3" w14:paraId="71374157"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Pr>
          <w:p w14:paraId="7C37925D" w14:textId="77777777" w:rsidR="004407D3" w:rsidRDefault="00000000">
            <w:pPr>
              <w:jc w:val="center"/>
            </w:pPr>
            <w:r>
              <w:rPr>
                <w:color w:val="595959"/>
                <w:sz w:val="28"/>
                <w:szCs w:val="28"/>
              </w:rPr>
              <w:t>↓</w:t>
            </w:r>
          </w:p>
        </w:tc>
        <w:tc>
          <w:tcPr>
            <w:tcW w:w="8160" w:type="dxa"/>
            <w:tcBorders>
              <w:top w:val="none" w:sz="0" w:space="0" w:color="FFFFFF"/>
              <w:left w:val="none" w:sz="0" w:space="0" w:color="FFFFFF"/>
              <w:bottom w:val="none" w:sz="0" w:space="0" w:color="FFFFFF"/>
              <w:right w:val="none" w:sz="0" w:space="0" w:color="FFFFFF"/>
            </w:tcBorders>
          </w:tcPr>
          <w:p w14:paraId="7AF702E7" w14:textId="77777777" w:rsidR="004407D3" w:rsidRDefault="004407D3"/>
        </w:tc>
      </w:tr>
      <w:tr w:rsidR="004407D3" w14:paraId="60ED92DE"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534AB7"/>
            <w:tcMar>
              <w:top w:w="100" w:type="dxa"/>
              <w:left w:w="120" w:type="dxa"/>
              <w:bottom w:w="100" w:type="dxa"/>
              <w:right w:w="120" w:type="dxa"/>
            </w:tcMar>
            <w:vAlign w:val="center"/>
          </w:tcPr>
          <w:p w14:paraId="6FD29652" w14:textId="77777777" w:rsidR="004407D3" w:rsidRDefault="00000000">
            <w:pPr>
              <w:jc w:val="center"/>
            </w:pPr>
            <w:r>
              <w:rPr>
                <w:b/>
                <w:bCs/>
                <w:color w:val="FFFFFF"/>
                <w:sz w:val="24"/>
                <w:szCs w:val="24"/>
              </w:rPr>
              <w:t>S4</w:t>
            </w:r>
          </w:p>
        </w:tc>
        <w:tc>
          <w:tcPr>
            <w:tcW w:w="816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14:paraId="7CDDC165" w14:textId="77777777" w:rsidR="004407D3" w:rsidRDefault="00000000">
            <w:pPr>
              <w:spacing w:after="40"/>
            </w:pPr>
            <w:r>
              <w:rPr>
                <w:b/>
                <w:bCs/>
                <w:color w:val="534AB7"/>
              </w:rPr>
              <w:t>3_</w:t>
            </w:r>
            <w:proofErr w:type="gramStart"/>
            <w:r>
              <w:rPr>
                <w:b/>
                <w:bCs/>
                <w:color w:val="534AB7"/>
              </w:rPr>
              <w:t>compute_returns.py  →</w:t>
            </w:r>
            <w:proofErr w:type="gramEnd"/>
            <w:r>
              <w:rPr>
                <w:b/>
                <w:bCs/>
                <w:color w:val="534AB7"/>
              </w:rPr>
              <w:t xml:space="preserve">  returns_clean.csv</w:t>
            </w:r>
          </w:p>
          <w:p w14:paraId="62513866" w14:textId="77777777" w:rsidR="004407D3" w:rsidRDefault="00000000">
            <w:r>
              <w:rPr>
                <w:color w:val="444444"/>
                <w:sz w:val="20"/>
                <w:szCs w:val="20"/>
              </w:rPr>
              <w:t xml:space="preserve">Computes daily log-returns, filters tickers with &lt;30% historical coverage (drops 62), applies forward-fill of max 2 days for minor gaps, and aligns to the US trading calendar anchored on SPY. Result: 802 tickers × 3,155 trading days, 6.7% average </w:t>
            </w:r>
            <w:proofErr w:type="spellStart"/>
            <w:r>
              <w:rPr>
                <w:color w:val="444444"/>
                <w:sz w:val="20"/>
                <w:szCs w:val="20"/>
              </w:rPr>
              <w:t>NaN</w:t>
            </w:r>
            <w:proofErr w:type="spellEnd"/>
            <w:r>
              <w:rPr>
                <w:color w:val="444444"/>
                <w:sz w:val="20"/>
                <w:szCs w:val="20"/>
              </w:rPr>
              <w:t>.</w:t>
            </w:r>
          </w:p>
        </w:tc>
      </w:tr>
      <w:tr w:rsidR="004407D3" w14:paraId="68F6CAF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Pr>
          <w:p w14:paraId="15284B7B" w14:textId="77777777" w:rsidR="004407D3" w:rsidRDefault="00000000">
            <w:pPr>
              <w:jc w:val="center"/>
            </w:pPr>
            <w:r>
              <w:rPr>
                <w:color w:val="595959"/>
                <w:sz w:val="28"/>
                <w:szCs w:val="28"/>
              </w:rPr>
              <w:t>↓</w:t>
            </w:r>
          </w:p>
        </w:tc>
        <w:tc>
          <w:tcPr>
            <w:tcW w:w="8160" w:type="dxa"/>
            <w:tcBorders>
              <w:top w:val="none" w:sz="0" w:space="0" w:color="FFFFFF"/>
              <w:left w:val="none" w:sz="0" w:space="0" w:color="FFFFFF"/>
              <w:bottom w:val="none" w:sz="0" w:space="0" w:color="FFFFFF"/>
              <w:right w:val="none" w:sz="0" w:space="0" w:color="FFFFFF"/>
            </w:tcBorders>
          </w:tcPr>
          <w:p w14:paraId="45E478B0" w14:textId="77777777" w:rsidR="004407D3" w:rsidRDefault="004407D3"/>
        </w:tc>
      </w:tr>
      <w:tr w:rsidR="004407D3" w14:paraId="09701496"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993C1D"/>
            <w:tcMar>
              <w:top w:w="100" w:type="dxa"/>
              <w:left w:w="120" w:type="dxa"/>
              <w:bottom w:w="100" w:type="dxa"/>
              <w:right w:w="120" w:type="dxa"/>
            </w:tcMar>
            <w:vAlign w:val="center"/>
          </w:tcPr>
          <w:p w14:paraId="5ED4FCBB" w14:textId="77777777" w:rsidR="004407D3" w:rsidRDefault="00000000">
            <w:pPr>
              <w:jc w:val="center"/>
            </w:pPr>
            <w:r>
              <w:rPr>
                <w:b/>
                <w:bCs/>
                <w:color w:val="FFFFFF"/>
                <w:sz w:val="24"/>
                <w:szCs w:val="24"/>
              </w:rPr>
              <w:t>S5</w:t>
            </w:r>
          </w:p>
        </w:tc>
        <w:tc>
          <w:tcPr>
            <w:tcW w:w="816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14:paraId="2BF08912" w14:textId="77777777" w:rsidR="004407D3" w:rsidRDefault="00000000">
            <w:pPr>
              <w:spacing w:after="40"/>
            </w:pPr>
            <w:r>
              <w:rPr>
                <w:b/>
                <w:bCs/>
                <w:color w:val="993C1D"/>
              </w:rPr>
              <w:t>4_</w:t>
            </w:r>
            <w:proofErr w:type="gramStart"/>
            <w:r>
              <w:rPr>
                <w:b/>
                <w:bCs/>
                <w:color w:val="993C1D"/>
              </w:rPr>
              <w:t>spillover_model.py  →</w:t>
            </w:r>
            <w:proofErr w:type="gramEnd"/>
            <w:r>
              <w:rPr>
                <w:b/>
                <w:bCs/>
                <w:color w:val="993C1D"/>
              </w:rPr>
              <w:t xml:space="preserve">  panel_full.csv, results</w:t>
            </w:r>
          </w:p>
          <w:p w14:paraId="45C74A09" w14:textId="77777777" w:rsidR="004407D3" w:rsidRDefault="00000000">
            <w:r>
              <w:rPr>
                <w:color w:val="444444"/>
                <w:sz w:val="20"/>
                <w:szCs w:val="20"/>
              </w:rPr>
              <w:t>Identifies shocks (vectorised OLS), builds the observation panel (j, e), and estimates the spillover regression. See Section 4 for detail.</w:t>
            </w:r>
          </w:p>
        </w:tc>
      </w:tr>
    </w:tbl>
    <w:p w14:paraId="2BD285C0" w14:textId="77777777" w:rsidR="004407D3" w:rsidRDefault="004407D3">
      <w:pPr>
        <w:spacing w:before="80" w:after="80"/>
      </w:pPr>
    </w:p>
    <w:p w14:paraId="4661E6A0" w14:textId="77777777" w:rsidR="004407D3" w:rsidRDefault="00000000">
      <w:pPr>
        <w:pStyle w:val="Heading1"/>
        <w:pBdr>
          <w:bottom w:val="single" w:sz="6" w:space="1" w:color="1F4E79"/>
        </w:pBdr>
      </w:pPr>
      <w:r>
        <w:t>3. Key Methodological Decisions</w:t>
      </w:r>
    </w:p>
    <w:p w14:paraId="34D953BB" w14:textId="77777777" w:rsidR="004407D3" w:rsidRDefault="00000000">
      <w:pPr>
        <w:pStyle w:val="Heading2"/>
      </w:pPr>
      <w:r>
        <w:t>3.1 Endogenous Shock Definition</w:t>
      </w:r>
    </w:p>
    <w:p w14:paraId="106DEAFA" w14:textId="77777777" w:rsidR="004407D3" w:rsidRDefault="00000000">
      <w:pPr>
        <w:spacing w:before="60" w:after="100"/>
        <w:jc w:val="both"/>
      </w:pPr>
      <w:r>
        <w:t>Unlike the standard event-study approach that conditions on external corporate announcements, the shock here is defined directly from returns data. A shock event is flagged when the CAR of a constituent stock exceeds 1.5 standard deviations from its own historical CAR distribution, computed relative to the sector benchmark. This makes the study self-contained and avoids selection bias from event databases.</w:t>
      </w:r>
    </w:p>
    <w:p w14:paraId="63DC3B94" w14:textId="77777777" w:rsidR="004407D3" w:rsidRDefault="00000000">
      <w:pPr>
        <w:pStyle w:val="Heading2"/>
      </w:pPr>
      <w:r>
        <w:t>3.2 Sector Benchmark Selection</w:t>
      </w:r>
    </w:p>
    <w:p w14:paraId="12E696E7" w14:textId="77777777" w:rsidR="004407D3" w:rsidRDefault="00000000">
      <w:pPr>
        <w:spacing w:before="60" w:after="100"/>
        <w:jc w:val="both"/>
      </w:pPr>
      <w:r>
        <w:lastRenderedPageBreak/>
        <w:t>Using the ETF itself as the benchmark for its own constituents would introduce endogeneity: the benchmark index partially contains the shocked stock, biasing the estimated beta upwards and deflating the CAR for high-weight stocks. External sector benchmarks were therefore selected:</w:t>
      </w:r>
    </w:p>
    <w:p w14:paraId="3337D23E" w14:textId="77777777" w:rsidR="004407D3" w:rsidRDefault="00000000">
      <w:pPr>
        <w:pStyle w:val="ListParagraph"/>
        <w:numPr>
          <w:ilvl w:val="0"/>
          <w:numId w:val="2"/>
        </w:numPr>
        <w:spacing w:before="40" w:after="40"/>
      </w:pPr>
      <w:proofErr w:type="gramStart"/>
      <w:r>
        <w:t>XME  →</w:t>
      </w:r>
      <w:proofErr w:type="gramEnd"/>
      <w:r>
        <w:t xml:space="preserve">  XLB (SPDR S&amp;P 500 Materials ETF) — XME is a subset of the materials sector</w:t>
      </w:r>
    </w:p>
    <w:p w14:paraId="7F896272" w14:textId="77777777" w:rsidR="004407D3" w:rsidRDefault="00000000">
      <w:pPr>
        <w:pStyle w:val="ListParagraph"/>
        <w:numPr>
          <w:ilvl w:val="0"/>
          <w:numId w:val="2"/>
        </w:numPr>
        <w:spacing w:before="40" w:after="40"/>
      </w:pPr>
      <w:proofErr w:type="gramStart"/>
      <w:r>
        <w:t>IHE  →</w:t>
      </w:r>
      <w:proofErr w:type="gramEnd"/>
      <w:r>
        <w:t xml:space="preserve">  XLV (SPDR S&amp;P 500 Health Care ETF) — IHE is a pharma subset of health care</w:t>
      </w:r>
    </w:p>
    <w:p w14:paraId="5492AC05" w14:textId="77777777" w:rsidR="004407D3" w:rsidRDefault="00000000">
      <w:pPr>
        <w:pStyle w:val="ListParagraph"/>
        <w:numPr>
          <w:ilvl w:val="0"/>
          <w:numId w:val="2"/>
        </w:numPr>
        <w:spacing w:before="40" w:after="40"/>
      </w:pPr>
      <w:proofErr w:type="gramStart"/>
      <w:r>
        <w:t>XLV  →</w:t>
      </w:r>
      <w:proofErr w:type="gramEnd"/>
      <w:r>
        <w:t xml:space="preserve">  ^SP500-35 (S&amp;P 500 Health Care Index) — exact sectoral index</w:t>
      </w:r>
    </w:p>
    <w:p w14:paraId="19DE185B" w14:textId="77777777" w:rsidR="004407D3" w:rsidRDefault="00000000">
      <w:pPr>
        <w:pStyle w:val="ListParagraph"/>
        <w:numPr>
          <w:ilvl w:val="0"/>
          <w:numId w:val="2"/>
        </w:numPr>
        <w:spacing w:before="40" w:after="40"/>
      </w:pPr>
      <w:proofErr w:type="gramStart"/>
      <w:r>
        <w:t>XLE  →</w:t>
      </w:r>
      <w:proofErr w:type="gramEnd"/>
      <w:r>
        <w:t xml:space="preserve">  ^GSPC (S&amp;P 500) — no energy sector index available on Yahoo Finance with sufficient history from 2014; the broad market is the standard fallback in the literature</w:t>
      </w:r>
    </w:p>
    <w:p w14:paraId="78591B0B" w14:textId="77777777" w:rsidR="004407D3" w:rsidRDefault="004407D3">
      <w:pPr>
        <w:spacing w:before="80" w:after="80"/>
      </w:pPr>
    </w:p>
    <w:p w14:paraId="0D6F79D9" w14:textId="77777777" w:rsidR="004407D3" w:rsidRDefault="00000000">
      <w:pPr>
        <w:pStyle w:val="Heading2"/>
      </w:pPr>
      <w:r>
        <w:t>3.3 Illiquidity Variable</w:t>
      </w:r>
    </w:p>
    <w:p w14:paraId="08A22F42" w14:textId="77777777" w:rsidR="004407D3" w:rsidRDefault="00000000">
      <w:pPr>
        <w:spacing w:before="60" w:after="100"/>
        <w:jc w:val="both"/>
      </w:pPr>
      <w:r>
        <w:t xml:space="preserve">An initial model used rolling return volatility as a proxy for illiquidity. This was replaced with the </w:t>
      </w:r>
      <w:proofErr w:type="spellStart"/>
      <w:r>
        <w:t>Amihud</w:t>
      </w:r>
      <w:proofErr w:type="spellEnd"/>
      <w:r>
        <w:t xml:space="preserve"> (2002) ratio, which measures price impact per unit of dollar trading volume. The sign reversal of β2 between the two versions confirms that the proxy was measuring noise rather than true illiquidity.</w:t>
      </w:r>
    </w:p>
    <w:p w14:paraId="50FBBE02" w14:textId="77777777" w:rsidR="004407D3" w:rsidRDefault="00000000">
      <w:pPr>
        <w:pStyle w:val="Heading2"/>
      </w:pPr>
      <w:r>
        <w:t>3.4 Economic Similarity Variable</w:t>
      </w:r>
    </w:p>
    <w:p w14:paraId="64B5340E" w14:textId="77777777" w:rsidR="004407D3" w:rsidRDefault="00000000">
      <w:pPr>
        <w:spacing w:before="60" w:after="100"/>
        <w:jc w:val="both"/>
      </w:pPr>
      <w:r>
        <w:t xml:space="preserve">The initial model set </w:t>
      </w:r>
      <w:proofErr w:type="spellStart"/>
      <w:r>
        <w:t>Similarity_ij</w:t>
      </w:r>
      <w:proofErr w:type="spellEnd"/>
      <w:r>
        <w:t xml:space="preserve"> = 1 for all intra-ETF pairs, making β5 unidentified. With GICS data, the variable now takes three values: 1.0 (same industry), 0.5 (same sector, different industry), 0.0 (different sector). This gives β5 genuine cross-sectional variation and makes it interpretable as an informational spillover channel.</w:t>
      </w:r>
    </w:p>
    <w:p w14:paraId="169AFB6B" w14:textId="77777777" w:rsidR="004407D3" w:rsidRDefault="004407D3">
      <w:pPr>
        <w:spacing w:before="80" w:after="80"/>
      </w:pPr>
    </w:p>
    <w:p w14:paraId="52ABF4C9" w14:textId="77777777" w:rsidR="004407D3" w:rsidRDefault="00000000">
      <w:r>
        <w:br w:type="page"/>
      </w:r>
    </w:p>
    <w:p w14:paraId="29DAB6B6" w14:textId="77777777" w:rsidR="004407D3" w:rsidRDefault="00000000">
      <w:pPr>
        <w:pStyle w:val="Heading1"/>
        <w:pBdr>
          <w:bottom w:val="single" w:sz="6" w:space="1" w:color="1F4E79"/>
        </w:pBdr>
      </w:pPr>
      <w:r>
        <w:lastRenderedPageBreak/>
        <w:t>4. The Econometric Model</w:t>
      </w:r>
    </w:p>
    <w:p w14:paraId="46A028FA" w14:textId="77777777" w:rsidR="004407D3" w:rsidRDefault="00000000">
      <w:pPr>
        <w:pStyle w:val="Heading2"/>
      </w:pPr>
      <w:r>
        <w:t>4.1 Market Model and CAR</w:t>
      </w:r>
    </w:p>
    <w:p w14:paraId="0950D5E4" w14:textId="77777777" w:rsidR="004407D3" w:rsidRDefault="00000000">
      <w:pPr>
        <w:spacing w:before="60" w:after="100"/>
        <w:jc w:val="both"/>
      </w:pPr>
      <w:r>
        <w:t xml:space="preserve">For each constituent stock </w:t>
      </w:r>
      <w:proofErr w:type="spellStart"/>
      <w:r>
        <w:t>i</w:t>
      </w:r>
      <w:proofErr w:type="spellEnd"/>
      <w:r>
        <w:t xml:space="preserve"> and each eligible event date t0, the market model is estimated over a 120-trading-day window ending 5 days before t0 (gap to prevent contamination):</w:t>
      </w:r>
    </w:p>
    <w:p w14:paraId="7D2A41D9" w14:textId="77777777" w:rsidR="004407D3" w:rsidRDefault="004407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7D3" w14:paraId="0EE20F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tcPr>
          <w:p w14:paraId="592D209C" w14:textId="77777777" w:rsidR="004407D3" w:rsidRDefault="00000000">
            <w:pPr>
              <w:spacing w:after="40"/>
            </w:pPr>
            <w:r>
              <w:rPr>
                <w:b/>
                <w:bCs/>
                <w:color w:val="1F4E79"/>
                <w:sz w:val="20"/>
                <w:szCs w:val="20"/>
              </w:rPr>
              <w:t>Market model (OLS)</w:t>
            </w:r>
          </w:p>
          <w:p w14:paraId="3348E766" w14:textId="77777777" w:rsidR="004407D3" w:rsidRDefault="00000000">
            <w:pPr>
              <w:jc w:val="both"/>
            </w:pPr>
            <w:r>
              <w:rPr>
                <w:sz w:val="20"/>
                <w:szCs w:val="20"/>
              </w:rPr>
              <w:t>R_{</w:t>
            </w:r>
            <w:proofErr w:type="spellStart"/>
            <w:proofErr w:type="gramStart"/>
            <w:r>
              <w:rPr>
                <w:sz w:val="20"/>
                <w:szCs w:val="20"/>
              </w:rPr>
              <w:t>i,t</w:t>
            </w:r>
            <w:proofErr w:type="spellEnd"/>
            <w:proofErr w:type="gramEnd"/>
            <w:r>
              <w:rPr>
                <w:sz w:val="20"/>
                <w:szCs w:val="20"/>
              </w:rPr>
              <w:t>} = α_</w:t>
            </w:r>
            <w:proofErr w:type="spellStart"/>
            <w:r>
              <w:rPr>
                <w:sz w:val="20"/>
                <w:szCs w:val="20"/>
              </w:rPr>
              <w:t>i</w:t>
            </w:r>
            <w:proofErr w:type="spellEnd"/>
            <w:r>
              <w:rPr>
                <w:sz w:val="20"/>
                <w:szCs w:val="20"/>
              </w:rPr>
              <w:t xml:space="preserve"> + β_</w:t>
            </w:r>
            <w:proofErr w:type="spellStart"/>
            <w:r>
              <w:rPr>
                <w:sz w:val="20"/>
                <w:szCs w:val="20"/>
              </w:rPr>
              <w:t>i</w:t>
            </w:r>
            <w:proofErr w:type="spellEnd"/>
            <w:r>
              <w:rPr>
                <w:sz w:val="20"/>
                <w:szCs w:val="20"/>
              </w:rPr>
              <w:t xml:space="preserve"> · R_{</w:t>
            </w:r>
            <w:proofErr w:type="spellStart"/>
            <w:proofErr w:type="gramStart"/>
            <w:r>
              <w:rPr>
                <w:sz w:val="20"/>
                <w:szCs w:val="20"/>
              </w:rPr>
              <w:t>m,t</w:t>
            </w:r>
            <w:proofErr w:type="spellEnd"/>
            <w:proofErr w:type="gramEnd"/>
            <w:r>
              <w:rPr>
                <w:sz w:val="20"/>
                <w:szCs w:val="20"/>
              </w:rPr>
              <w:t>} + ε_{</w:t>
            </w:r>
            <w:proofErr w:type="spellStart"/>
            <w:proofErr w:type="gramStart"/>
            <w:r>
              <w:rPr>
                <w:sz w:val="20"/>
                <w:szCs w:val="20"/>
              </w:rPr>
              <w:t>i,t</w:t>
            </w:r>
            <w:proofErr w:type="spellEnd"/>
            <w:proofErr w:type="gramEnd"/>
            <w:r>
              <w:rPr>
                <w:sz w:val="20"/>
                <w:szCs w:val="20"/>
              </w:rPr>
              <w:t>}</w:t>
            </w:r>
          </w:p>
        </w:tc>
      </w:tr>
    </w:tbl>
    <w:p w14:paraId="1166F9ED" w14:textId="77777777" w:rsidR="004407D3" w:rsidRDefault="004407D3">
      <w:pPr>
        <w:spacing w:before="80" w:after="80"/>
      </w:pPr>
    </w:p>
    <w:p w14:paraId="368EBB09" w14:textId="77777777" w:rsidR="004407D3" w:rsidRDefault="00000000">
      <w:pPr>
        <w:spacing w:before="60" w:after="100"/>
        <w:jc w:val="both"/>
      </w:pPr>
      <w:r>
        <w:t>The Cumulative Abnormal Return over the event window [t0, t0+3] is then:</w:t>
      </w:r>
    </w:p>
    <w:p w14:paraId="1CAA1C1E" w14:textId="77777777" w:rsidR="004407D3" w:rsidRDefault="004407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7D3" w14:paraId="3560B5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tcPr>
          <w:p w14:paraId="45056831" w14:textId="77777777" w:rsidR="004407D3" w:rsidRDefault="00000000">
            <w:pPr>
              <w:spacing w:after="40"/>
            </w:pPr>
            <w:r>
              <w:rPr>
                <w:b/>
                <w:bCs/>
                <w:color w:val="1F4E79"/>
                <w:sz w:val="20"/>
                <w:szCs w:val="20"/>
              </w:rPr>
              <w:t>Cumulative Abnormal Return</w:t>
            </w:r>
          </w:p>
          <w:p w14:paraId="7B7AE99A" w14:textId="77777777" w:rsidR="004407D3" w:rsidRDefault="00000000">
            <w:pPr>
              <w:jc w:val="both"/>
            </w:pPr>
            <w:r>
              <w:rPr>
                <w:sz w:val="20"/>
                <w:szCs w:val="20"/>
              </w:rPr>
              <w:t>CAR_{</w:t>
            </w:r>
            <w:proofErr w:type="gramStart"/>
            <w:r>
              <w:rPr>
                <w:sz w:val="20"/>
                <w:szCs w:val="20"/>
              </w:rPr>
              <w:t>i,t</w:t>
            </w:r>
            <w:proofErr w:type="gramEnd"/>
            <w:r>
              <w:rPr>
                <w:sz w:val="20"/>
                <w:szCs w:val="20"/>
              </w:rPr>
              <w:t>0} = Σ_{t=t</w:t>
            </w:r>
            <w:proofErr w:type="gramStart"/>
            <w:r>
              <w:rPr>
                <w:sz w:val="20"/>
                <w:szCs w:val="20"/>
              </w:rPr>
              <w:t>0}^</w:t>
            </w:r>
            <w:proofErr w:type="gramEnd"/>
            <w:r>
              <w:rPr>
                <w:sz w:val="20"/>
                <w:szCs w:val="20"/>
              </w:rPr>
              <w:t xml:space="preserve">{t0+3} </w:t>
            </w:r>
            <w:proofErr w:type="gramStart"/>
            <w:r>
              <w:rPr>
                <w:sz w:val="20"/>
                <w:szCs w:val="20"/>
              </w:rPr>
              <w:t>( R</w:t>
            </w:r>
            <w:proofErr w:type="gramEnd"/>
            <w:r>
              <w:rPr>
                <w:sz w:val="20"/>
                <w:szCs w:val="20"/>
              </w:rPr>
              <w:t>_{</w:t>
            </w:r>
            <w:proofErr w:type="spellStart"/>
            <w:proofErr w:type="gramStart"/>
            <w:r>
              <w:rPr>
                <w:sz w:val="20"/>
                <w:szCs w:val="20"/>
              </w:rPr>
              <w:t>i,t</w:t>
            </w:r>
            <w:proofErr w:type="spellEnd"/>
            <w:proofErr w:type="gramEnd"/>
            <w:r>
              <w:rPr>
                <w:sz w:val="20"/>
                <w:szCs w:val="20"/>
              </w:rPr>
              <w:t>} − α_</w:t>
            </w:r>
            <w:proofErr w:type="spellStart"/>
            <w:r>
              <w:rPr>
                <w:sz w:val="20"/>
                <w:szCs w:val="20"/>
              </w:rPr>
              <w:t>i</w:t>
            </w:r>
            <w:proofErr w:type="spellEnd"/>
            <w:r>
              <w:rPr>
                <w:sz w:val="20"/>
                <w:szCs w:val="20"/>
              </w:rPr>
              <w:t xml:space="preserve"> − β_</w:t>
            </w:r>
            <w:proofErr w:type="spellStart"/>
            <w:r>
              <w:rPr>
                <w:sz w:val="20"/>
                <w:szCs w:val="20"/>
              </w:rPr>
              <w:t>i</w:t>
            </w:r>
            <w:proofErr w:type="spellEnd"/>
            <w:r>
              <w:rPr>
                <w:sz w:val="20"/>
                <w:szCs w:val="20"/>
              </w:rPr>
              <w:t xml:space="preserve"> · R_{</w:t>
            </w:r>
            <w:proofErr w:type="spellStart"/>
            <w:proofErr w:type="gramStart"/>
            <w:r>
              <w:rPr>
                <w:sz w:val="20"/>
                <w:szCs w:val="20"/>
              </w:rPr>
              <w:t>m,t</w:t>
            </w:r>
            <w:proofErr w:type="spellEnd"/>
            <w:r>
              <w:rPr>
                <w:sz w:val="20"/>
                <w:szCs w:val="20"/>
              </w:rPr>
              <w:t>} )</w:t>
            </w:r>
            <w:proofErr w:type="gramEnd"/>
          </w:p>
        </w:tc>
      </w:tr>
    </w:tbl>
    <w:p w14:paraId="5A301E09" w14:textId="77777777" w:rsidR="004407D3" w:rsidRDefault="004407D3">
      <w:pPr>
        <w:spacing w:before="80" w:after="80"/>
      </w:pPr>
    </w:p>
    <w:p w14:paraId="02FD306A" w14:textId="77777777" w:rsidR="004407D3" w:rsidRDefault="00000000">
      <w:pPr>
        <w:spacing w:before="60" w:after="100"/>
        <w:jc w:val="both"/>
      </w:pPr>
      <w:r>
        <w:t xml:space="preserve">A shock is identified when |CAR − </w:t>
      </w:r>
      <w:proofErr w:type="gramStart"/>
      <w:r>
        <w:t>mean(</w:t>
      </w:r>
      <w:proofErr w:type="spellStart"/>
      <w:proofErr w:type="gramEnd"/>
      <w:r>
        <w:t>CAR_</w:t>
      </w:r>
      <w:proofErr w:type="gramStart"/>
      <w:r>
        <w:t>i</w:t>
      </w:r>
      <w:proofErr w:type="spellEnd"/>
      <w:r>
        <w:t>)|</w:t>
      </w:r>
      <w:proofErr w:type="gramEnd"/>
      <w:r>
        <w:t xml:space="preserve"> &gt; 1.5 · </w:t>
      </w:r>
      <w:proofErr w:type="gramStart"/>
      <w:r>
        <w:t>std(</w:t>
      </w:r>
      <w:proofErr w:type="spellStart"/>
      <w:proofErr w:type="gramEnd"/>
      <w:r>
        <w:t>CAR_i</w:t>
      </w:r>
      <w:proofErr w:type="spellEnd"/>
      <w:r>
        <w:t xml:space="preserve">), where the mean and standard deviation are computed from the stock's own historical CAR distribution. The computation is fully vectorised using </w:t>
      </w:r>
      <w:proofErr w:type="spellStart"/>
      <w:r>
        <w:t>numpy</w:t>
      </w:r>
      <w:proofErr w:type="spellEnd"/>
      <w:r>
        <w:t xml:space="preserve"> matrix operations (stride tricks for batch OLS), reducing runtime from hours to minutes.</w:t>
      </w:r>
    </w:p>
    <w:p w14:paraId="463710A0" w14:textId="77777777" w:rsidR="004407D3" w:rsidRDefault="00000000">
      <w:pPr>
        <w:pStyle w:val="Heading2"/>
      </w:pPr>
      <w:r>
        <w:t>4.2 Observation Panel Construction</w:t>
      </w:r>
    </w:p>
    <w:p w14:paraId="498593DB" w14:textId="77777777" w:rsidR="004407D3" w:rsidRDefault="00000000">
      <w:pPr>
        <w:spacing w:before="60" w:after="100"/>
        <w:jc w:val="both"/>
      </w:pPr>
      <w:r>
        <w:t xml:space="preserve">For each shock event (stock </w:t>
      </w:r>
      <w:proofErr w:type="spellStart"/>
      <w:r>
        <w:t>i</w:t>
      </w:r>
      <w:proofErr w:type="spellEnd"/>
      <w:r>
        <w:t xml:space="preserve">, date t0) and each co-constituent j ≠ </w:t>
      </w:r>
      <w:proofErr w:type="spellStart"/>
      <w:r>
        <w:t>i</w:t>
      </w:r>
      <w:proofErr w:type="spellEnd"/>
      <w:r>
        <w:t xml:space="preserve"> in the same ETF at t0, one observation is built with the following variables:</w:t>
      </w:r>
    </w:p>
    <w:p w14:paraId="24861F36" w14:textId="77777777" w:rsidR="004407D3" w:rsidRDefault="004407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1"/>
        <w:gridCol w:w="7559"/>
      </w:tblGrid>
      <w:tr w:rsidR="004407D3" w14:paraId="7136DA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682E9D" w14:textId="77777777" w:rsidR="004407D3" w:rsidRDefault="00000000">
            <w:r>
              <w:rPr>
                <w:b/>
                <w:bCs/>
                <w:color w:val="FFFFFF"/>
                <w:sz w:val="20"/>
                <w:szCs w:val="20"/>
              </w:rPr>
              <w:t>Variable</w:t>
            </w:r>
          </w:p>
        </w:tc>
        <w:tc>
          <w:tcPr>
            <w:tcW w:w="7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D10843" w14:textId="77777777" w:rsidR="004407D3" w:rsidRDefault="00000000">
            <w:r>
              <w:rPr>
                <w:b/>
                <w:bCs/>
                <w:color w:val="FFFFFF"/>
                <w:sz w:val="20"/>
                <w:szCs w:val="20"/>
              </w:rPr>
              <w:t>Definition</w:t>
            </w:r>
          </w:p>
        </w:tc>
      </w:tr>
      <w:tr w:rsidR="004407D3" w14:paraId="39BDCE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603A11" w14:textId="77777777" w:rsidR="004407D3" w:rsidRDefault="00000000">
            <w:proofErr w:type="spellStart"/>
            <w:r>
              <w:rPr>
                <w:rFonts w:ascii="Courier New" w:eastAsia="Courier New" w:hAnsi="Courier New" w:cs="Courier New"/>
                <w:b/>
                <w:bCs/>
                <w:sz w:val="20"/>
                <w:szCs w:val="20"/>
              </w:rPr>
              <w:t>AR_j</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A09695" w14:textId="77777777" w:rsidR="004407D3" w:rsidRDefault="00000000">
            <w:r>
              <w:rPr>
                <w:sz w:val="20"/>
                <w:szCs w:val="20"/>
              </w:rPr>
              <w:t>Abnormal return of receiver stock j over [t0, t0+3], estimated with j's own market model</w:t>
            </w:r>
          </w:p>
        </w:tc>
      </w:tr>
      <w:tr w:rsidR="004407D3" w14:paraId="6C7724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A27F68" w14:textId="77777777" w:rsidR="004407D3" w:rsidRDefault="00000000">
            <w:proofErr w:type="spellStart"/>
            <w:r>
              <w:rPr>
                <w:rFonts w:ascii="Courier New" w:eastAsia="Courier New" w:hAnsi="Courier New" w:cs="Courier New"/>
                <w:b/>
                <w:bCs/>
                <w:sz w:val="20"/>
                <w:szCs w:val="20"/>
              </w:rPr>
              <w:t>Shock_i</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FE8669" w14:textId="77777777" w:rsidR="004407D3" w:rsidRDefault="00000000">
            <w:r>
              <w:rPr>
                <w:sz w:val="20"/>
                <w:szCs w:val="20"/>
              </w:rPr>
              <w:t xml:space="preserve">CAR of the shocked stock </w:t>
            </w:r>
            <w:proofErr w:type="spellStart"/>
            <w:r>
              <w:rPr>
                <w:sz w:val="20"/>
                <w:szCs w:val="20"/>
              </w:rPr>
              <w:t>i</w:t>
            </w:r>
            <w:proofErr w:type="spellEnd"/>
            <w:r>
              <w:rPr>
                <w:sz w:val="20"/>
                <w:szCs w:val="20"/>
              </w:rPr>
              <w:t xml:space="preserve"> over [t0, t0+3]</w:t>
            </w:r>
          </w:p>
        </w:tc>
      </w:tr>
      <w:tr w:rsidR="004407D3" w14:paraId="11249A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C0A289" w14:textId="77777777" w:rsidR="004407D3" w:rsidRDefault="00000000">
            <w:proofErr w:type="spellStart"/>
            <w:r>
              <w:rPr>
                <w:rFonts w:ascii="Courier New" w:eastAsia="Courier New" w:hAnsi="Courier New" w:cs="Courier New"/>
                <w:b/>
                <w:bCs/>
                <w:sz w:val="20"/>
                <w:szCs w:val="20"/>
              </w:rPr>
              <w:t>w_i</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283FCE" w14:textId="77777777" w:rsidR="004407D3" w:rsidRDefault="00000000">
            <w:r>
              <w:rPr>
                <w:sz w:val="20"/>
                <w:szCs w:val="20"/>
              </w:rPr>
              <w:t xml:space="preserve">Portfolio weight of stock </w:t>
            </w:r>
            <w:proofErr w:type="spellStart"/>
            <w:r>
              <w:rPr>
                <w:sz w:val="20"/>
                <w:szCs w:val="20"/>
              </w:rPr>
              <w:t>i</w:t>
            </w:r>
            <w:proofErr w:type="spellEnd"/>
            <w:r>
              <w:rPr>
                <w:sz w:val="20"/>
                <w:szCs w:val="20"/>
              </w:rPr>
              <w:t xml:space="preserve"> in the ETF at t0 (from most recent holdings snapshot)</w:t>
            </w:r>
          </w:p>
        </w:tc>
      </w:tr>
      <w:tr w:rsidR="004407D3" w14:paraId="6BD7D9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38B03C" w14:textId="77777777" w:rsidR="004407D3" w:rsidRDefault="00000000">
            <w:proofErr w:type="spellStart"/>
            <w:r>
              <w:rPr>
                <w:rFonts w:ascii="Courier New" w:eastAsia="Courier New" w:hAnsi="Courier New" w:cs="Courier New"/>
                <w:b/>
                <w:bCs/>
                <w:sz w:val="20"/>
                <w:szCs w:val="20"/>
              </w:rPr>
              <w:t>Illiq_j</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CDD100" w14:textId="77777777" w:rsidR="004407D3" w:rsidRDefault="00000000">
            <w:proofErr w:type="spellStart"/>
            <w:r>
              <w:rPr>
                <w:sz w:val="20"/>
                <w:szCs w:val="20"/>
              </w:rPr>
              <w:t>Amihud</w:t>
            </w:r>
            <w:proofErr w:type="spellEnd"/>
            <w:r>
              <w:rPr>
                <w:sz w:val="20"/>
                <w:szCs w:val="20"/>
              </w:rPr>
              <w:t xml:space="preserve"> (2002) illiquidity ratio for j: rolling 20-day mean of |</w:t>
            </w:r>
            <w:proofErr w:type="spellStart"/>
            <w:r>
              <w:rPr>
                <w:sz w:val="20"/>
                <w:szCs w:val="20"/>
              </w:rPr>
              <w:t>R_t</w:t>
            </w:r>
            <w:proofErr w:type="spellEnd"/>
            <w:r>
              <w:rPr>
                <w:sz w:val="20"/>
                <w:szCs w:val="20"/>
              </w:rPr>
              <w:t>| / (</w:t>
            </w:r>
            <w:proofErr w:type="spellStart"/>
            <w:r>
              <w:rPr>
                <w:sz w:val="20"/>
                <w:szCs w:val="20"/>
              </w:rPr>
              <w:t>Volume_t</w:t>
            </w:r>
            <w:proofErr w:type="spellEnd"/>
            <w:r>
              <w:rPr>
                <w:sz w:val="20"/>
                <w:szCs w:val="20"/>
              </w:rPr>
              <w:t xml:space="preserve"> × </w:t>
            </w:r>
            <w:proofErr w:type="spellStart"/>
            <w:r>
              <w:rPr>
                <w:sz w:val="20"/>
                <w:szCs w:val="20"/>
              </w:rPr>
              <w:t>Price_t</w:t>
            </w:r>
            <w:proofErr w:type="spellEnd"/>
            <w:r>
              <w:rPr>
                <w:sz w:val="20"/>
                <w:szCs w:val="20"/>
              </w:rPr>
              <w:t>)</w:t>
            </w:r>
          </w:p>
        </w:tc>
      </w:tr>
      <w:tr w:rsidR="004407D3" w14:paraId="3B15C8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C85730" w14:textId="77777777" w:rsidR="004407D3" w:rsidRDefault="00000000">
            <w:proofErr w:type="spellStart"/>
            <w:r>
              <w:rPr>
                <w:rFonts w:ascii="Courier New" w:eastAsia="Courier New" w:hAnsi="Courier New" w:cs="Courier New"/>
                <w:b/>
                <w:bCs/>
                <w:sz w:val="20"/>
                <w:szCs w:val="20"/>
              </w:rPr>
              <w:t>Mispricing_k</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C5A347" w14:textId="77777777" w:rsidR="004407D3" w:rsidRDefault="00000000">
            <w:r>
              <w:rPr>
                <w:sz w:val="20"/>
                <w:szCs w:val="20"/>
              </w:rPr>
              <w:t>Proxy for ETF premium/discount: cumulative ETF return minus benchmark return over 5 days pre-event</w:t>
            </w:r>
          </w:p>
        </w:tc>
      </w:tr>
      <w:tr w:rsidR="004407D3" w14:paraId="3962CC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BEFA25" w14:textId="77777777" w:rsidR="004407D3" w:rsidRDefault="00000000">
            <w:proofErr w:type="spellStart"/>
            <w:r>
              <w:rPr>
                <w:rFonts w:ascii="Courier New" w:eastAsia="Courier New" w:hAnsi="Courier New" w:cs="Courier New"/>
                <w:b/>
                <w:bCs/>
                <w:sz w:val="20"/>
                <w:szCs w:val="20"/>
              </w:rPr>
              <w:t>Similarity_ij</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8F2A9E" w14:textId="77777777" w:rsidR="004407D3" w:rsidRDefault="00000000">
            <w:r>
              <w:rPr>
                <w:sz w:val="20"/>
                <w:szCs w:val="20"/>
              </w:rPr>
              <w:t>GICS-based economic similarity: 1.0 (same industry), 0.5 (same sector), 0.0 (different sector)</w:t>
            </w:r>
          </w:p>
        </w:tc>
      </w:tr>
      <w:tr w:rsidR="004407D3" w14:paraId="73503B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5334E3" w14:textId="77777777" w:rsidR="004407D3" w:rsidRDefault="00000000">
            <w:proofErr w:type="spellStart"/>
            <w:r>
              <w:rPr>
                <w:rFonts w:ascii="Courier New" w:eastAsia="Courier New" w:hAnsi="Courier New" w:cs="Courier New"/>
                <w:b/>
                <w:bCs/>
                <w:sz w:val="20"/>
                <w:szCs w:val="20"/>
              </w:rPr>
              <w:t>Neg_e</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209DBC" w14:textId="77777777" w:rsidR="004407D3" w:rsidRDefault="00000000">
            <w:r>
              <w:rPr>
                <w:sz w:val="20"/>
                <w:szCs w:val="20"/>
              </w:rPr>
              <w:t>Indicator equal to 1 if the shock is negative (</w:t>
            </w:r>
            <w:proofErr w:type="spellStart"/>
            <w:r>
              <w:rPr>
                <w:sz w:val="20"/>
                <w:szCs w:val="20"/>
              </w:rPr>
              <w:t>CAR_i</w:t>
            </w:r>
            <w:proofErr w:type="spellEnd"/>
            <w:r>
              <w:rPr>
                <w:sz w:val="20"/>
                <w:szCs w:val="20"/>
              </w:rPr>
              <w:t xml:space="preserve"> &lt; 0)</w:t>
            </w:r>
          </w:p>
        </w:tc>
      </w:tr>
    </w:tbl>
    <w:p w14:paraId="67F8D79F" w14:textId="77777777" w:rsidR="004407D3" w:rsidRDefault="004407D3">
      <w:pPr>
        <w:spacing w:before="80" w:after="80"/>
      </w:pPr>
    </w:p>
    <w:p w14:paraId="5074D3FD" w14:textId="77777777" w:rsidR="004407D3" w:rsidRDefault="00000000">
      <w:pPr>
        <w:pStyle w:val="Heading2"/>
      </w:pPr>
      <w:r>
        <w:t>4.3 Spillover Regression</w:t>
      </w:r>
    </w:p>
    <w:p w14:paraId="2CF579F6" w14:textId="77777777" w:rsidR="004407D3" w:rsidRDefault="00000000">
      <w:pPr>
        <w:spacing w:before="60" w:after="100"/>
        <w:jc w:val="both"/>
      </w:pPr>
      <w:r>
        <w:lastRenderedPageBreak/>
        <w:t>The core regression is estimated by OLS with stock-j fixed effects and standard errors clustered by event identifier to account for cross-sectional correlation among receiver stocks sharing the same shock event:</w:t>
      </w:r>
    </w:p>
    <w:p w14:paraId="60549F2B" w14:textId="77777777" w:rsidR="004407D3" w:rsidRDefault="004407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7D3" w14:paraId="0C2E7D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tcPr>
          <w:p w14:paraId="296B156E" w14:textId="77777777" w:rsidR="004407D3" w:rsidRDefault="00000000">
            <w:pPr>
              <w:spacing w:after="40"/>
            </w:pPr>
            <w:r>
              <w:rPr>
                <w:b/>
                <w:bCs/>
                <w:color w:val="1F4E79"/>
                <w:sz w:val="20"/>
                <w:szCs w:val="20"/>
              </w:rPr>
              <w:t>Core spillover regression</w:t>
            </w:r>
          </w:p>
          <w:p w14:paraId="0C21EA84" w14:textId="77777777" w:rsidR="004407D3" w:rsidRDefault="00000000">
            <w:pPr>
              <w:jc w:val="both"/>
            </w:pPr>
            <w:r>
              <w:rPr>
                <w:sz w:val="20"/>
                <w:szCs w:val="20"/>
              </w:rPr>
              <w:t>AR_{</w:t>
            </w:r>
            <w:proofErr w:type="spellStart"/>
            <w:r>
              <w:rPr>
                <w:sz w:val="20"/>
                <w:szCs w:val="20"/>
              </w:rPr>
              <w:t>j,e</w:t>
            </w:r>
            <w:proofErr w:type="spellEnd"/>
            <w:r>
              <w:rPr>
                <w:sz w:val="20"/>
                <w:szCs w:val="20"/>
              </w:rPr>
              <w:t>} = α  +  β1·(</w:t>
            </w:r>
            <w:proofErr w:type="spellStart"/>
            <w:r>
              <w:rPr>
                <w:sz w:val="20"/>
                <w:szCs w:val="20"/>
              </w:rPr>
              <w:t>Shock_i</w:t>
            </w:r>
            <w:proofErr w:type="spellEnd"/>
            <w:r>
              <w:rPr>
                <w:sz w:val="20"/>
                <w:szCs w:val="20"/>
              </w:rPr>
              <w:t xml:space="preserve"> × </w:t>
            </w:r>
            <w:proofErr w:type="spellStart"/>
            <w:r>
              <w:rPr>
                <w:sz w:val="20"/>
                <w:szCs w:val="20"/>
              </w:rPr>
              <w:t>w_i</w:t>
            </w:r>
            <w:proofErr w:type="spellEnd"/>
            <w:r>
              <w:rPr>
                <w:sz w:val="20"/>
                <w:szCs w:val="20"/>
              </w:rPr>
              <w:t>)  +  β2·(</w:t>
            </w:r>
            <w:proofErr w:type="spellStart"/>
            <w:r>
              <w:rPr>
                <w:sz w:val="20"/>
                <w:szCs w:val="20"/>
              </w:rPr>
              <w:t>Shock_i</w:t>
            </w:r>
            <w:proofErr w:type="spellEnd"/>
            <w:r>
              <w:rPr>
                <w:sz w:val="20"/>
                <w:szCs w:val="20"/>
              </w:rPr>
              <w:t xml:space="preserve"> × </w:t>
            </w:r>
            <w:proofErr w:type="spellStart"/>
            <w:r>
              <w:rPr>
                <w:sz w:val="20"/>
                <w:szCs w:val="20"/>
              </w:rPr>
              <w:t>w_i</w:t>
            </w:r>
            <w:proofErr w:type="spellEnd"/>
            <w:r>
              <w:rPr>
                <w:sz w:val="20"/>
                <w:szCs w:val="20"/>
              </w:rPr>
              <w:t xml:space="preserve"> × </w:t>
            </w:r>
            <w:proofErr w:type="spellStart"/>
            <w:r>
              <w:rPr>
                <w:sz w:val="20"/>
                <w:szCs w:val="20"/>
              </w:rPr>
              <w:t>Illiq_j</w:t>
            </w:r>
            <w:proofErr w:type="spellEnd"/>
            <w:r>
              <w:rPr>
                <w:sz w:val="20"/>
                <w:szCs w:val="20"/>
              </w:rPr>
              <w:t>)               +  β4·(</w:t>
            </w:r>
            <w:proofErr w:type="spellStart"/>
            <w:r>
              <w:rPr>
                <w:sz w:val="20"/>
                <w:szCs w:val="20"/>
              </w:rPr>
              <w:t>Shock_i</w:t>
            </w:r>
            <w:proofErr w:type="spellEnd"/>
            <w:r>
              <w:rPr>
                <w:sz w:val="20"/>
                <w:szCs w:val="20"/>
              </w:rPr>
              <w:t xml:space="preserve"> × </w:t>
            </w:r>
            <w:proofErr w:type="spellStart"/>
            <w:r>
              <w:rPr>
                <w:sz w:val="20"/>
                <w:szCs w:val="20"/>
              </w:rPr>
              <w:t>w_i</w:t>
            </w:r>
            <w:proofErr w:type="spellEnd"/>
            <w:r>
              <w:rPr>
                <w:sz w:val="20"/>
                <w:szCs w:val="20"/>
              </w:rPr>
              <w:t xml:space="preserve"> × </w:t>
            </w:r>
            <w:proofErr w:type="spellStart"/>
            <w:r>
              <w:rPr>
                <w:sz w:val="20"/>
                <w:szCs w:val="20"/>
              </w:rPr>
              <w:t>Mispricing_k</w:t>
            </w:r>
            <w:proofErr w:type="spellEnd"/>
            <w:r>
              <w:rPr>
                <w:sz w:val="20"/>
                <w:szCs w:val="20"/>
              </w:rPr>
              <w:t>)  +  β5·(</w:t>
            </w:r>
            <w:proofErr w:type="spellStart"/>
            <w:r>
              <w:rPr>
                <w:sz w:val="20"/>
                <w:szCs w:val="20"/>
              </w:rPr>
              <w:t>Shock_i</w:t>
            </w:r>
            <w:proofErr w:type="spellEnd"/>
            <w:r>
              <w:rPr>
                <w:sz w:val="20"/>
                <w:szCs w:val="20"/>
              </w:rPr>
              <w:t xml:space="preserve"> × </w:t>
            </w:r>
            <w:proofErr w:type="spellStart"/>
            <w:r>
              <w:rPr>
                <w:sz w:val="20"/>
                <w:szCs w:val="20"/>
              </w:rPr>
              <w:t>Similarity_ij</w:t>
            </w:r>
            <w:proofErr w:type="spellEnd"/>
            <w:r>
              <w:rPr>
                <w:sz w:val="20"/>
                <w:szCs w:val="20"/>
              </w:rPr>
              <w:t>)               +  δ·(</w:t>
            </w:r>
            <w:proofErr w:type="spellStart"/>
            <w:r>
              <w:rPr>
                <w:sz w:val="20"/>
                <w:szCs w:val="20"/>
              </w:rPr>
              <w:t>Neg_e</w:t>
            </w:r>
            <w:proofErr w:type="spellEnd"/>
            <w:r>
              <w:rPr>
                <w:sz w:val="20"/>
                <w:szCs w:val="20"/>
              </w:rPr>
              <w:t xml:space="preserve"> × </w:t>
            </w:r>
            <w:proofErr w:type="spellStart"/>
            <w:r>
              <w:rPr>
                <w:sz w:val="20"/>
                <w:szCs w:val="20"/>
              </w:rPr>
              <w:t>Shock_i</w:t>
            </w:r>
            <w:proofErr w:type="spellEnd"/>
            <w:r>
              <w:rPr>
                <w:sz w:val="20"/>
                <w:szCs w:val="20"/>
              </w:rPr>
              <w:t xml:space="preserve"> × </w:t>
            </w:r>
            <w:proofErr w:type="spellStart"/>
            <w:r>
              <w:rPr>
                <w:sz w:val="20"/>
                <w:szCs w:val="20"/>
              </w:rPr>
              <w:t>w_i</w:t>
            </w:r>
            <w:proofErr w:type="spellEnd"/>
            <w:r>
              <w:rPr>
                <w:sz w:val="20"/>
                <w:szCs w:val="20"/>
              </w:rPr>
              <w:t xml:space="preserve">)  +  </w:t>
            </w:r>
            <w:proofErr w:type="spellStart"/>
            <w:r>
              <w:rPr>
                <w:sz w:val="20"/>
                <w:szCs w:val="20"/>
              </w:rPr>
              <w:t>FE_j</w:t>
            </w:r>
            <w:proofErr w:type="spellEnd"/>
            <w:r>
              <w:rPr>
                <w:sz w:val="20"/>
                <w:szCs w:val="20"/>
              </w:rPr>
              <w:t xml:space="preserve">  +  ε_{</w:t>
            </w:r>
            <w:proofErr w:type="spellStart"/>
            <w:r>
              <w:rPr>
                <w:sz w:val="20"/>
                <w:szCs w:val="20"/>
              </w:rPr>
              <w:t>j,e</w:t>
            </w:r>
            <w:proofErr w:type="spellEnd"/>
            <w:r>
              <w:rPr>
                <w:sz w:val="20"/>
                <w:szCs w:val="20"/>
              </w:rPr>
              <w:t>}</w:t>
            </w:r>
          </w:p>
        </w:tc>
      </w:tr>
    </w:tbl>
    <w:p w14:paraId="6E8BD6C2" w14:textId="77777777" w:rsidR="004407D3" w:rsidRDefault="004407D3">
      <w:pPr>
        <w:spacing w:before="80" w:after="80"/>
      </w:pPr>
    </w:p>
    <w:p w14:paraId="05BAD45B" w14:textId="77777777" w:rsidR="004407D3" w:rsidRDefault="00000000">
      <w:pPr>
        <w:spacing w:before="60" w:after="100"/>
        <w:jc w:val="both"/>
      </w:pPr>
      <w:r>
        <w:t>Each coefficient tests a distinct transmission hypothesis from the research plan:</w:t>
      </w:r>
    </w:p>
    <w:p w14:paraId="6B714E8B" w14:textId="77777777" w:rsidR="004407D3" w:rsidRDefault="00000000">
      <w:pPr>
        <w:pStyle w:val="ListParagraph"/>
        <w:numPr>
          <w:ilvl w:val="0"/>
          <w:numId w:val="2"/>
        </w:numPr>
        <w:spacing w:before="40" w:after="40"/>
      </w:pPr>
      <w:r>
        <w:t>β1 — Baseline intra-ETF propagation, scaled by constituent weight (H1)</w:t>
      </w:r>
    </w:p>
    <w:p w14:paraId="74DF2021" w14:textId="77777777" w:rsidR="004407D3" w:rsidRDefault="00000000">
      <w:pPr>
        <w:pStyle w:val="ListParagraph"/>
        <w:numPr>
          <w:ilvl w:val="0"/>
          <w:numId w:val="2"/>
        </w:numPr>
        <w:spacing w:before="40" w:after="40"/>
      </w:pPr>
      <w:r>
        <w:t>β2 — Liquidity channel: price-pressure amplification via illiquid co-constituents (H2)</w:t>
      </w:r>
    </w:p>
    <w:p w14:paraId="2EE09916" w14:textId="77777777" w:rsidR="004407D3" w:rsidRDefault="00000000">
      <w:pPr>
        <w:pStyle w:val="ListParagraph"/>
        <w:numPr>
          <w:ilvl w:val="0"/>
          <w:numId w:val="2"/>
        </w:numPr>
        <w:spacing w:before="40" w:after="40"/>
      </w:pPr>
      <w:r>
        <w:t>β4 — Arbitrage channel: amplification when the ETF trades at a premium/discount to NAV</w:t>
      </w:r>
    </w:p>
    <w:p w14:paraId="795DA7A5" w14:textId="77777777" w:rsidR="004407D3" w:rsidRDefault="00000000">
      <w:pPr>
        <w:pStyle w:val="ListParagraph"/>
        <w:numPr>
          <w:ilvl w:val="0"/>
          <w:numId w:val="2"/>
        </w:numPr>
        <w:spacing w:before="40" w:after="40"/>
      </w:pPr>
      <w:r>
        <w:t>β5 — Informational spillover: stronger transmission between economically related stocks</w:t>
      </w:r>
    </w:p>
    <w:p w14:paraId="18F57029" w14:textId="77777777" w:rsidR="004407D3" w:rsidRDefault="00000000">
      <w:pPr>
        <w:pStyle w:val="ListParagraph"/>
        <w:numPr>
          <w:ilvl w:val="0"/>
          <w:numId w:val="2"/>
        </w:numPr>
        <w:spacing w:before="40" w:after="40"/>
      </w:pPr>
      <w:proofErr w:type="gramStart"/>
      <w:r>
        <w:t>δ  —</w:t>
      </w:r>
      <w:proofErr w:type="gramEnd"/>
      <w:r>
        <w:t xml:space="preserve"> Asymmetry: whether negative shocks propagate more strongly than positive ones (H5)</w:t>
      </w:r>
    </w:p>
    <w:p w14:paraId="1ADC9B41" w14:textId="77777777" w:rsidR="004407D3" w:rsidRDefault="004407D3">
      <w:pPr>
        <w:spacing w:before="80" w:after="80"/>
      </w:pPr>
    </w:p>
    <w:p w14:paraId="1C3CD599" w14:textId="77777777" w:rsidR="004407D3" w:rsidRDefault="00000000">
      <w:r>
        <w:br w:type="page"/>
      </w:r>
    </w:p>
    <w:p w14:paraId="64DAFEE9" w14:textId="77777777" w:rsidR="004407D3" w:rsidRDefault="00000000">
      <w:pPr>
        <w:pStyle w:val="Heading1"/>
        <w:pBdr>
          <w:bottom w:val="single" w:sz="6" w:space="1" w:color="1F4E79"/>
        </w:pBdr>
      </w:pPr>
      <w:r>
        <w:lastRenderedPageBreak/>
        <w:t>5. Preliminary Results (Validation Run: XME + XLE)</w:t>
      </w:r>
    </w:p>
    <w:p w14:paraId="4072108E" w14:textId="77777777" w:rsidR="004407D3" w:rsidRDefault="00000000">
      <w:pPr>
        <w:spacing w:before="60" w:after="100"/>
        <w:jc w:val="both"/>
      </w:pPr>
      <w:r>
        <w:t>The validation run uses only XME (Metals &amp; Mining) and XLE (Energy), the two smallest ETFs by number of constituents (~30 stocks each), to verify model behaviour before scaling to all five ETFs. The full panel contains 285,752 observations across 27,948 shock events.</w:t>
      </w:r>
    </w:p>
    <w:p w14:paraId="72F1DE3E" w14:textId="77777777" w:rsidR="004407D3" w:rsidRDefault="004407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1500"/>
        <w:gridCol w:w="3660"/>
      </w:tblGrid>
      <w:tr w:rsidR="004407D3" w14:paraId="5A103B4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E7D561" w14:textId="77777777" w:rsidR="004407D3" w:rsidRDefault="00000000">
            <w:r>
              <w:rPr>
                <w:b/>
                <w:bCs/>
                <w:color w:val="FFFFFF"/>
                <w:sz w:val="20"/>
                <w:szCs w:val="20"/>
              </w:rPr>
              <w:t>Term</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F1B099" w14:textId="77777777" w:rsidR="004407D3" w:rsidRDefault="00000000">
            <w:r>
              <w:rPr>
                <w:b/>
                <w:bCs/>
                <w:color w:val="FFFFFF"/>
                <w:sz w:val="20"/>
                <w:szCs w:val="20"/>
              </w:rPr>
              <w:t>Coeff.</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10A68F" w14:textId="77777777" w:rsidR="004407D3" w:rsidRDefault="00000000">
            <w:r>
              <w:rPr>
                <w:b/>
                <w:bCs/>
                <w:color w:val="FFFFFF"/>
                <w:sz w:val="20"/>
                <w:szCs w:val="20"/>
              </w:rPr>
              <w:t>p-value</w:t>
            </w:r>
          </w:p>
        </w:tc>
        <w:tc>
          <w:tcPr>
            <w:tcW w:w="3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D2B902" w14:textId="77777777" w:rsidR="004407D3" w:rsidRDefault="00000000">
            <w:r>
              <w:rPr>
                <w:b/>
                <w:bCs/>
                <w:color w:val="FFFFFF"/>
                <w:sz w:val="20"/>
                <w:szCs w:val="20"/>
              </w:rPr>
              <w:t>Interaction term</w:t>
            </w:r>
          </w:p>
        </w:tc>
      </w:tr>
      <w:tr w:rsidR="004407D3" w14:paraId="6B22919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BEB316" w14:textId="77777777" w:rsidR="004407D3" w:rsidRDefault="00000000">
            <w:r>
              <w:rPr>
                <w:b/>
                <w:bCs/>
                <w:sz w:val="20"/>
                <w:szCs w:val="20"/>
              </w:rPr>
              <w:t>β</w:t>
            </w:r>
            <w:proofErr w:type="gramStart"/>
            <w:r>
              <w:rPr>
                <w:b/>
                <w:bCs/>
                <w:sz w:val="20"/>
                <w:szCs w:val="20"/>
              </w:rPr>
              <w:t>1  Baseline</w:t>
            </w:r>
            <w:proofErr w:type="gramEnd"/>
            <w:r>
              <w:rPr>
                <w:b/>
                <w:bCs/>
                <w:sz w:val="20"/>
                <w:szCs w:val="20"/>
              </w:rPr>
              <w:t xml:space="preserve"> propagation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E937D9" w14:textId="77777777" w:rsidR="004407D3" w:rsidRDefault="00000000">
            <w:pPr>
              <w:jc w:val="center"/>
            </w:pPr>
            <w:r>
              <w:rPr>
                <w:rFonts w:ascii="Courier New" w:eastAsia="Courier New" w:hAnsi="Courier New" w:cs="Courier New"/>
                <w:sz w:val="20"/>
                <w:szCs w:val="20"/>
              </w:rPr>
              <w:t>+2.043</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10460B" w14:textId="77777777" w:rsidR="004407D3" w:rsidRDefault="00000000">
            <w:pPr>
              <w:jc w:val="center"/>
            </w:pPr>
            <w:r>
              <w:rPr>
                <w:rFonts w:ascii="Courier New" w:eastAsia="Courier New" w:hAnsi="Courier New" w:cs="Courier New"/>
                <w:sz w:val="20"/>
                <w:szCs w:val="20"/>
              </w:rPr>
              <w:t>0.000 ***</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5BCF0A" w14:textId="77777777" w:rsidR="004407D3" w:rsidRDefault="00000000">
            <w:r>
              <w:rPr>
                <w:sz w:val="20"/>
                <w:szCs w:val="20"/>
              </w:rPr>
              <w:t xml:space="preserve">Shock × </w:t>
            </w:r>
            <w:proofErr w:type="spellStart"/>
            <w:r>
              <w:rPr>
                <w:sz w:val="20"/>
                <w:szCs w:val="20"/>
              </w:rPr>
              <w:t>w_i</w:t>
            </w:r>
            <w:proofErr w:type="spellEnd"/>
            <w:r>
              <w:rPr>
                <w:sz w:val="20"/>
                <w:szCs w:val="20"/>
              </w:rPr>
              <w:t xml:space="preserve"> → co-constituent AR</w:t>
            </w:r>
          </w:p>
        </w:tc>
      </w:tr>
      <w:tr w:rsidR="004407D3" w14:paraId="608702C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3746D6" w14:textId="77777777" w:rsidR="004407D3" w:rsidRDefault="00000000">
            <w:r>
              <w:rPr>
                <w:b/>
                <w:bCs/>
                <w:sz w:val="20"/>
                <w:szCs w:val="20"/>
              </w:rPr>
              <w:t>β</w:t>
            </w:r>
            <w:proofErr w:type="gramStart"/>
            <w:r>
              <w:rPr>
                <w:b/>
                <w:bCs/>
                <w:sz w:val="20"/>
                <w:szCs w:val="20"/>
              </w:rPr>
              <w:t>2  Liquidity</w:t>
            </w:r>
            <w:proofErr w:type="gramEnd"/>
            <w:r>
              <w:rPr>
                <w:b/>
                <w:bCs/>
                <w:sz w:val="20"/>
                <w:szCs w:val="20"/>
              </w:rPr>
              <w:t xml:space="preserve"> channel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A54D97" w14:textId="77777777" w:rsidR="004407D3" w:rsidRDefault="00000000">
            <w:pPr>
              <w:jc w:val="center"/>
            </w:pPr>
            <w:r>
              <w:rPr>
                <w:rFonts w:ascii="Courier New" w:eastAsia="Courier New" w:hAnsi="Courier New" w:cs="Courier New"/>
                <w:sz w:val="20"/>
                <w:szCs w:val="20"/>
              </w:rPr>
              <w:t>−10.647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9E8F7E" w14:textId="77777777" w:rsidR="004407D3" w:rsidRDefault="00000000">
            <w:pPr>
              <w:jc w:val="center"/>
            </w:pPr>
            <w:r>
              <w:rPr>
                <w:rFonts w:ascii="Courier New" w:eastAsia="Courier New" w:hAnsi="Courier New" w:cs="Courier New"/>
                <w:sz w:val="20"/>
                <w:szCs w:val="20"/>
              </w:rPr>
              <w:t>0.004 ***</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F3B582" w14:textId="77777777" w:rsidR="004407D3" w:rsidRDefault="00000000">
            <w:r>
              <w:rPr>
                <w:sz w:val="20"/>
                <w:szCs w:val="20"/>
              </w:rPr>
              <w:t xml:space="preserve">Shock × </w:t>
            </w:r>
            <w:proofErr w:type="spellStart"/>
            <w:r>
              <w:rPr>
                <w:sz w:val="20"/>
                <w:szCs w:val="20"/>
              </w:rPr>
              <w:t>w_i</w:t>
            </w:r>
            <w:proofErr w:type="spellEnd"/>
            <w:r>
              <w:rPr>
                <w:sz w:val="20"/>
                <w:szCs w:val="20"/>
              </w:rPr>
              <w:t xml:space="preserve"> × </w:t>
            </w:r>
            <w:proofErr w:type="spellStart"/>
            <w:r>
              <w:rPr>
                <w:sz w:val="20"/>
                <w:szCs w:val="20"/>
              </w:rPr>
              <w:t>Amihud_j</w:t>
            </w:r>
            <w:proofErr w:type="spellEnd"/>
          </w:p>
        </w:tc>
      </w:tr>
      <w:tr w:rsidR="004407D3" w14:paraId="108793B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839D16" w14:textId="77777777" w:rsidR="004407D3" w:rsidRDefault="00000000">
            <w:r>
              <w:rPr>
                <w:b/>
                <w:bCs/>
                <w:sz w:val="20"/>
                <w:szCs w:val="20"/>
              </w:rPr>
              <w:t>β</w:t>
            </w:r>
            <w:proofErr w:type="gramStart"/>
            <w:r>
              <w:rPr>
                <w:b/>
                <w:bCs/>
                <w:sz w:val="20"/>
                <w:szCs w:val="20"/>
              </w:rPr>
              <w:t>4  Arbitrage</w:t>
            </w:r>
            <w:proofErr w:type="gramEnd"/>
            <w:r>
              <w:rPr>
                <w:b/>
                <w:bCs/>
                <w:sz w:val="20"/>
                <w:szCs w:val="20"/>
              </w:rPr>
              <w:t xml:space="preserve"> channel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2E1F51" w14:textId="77777777" w:rsidR="004407D3" w:rsidRDefault="00000000">
            <w:pPr>
              <w:jc w:val="center"/>
            </w:pPr>
            <w:r>
              <w:rPr>
                <w:rFonts w:ascii="Courier New" w:eastAsia="Courier New" w:hAnsi="Courier New" w:cs="Courier New"/>
                <w:sz w:val="20"/>
                <w:szCs w:val="20"/>
              </w:rPr>
              <w:t>−4.423</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746DD2" w14:textId="77777777" w:rsidR="004407D3" w:rsidRDefault="00000000">
            <w:pPr>
              <w:jc w:val="center"/>
            </w:pPr>
            <w:r>
              <w:rPr>
                <w:rFonts w:ascii="Courier New" w:eastAsia="Courier New" w:hAnsi="Courier New" w:cs="Courier New"/>
                <w:sz w:val="20"/>
                <w:szCs w:val="20"/>
              </w:rPr>
              <w:t>0.068 *</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A5F3D3" w14:textId="77777777" w:rsidR="004407D3" w:rsidRDefault="00000000">
            <w:r>
              <w:rPr>
                <w:sz w:val="20"/>
                <w:szCs w:val="20"/>
              </w:rPr>
              <w:t xml:space="preserve">Shock × </w:t>
            </w:r>
            <w:proofErr w:type="spellStart"/>
            <w:r>
              <w:rPr>
                <w:sz w:val="20"/>
                <w:szCs w:val="20"/>
              </w:rPr>
              <w:t>w_i</w:t>
            </w:r>
            <w:proofErr w:type="spellEnd"/>
            <w:r>
              <w:rPr>
                <w:sz w:val="20"/>
                <w:szCs w:val="20"/>
              </w:rPr>
              <w:t xml:space="preserve"> × </w:t>
            </w:r>
            <w:proofErr w:type="spellStart"/>
            <w:r>
              <w:rPr>
                <w:sz w:val="20"/>
                <w:szCs w:val="20"/>
              </w:rPr>
              <w:t>Mispricing_k</w:t>
            </w:r>
            <w:proofErr w:type="spellEnd"/>
          </w:p>
        </w:tc>
      </w:tr>
      <w:tr w:rsidR="004407D3" w14:paraId="5804235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3B61F9" w14:textId="77777777" w:rsidR="004407D3" w:rsidRDefault="00000000">
            <w:r>
              <w:rPr>
                <w:b/>
                <w:bCs/>
                <w:sz w:val="20"/>
                <w:szCs w:val="20"/>
              </w:rPr>
              <w:t>β</w:t>
            </w:r>
            <w:proofErr w:type="gramStart"/>
            <w:r>
              <w:rPr>
                <w:b/>
                <w:bCs/>
                <w:sz w:val="20"/>
                <w:szCs w:val="20"/>
              </w:rPr>
              <w:t>5  Informational</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2A5CA8" w14:textId="77777777" w:rsidR="004407D3" w:rsidRDefault="00000000">
            <w:pPr>
              <w:jc w:val="center"/>
            </w:pPr>
            <w:r>
              <w:rPr>
                <w:rFonts w:ascii="Courier New" w:eastAsia="Courier New" w:hAnsi="Courier New" w:cs="Courier New"/>
                <w:sz w:val="20"/>
                <w:szCs w:val="20"/>
              </w:rPr>
              <w:t>+0.403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3172A5" w14:textId="77777777" w:rsidR="004407D3" w:rsidRDefault="00000000">
            <w:pPr>
              <w:jc w:val="center"/>
            </w:pPr>
            <w:r>
              <w:rPr>
                <w:rFonts w:ascii="Courier New" w:eastAsia="Courier New" w:hAnsi="Courier New" w:cs="Courier New"/>
                <w:sz w:val="20"/>
                <w:szCs w:val="20"/>
              </w:rPr>
              <w:t>0.000 ***</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080713" w14:textId="77777777" w:rsidR="004407D3" w:rsidRDefault="00000000">
            <w:r>
              <w:rPr>
                <w:sz w:val="20"/>
                <w:szCs w:val="20"/>
              </w:rPr>
              <w:t xml:space="preserve">Shock × GICS </w:t>
            </w:r>
            <w:proofErr w:type="spellStart"/>
            <w:r>
              <w:rPr>
                <w:sz w:val="20"/>
                <w:szCs w:val="20"/>
              </w:rPr>
              <w:t>Similarity_ij</w:t>
            </w:r>
            <w:proofErr w:type="spellEnd"/>
          </w:p>
        </w:tc>
      </w:tr>
      <w:tr w:rsidR="004407D3" w14:paraId="1F28A6D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CDA138" w14:textId="77777777" w:rsidR="004407D3" w:rsidRDefault="00000000">
            <w:r>
              <w:rPr>
                <w:b/>
                <w:bCs/>
                <w:sz w:val="20"/>
                <w:szCs w:val="20"/>
              </w:rPr>
              <w:t>δ   Asymmetry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EB38A" w14:textId="77777777" w:rsidR="004407D3" w:rsidRDefault="00000000">
            <w:pPr>
              <w:jc w:val="center"/>
            </w:pPr>
            <w:r>
              <w:rPr>
                <w:rFonts w:ascii="Courier New" w:eastAsia="Courier New" w:hAnsi="Courier New" w:cs="Courier New"/>
                <w:sz w:val="20"/>
                <w:szCs w:val="20"/>
              </w:rPr>
              <w:t>+0.433</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2A98F1" w14:textId="77777777" w:rsidR="004407D3" w:rsidRDefault="00000000">
            <w:pPr>
              <w:jc w:val="center"/>
            </w:pPr>
            <w:r>
              <w:rPr>
                <w:rFonts w:ascii="Courier New" w:eastAsia="Courier New" w:hAnsi="Courier New" w:cs="Courier New"/>
                <w:sz w:val="20"/>
                <w:szCs w:val="20"/>
              </w:rPr>
              <w:t>0.104</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3A06ED" w14:textId="77777777" w:rsidR="004407D3" w:rsidRDefault="00000000">
            <w:r>
              <w:rPr>
                <w:sz w:val="20"/>
                <w:szCs w:val="20"/>
              </w:rPr>
              <w:t xml:space="preserve">Neg × Shock × </w:t>
            </w:r>
            <w:proofErr w:type="spellStart"/>
            <w:r>
              <w:rPr>
                <w:sz w:val="20"/>
                <w:szCs w:val="20"/>
              </w:rPr>
              <w:t>w_i</w:t>
            </w:r>
            <w:proofErr w:type="spellEnd"/>
          </w:p>
        </w:tc>
      </w:tr>
    </w:tbl>
    <w:p w14:paraId="75953994" w14:textId="77777777" w:rsidR="004407D3" w:rsidRDefault="004407D3">
      <w:pPr>
        <w:spacing w:before="80" w:after="80"/>
      </w:pPr>
    </w:p>
    <w:p w14:paraId="78CEDACC" w14:textId="77777777" w:rsidR="004407D3" w:rsidRDefault="00000000">
      <w:pPr>
        <w:pStyle w:val="Heading2"/>
      </w:pPr>
      <w:r>
        <w:t>5.1 Main Findings</w:t>
      </w:r>
    </w:p>
    <w:p w14:paraId="32ACC403" w14:textId="77777777" w:rsidR="004407D3" w:rsidRDefault="00000000">
      <w:pPr>
        <w:spacing w:before="180" w:after="80"/>
      </w:pPr>
      <w:r>
        <w:rPr>
          <w:b/>
          <w:bCs/>
          <w:color w:val="595959"/>
        </w:rPr>
        <w:t>β1 — Baseline propagation (significant)</w:t>
      </w:r>
    </w:p>
    <w:p w14:paraId="28E88354" w14:textId="77777777" w:rsidR="004407D3" w:rsidRDefault="00000000">
      <w:pPr>
        <w:spacing w:before="60" w:after="100"/>
        <w:jc w:val="both"/>
      </w:pPr>
      <w:r>
        <w:t>A coefficient of +2.04 (p &lt; 0.001) confirms that intra-ETF spillovers exist: when a constituent stock experiences an abnormal return, co-constituents move in the same direction, with the effect scaling with the weight of the shocked stock in the ETF. This is the central result of the study and supports Hypothesis H1.</w:t>
      </w:r>
    </w:p>
    <w:p w14:paraId="7B02F7FE" w14:textId="77777777" w:rsidR="004407D3" w:rsidRDefault="00000000">
      <w:pPr>
        <w:spacing w:before="180" w:after="80"/>
      </w:pPr>
      <w:r>
        <w:rPr>
          <w:b/>
          <w:bCs/>
          <w:color w:val="595959"/>
        </w:rPr>
        <w:t>β2 — Liquidity channel (significant, negative)</w:t>
      </w:r>
    </w:p>
    <w:p w14:paraId="3BF0BA3E" w14:textId="77777777" w:rsidR="004407D3" w:rsidRDefault="00000000">
      <w:pPr>
        <w:spacing w:before="60" w:after="100"/>
        <w:jc w:val="both"/>
      </w:pPr>
      <w:r>
        <w:t xml:space="preserve">The </w:t>
      </w:r>
      <w:proofErr w:type="spellStart"/>
      <w:r>
        <w:t>Amihud</w:t>
      </w:r>
      <w:proofErr w:type="spellEnd"/>
      <w:r>
        <w:t>-based coefficient of −10.65 (p = 0.004) indicates that less liquid stocks absorb smaller spillovers in the immediate event window, suggesting illiquidity acts as a friction dampening mechanical transmission. The sign reversal relative to the initial proxy model confirms that the earlier result was artefactual.</w:t>
      </w:r>
    </w:p>
    <w:p w14:paraId="1D25B6D1" w14:textId="77777777" w:rsidR="004407D3" w:rsidRDefault="00000000">
      <w:pPr>
        <w:spacing w:before="180" w:after="80"/>
      </w:pPr>
      <w:r>
        <w:rPr>
          <w:b/>
          <w:bCs/>
          <w:color w:val="595959"/>
        </w:rPr>
        <w:t>β4 — Arbitrage channel (marginally significant)</w:t>
      </w:r>
    </w:p>
    <w:p w14:paraId="4AE31EAE" w14:textId="77777777" w:rsidR="004407D3" w:rsidRDefault="00000000">
      <w:pPr>
        <w:spacing w:before="60" w:after="100"/>
        <w:jc w:val="both"/>
      </w:pPr>
      <w:r>
        <w:t>A coefficient of −4.42 (p = 0.068) suggests that ETF mispricing slightly attenuates spillovers, possibly because active arbitrageurs absorb price pressure before it transmits to co-constituents. The proxy used here (ETF return minus benchmark over 5 days) is imperfect and would be improved by true NAV data from the ETF provider.</w:t>
      </w:r>
    </w:p>
    <w:p w14:paraId="061CE03E" w14:textId="77777777" w:rsidR="004407D3" w:rsidRDefault="00000000">
      <w:pPr>
        <w:spacing w:before="180" w:after="80"/>
      </w:pPr>
      <w:r>
        <w:rPr>
          <w:b/>
          <w:bCs/>
          <w:color w:val="595959"/>
        </w:rPr>
        <w:t>β5 — Informational spillover (significant)</w:t>
      </w:r>
    </w:p>
    <w:p w14:paraId="1CD354A3" w14:textId="77777777" w:rsidR="004407D3" w:rsidRDefault="00000000">
      <w:pPr>
        <w:spacing w:before="60" w:after="100"/>
        <w:jc w:val="both"/>
      </w:pPr>
      <w:r>
        <w:t>A coefficient of +0.40 (p &lt; 0.001) shows that economically similar stocks (same GICS industry) receive stronger spillovers. This provides evidence for an informational channel beyond mechanical basket trading, consistent with the view that shocks to one firm reveal information relevant for related firms.</w:t>
      </w:r>
    </w:p>
    <w:p w14:paraId="7262A7D6" w14:textId="77777777" w:rsidR="004407D3" w:rsidRDefault="00000000">
      <w:pPr>
        <w:spacing w:before="180" w:after="80"/>
      </w:pPr>
      <w:r>
        <w:rPr>
          <w:b/>
          <w:bCs/>
          <w:color w:val="595959"/>
        </w:rPr>
        <w:t>δ — Asymmetry (not significant in pooled sample)</w:t>
      </w:r>
    </w:p>
    <w:p w14:paraId="4DCDA68A" w14:textId="77777777" w:rsidR="004407D3" w:rsidRDefault="00000000">
      <w:pPr>
        <w:spacing w:before="60" w:after="100"/>
        <w:jc w:val="both"/>
      </w:pPr>
      <w:r>
        <w:t>While the pooled estimate is not significant, the subsample analysis reveals a clear asymmetry: negative shocks activate both the liquidity channel (β2 = −22.83, p &lt; 0.001) and the arbitrage channel (β4 = −7.50, p = 0.027), while positive shocks do not. This is consistent with the flight-to-quality and forced-selling literature and suggests that financial distress episodes create additional propagation mechanisms not present in boom periods.</w:t>
      </w:r>
    </w:p>
    <w:p w14:paraId="657AE841" w14:textId="77777777" w:rsidR="004407D3" w:rsidRDefault="00000000">
      <w:pPr>
        <w:pStyle w:val="Heading2"/>
      </w:pPr>
      <w:r>
        <w:lastRenderedPageBreak/>
        <w:t>5.2 Comparison with Initial Proxy Model</w:t>
      </w:r>
    </w:p>
    <w:p w14:paraId="372CE393" w14:textId="77777777" w:rsidR="004407D3" w:rsidRDefault="00000000">
      <w:pPr>
        <w:spacing w:before="60" w:after="100"/>
        <w:jc w:val="both"/>
      </w:pPr>
      <w:r>
        <w:t xml:space="preserve">The use of the </w:t>
      </w:r>
      <w:proofErr w:type="spellStart"/>
      <w:r>
        <w:t>Amihud</w:t>
      </w:r>
      <w:proofErr w:type="spellEnd"/>
      <w:r>
        <w:t xml:space="preserve"> ratio and GICS similarity scores substantially changed the results relative to the first specification using volatility and binary co-membership:</w:t>
      </w:r>
    </w:p>
    <w:p w14:paraId="50234FB3" w14:textId="77777777" w:rsidR="004407D3" w:rsidRDefault="004407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4407D3" w14:paraId="48D343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B562EF" w14:textId="77777777" w:rsidR="004407D3" w:rsidRDefault="00000000">
            <w:r>
              <w:rPr>
                <w:b/>
                <w:bCs/>
                <w:color w:val="FFFFFF"/>
                <w:sz w:val="20"/>
                <w:szCs w:val="20"/>
              </w:rPr>
              <w:t>Term</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A17405" w14:textId="77777777" w:rsidR="004407D3" w:rsidRDefault="00000000">
            <w:r>
              <w:rPr>
                <w:b/>
                <w:bCs/>
                <w:color w:val="FFFFFF"/>
                <w:sz w:val="20"/>
                <w:szCs w:val="20"/>
              </w:rPr>
              <w:t>v1 — simple proxies</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ECADC6" w14:textId="77777777" w:rsidR="004407D3" w:rsidRDefault="00000000">
            <w:r>
              <w:rPr>
                <w:b/>
                <w:bCs/>
                <w:color w:val="FFFFFF"/>
                <w:sz w:val="20"/>
                <w:szCs w:val="20"/>
              </w:rPr>
              <w:t xml:space="preserve">v2 — </w:t>
            </w:r>
            <w:proofErr w:type="spellStart"/>
            <w:r>
              <w:rPr>
                <w:b/>
                <w:bCs/>
                <w:color w:val="FFFFFF"/>
                <w:sz w:val="20"/>
                <w:szCs w:val="20"/>
              </w:rPr>
              <w:t>Amihud</w:t>
            </w:r>
            <w:proofErr w:type="spellEnd"/>
            <w:r>
              <w:rPr>
                <w:b/>
                <w:bCs/>
                <w:color w:val="FFFFFF"/>
                <w:sz w:val="20"/>
                <w:szCs w:val="20"/>
              </w:rPr>
              <w:t xml:space="preserve"> + GICS</w:t>
            </w:r>
          </w:p>
        </w:tc>
      </w:tr>
      <w:tr w:rsidR="004407D3" w14:paraId="454F81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C2CCF5" w14:textId="77777777" w:rsidR="004407D3" w:rsidRDefault="00000000">
            <w:r>
              <w:rPr>
                <w:b/>
                <w:bCs/>
                <w:sz w:val="20"/>
                <w:szCs w:val="20"/>
              </w:rPr>
              <w:t>β1</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3DC4E6" w14:textId="77777777" w:rsidR="004407D3" w:rsidRDefault="00000000">
            <w:r>
              <w:rPr>
                <w:rFonts w:ascii="Courier New" w:eastAsia="Courier New" w:hAnsi="Courier New" w:cs="Courier New"/>
                <w:sz w:val="20"/>
                <w:szCs w:val="20"/>
              </w:rPr>
              <w:t>+0.</w:t>
            </w:r>
            <w:proofErr w:type="gramStart"/>
            <w:r>
              <w:rPr>
                <w:rFonts w:ascii="Courier New" w:eastAsia="Courier New" w:hAnsi="Courier New" w:cs="Courier New"/>
                <w:sz w:val="20"/>
                <w:szCs w:val="20"/>
              </w:rPr>
              <w:t>023,  p</w:t>
            </w:r>
            <w:proofErr w:type="gramEnd"/>
            <w:r>
              <w:rPr>
                <w:rFonts w:ascii="Courier New" w:eastAsia="Courier New" w:hAnsi="Courier New" w:cs="Courier New"/>
                <w:sz w:val="20"/>
                <w:szCs w:val="20"/>
              </w:rPr>
              <w:t xml:space="preserve"> = 0.928</w:t>
            </w:r>
          </w:p>
        </w:tc>
        <w:tc>
          <w:tcPr>
            <w:tcW w:w="3580" w:type="dxa"/>
            <w:tcBorders>
              <w:top w:val="single" w:sz="1" w:space="0" w:color="CCCCCC"/>
              <w:left w:val="single" w:sz="1" w:space="0" w:color="CCCCCC"/>
              <w:bottom w:val="single" w:sz="1" w:space="0" w:color="CCCCCC"/>
              <w:right w:val="single" w:sz="1" w:space="0" w:color="CCCCCC"/>
            </w:tcBorders>
            <w:shd w:val="clear" w:color="auto" w:fill="D5EDE7"/>
            <w:tcMar>
              <w:top w:w="60" w:type="dxa"/>
              <w:left w:w="120" w:type="dxa"/>
              <w:bottom w:w="60" w:type="dxa"/>
              <w:right w:w="120" w:type="dxa"/>
            </w:tcMar>
          </w:tcPr>
          <w:p w14:paraId="7BB762A0" w14:textId="77777777" w:rsidR="004407D3" w:rsidRDefault="00000000">
            <w:r>
              <w:rPr>
                <w:rFonts w:ascii="Courier New" w:eastAsia="Courier New" w:hAnsi="Courier New" w:cs="Courier New"/>
                <w:sz w:val="20"/>
                <w:szCs w:val="20"/>
              </w:rPr>
              <w:t>+2.</w:t>
            </w:r>
            <w:proofErr w:type="gramStart"/>
            <w:r>
              <w:rPr>
                <w:rFonts w:ascii="Courier New" w:eastAsia="Courier New" w:hAnsi="Courier New" w:cs="Courier New"/>
                <w:sz w:val="20"/>
                <w:szCs w:val="20"/>
              </w:rPr>
              <w:t>043,  p</w:t>
            </w:r>
            <w:proofErr w:type="gramEnd"/>
            <w:r>
              <w:rPr>
                <w:rFonts w:ascii="Courier New" w:eastAsia="Courier New" w:hAnsi="Courier New" w:cs="Courier New"/>
                <w:sz w:val="20"/>
                <w:szCs w:val="20"/>
              </w:rPr>
              <w:t xml:space="preserve"> &lt; 0.001 ***</w:t>
            </w:r>
          </w:p>
        </w:tc>
      </w:tr>
      <w:tr w:rsidR="004407D3" w14:paraId="491DFB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22ED0F" w14:textId="77777777" w:rsidR="004407D3" w:rsidRDefault="00000000">
            <w:r>
              <w:rPr>
                <w:b/>
                <w:bCs/>
                <w:sz w:val="20"/>
                <w:szCs w:val="20"/>
              </w:rPr>
              <w:t>β2</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ED203B" w14:textId="77777777" w:rsidR="004407D3" w:rsidRDefault="00000000">
            <w:r>
              <w:rPr>
                <w:rFonts w:ascii="Courier New" w:eastAsia="Courier New" w:hAnsi="Courier New" w:cs="Courier New"/>
                <w:sz w:val="20"/>
                <w:szCs w:val="20"/>
              </w:rPr>
              <w:t>+33.</w:t>
            </w:r>
            <w:proofErr w:type="gramStart"/>
            <w:r>
              <w:rPr>
                <w:rFonts w:ascii="Courier New" w:eastAsia="Courier New" w:hAnsi="Courier New" w:cs="Courier New"/>
                <w:sz w:val="20"/>
                <w:szCs w:val="20"/>
              </w:rPr>
              <w:t>41,  p</w:t>
            </w:r>
            <w:proofErr w:type="gramEnd"/>
            <w:r>
              <w:rPr>
                <w:rFonts w:ascii="Courier New" w:eastAsia="Courier New" w:hAnsi="Courier New" w:cs="Courier New"/>
                <w:sz w:val="20"/>
                <w:szCs w:val="20"/>
              </w:rPr>
              <w:t xml:space="preserve"> &lt; 0.001</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FA51B9" w14:textId="77777777" w:rsidR="004407D3" w:rsidRDefault="00000000">
            <w:r>
              <w:rPr>
                <w:rFonts w:ascii="Courier New" w:eastAsia="Courier New" w:hAnsi="Courier New" w:cs="Courier New"/>
                <w:sz w:val="20"/>
                <w:szCs w:val="20"/>
              </w:rPr>
              <w:t>−10.</w:t>
            </w:r>
            <w:proofErr w:type="gramStart"/>
            <w:r>
              <w:rPr>
                <w:rFonts w:ascii="Courier New" w:eastAsia="Courier New" w:hAnsi="Courier New" w:cs="Courier New"/>
                <w:sz w:val="20"/>
                <w:szCs w:val="20"/>
              </w:rPr>
              <w:t>647,  p</w:t>
            </w:r>
            <w:proofErr w:type="gramEnd"/>
            <w:r>
              <w:rPr>
                <w:rFonts w:ascii="Courier New" w:eastAsia="Courier New" w:hAnsi="Courier New" w:cs="Courier New"/>
                <w:sz w:val="20"/>
                <w:szCs w:val="20"/>
              </w:rPr>
              <w:t xml:space="preserve"> = 0.004 ***</w:t>
            </w:r>
          </w:p>
        </w:tc>
      </w:tr>
      <w:tr w:rsidR="004407D3" w14:paraId="69C22C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3F862E" w14:textId="77777777" w:rsidR="004407D3" w:rsidRDefault="00000000">
            <w:r>
              <w:rPr>
                <w:b/>
                <w:bCs/>
                <w:sz w:val="20"/>
                <w:szCs w:val="20"/>
              </w:rPr>
              <w:t>β4</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0B6330" w14:textId="77777777" w:rsidR="004407D3" w:rsidRDefault="00000000">
            <w:r>
              <w:rPr>
                <w:rFonts w:ascii="Courier New" w:eastAsia="Courier New" w:hAnsi="Courier New" w:cs="Courier New"/>
                <w:sz w:val="20"/>
                <w:szCs w:val="20"/>
              </w:rPr>
              <w:t>+0.</w:t>
            </w:r>
            <w:proofErr w:type="gramStart"/>
            <w:r>
              <w:rPr>
                <w:rFonts w:ascii="Courier New" w:eastAsia="Courier New" w:hAnsi="Courier New" w:cs="Courier New"/>
                <w:sz w:val="20"/>
                <w:szCs w:val="20"/>
              </w:rPr>
              <w:t>847,  p</w:t>
            </w:r>
            <w:proofErr w:type="gramEnd"/>
            <w:r>
              <w:rPr>
                <w:rFonts w:ascii="Courier New" w:eastAsia="Courier New" w:hAnsi="Courier New" w:cs="Courier New"/>
                <w:sz w:val="20"/>
                <w:szCs w:val="20"/>
              </w:rPr>
              <w:t xml:space="preserve"> = 0.714</w:t>
            </w:r>
          </w:p>
        </w:tc>
        <w:tc>
          <w:tcPr>
            <w:tcW w:w="3580" w:type="dxa"/>
            <w:tcBorders>
              <w:top w:val="single" w:sz="1" w:space="0" w:color="CCCCCC"/>
              <w:left w:val="single" w:sz="1" w:space="0" w:color="CCCCCC"/>
              <w:bottom w:val="single" w:sz="1" w:space="0" w:color="CCCCCC"/>
              <w:right w:val="single" w:sz="1" w:space="0" w:color="CCCCCC"/>
            </w:tcBorders>
            <w:shd w:val="clear" w:color="auto" w:fill="D5EDE7"/>
            <w:tcMar>
              <w:top w:w="60" w:type="dxa"/>
              <w:left w:w="120" w:type="dxa"/>
              <w:bottom w:w="60" w:type="dxa"/>
              <w:right w:w="120" w:type="dxa"/>
            </w:tcMar>
          </w:tcPr>
          <w:p w14:paraId="7DE8DF0F" w14:textId="77777777" w:rsidR="004407D3" w:rsidRDefault="00000000">
            <w:r>
              <w:rPr>
                <w:rFonts w:ascii="Courier New" w:eastAsia="Courier New" w:hAnsi="Courier New" w:cs="Courier New"/>
                <w:sz w:val="20"/>
                <w:szCs w:val="20"/>
              </w:rPr>
              <w:t>−4.</w:t>
            </w:r>
            <w:proofErr w:type="gramStart"/>
            <w:r>
              <w:rPr>
                <w:rFonts w:ascii="Courier New" w:eastAsia="Courier New" w:hAnsi="Courier New" w:cs="Courier New"/>
                <w:sz w:val="20"/>
                <w:szCs w:val="20"/>
              </w:rPr>
              <w:t>423,  p</w:t>
            </w:r>
            <w:proofErr w:type="gramEnd"/>
            <w:r>
              <w:rPr>
                <w:rFonts w:ascii="Courier New" w:eastAsia="Courier New" w:hAnsi="Courier New" w:cs="Courier New"/>
                <w:sz w:val="20"/>
                <w:szCs w:val="20"/>
              </w:rPr>
              <w:t xml:space="preserve"> = 0.068 *</w:t>
            </w:r>
          </w:p>
        </w:tc>
      </w:tr>
      <w:tr w:rsidR="004407D3" w14:paraId="33425E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285902" w14:textId="77777777" w:rsidR="004407D3" w:rsidRDefault="00000000">
            <w:r>
              <w:rPr>
                <w:b/>
                <w:bCs/>
                <w:sz w:val="20"/>
                <w:szCs w:val="20"/>
              </w:rPr>
              <w:t>β5</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EB7FAF" w14:textId="77777777" w:rsidR="004407D3" w:rsidRDefault="00000000">
            <w:r>
              <w:rPr>
                <w:rFonts w:ascii="Courier New" w:eastAsia="Courier New" w:hAnsi="Courier New" w:cs="Courier New"/>
                <w:sz w:val="20"/>
                <w:szCs w:val="20"/>
              </w:rPr>
              <w:t>+0.</w:t>
            </w:r>
            <w:proofErr w:type="gramStart"/>
            <w:r>
              <w:rPr>
                <w:rFonts w:ascii="Courier New" w:eastAsia="Courier New" w:hAnsi="Courier New" w:cs="Courier New"/>
                <w:sz w:val="20"/>
                <w:szCs w:val="20"/>
              </w:rPr>
              <w:t>235,  p</w:t>
            </w:r>
            <w:proofErr w:type="gramEnd"/>
            <w:r>
              <w:rPr>
                <w:rFonts w:ascii="Courier New" w:eastAsia="Courier New" w:hAnsi="Courier New" w:cs="Courier New"/>
                <w:sz w:val="20"/>
                <w:szCs w:val="20"/>
              </w:rPr>
              <w:t xml:space="preserve"> &lt; 0.001</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8E543D" w14:textId="77777777" w:rsidR="004407D3" w:rsidRDefault="00000000">
            <w:r>
              <w:rPr>
                <w:rFonts w:ascii="Courier New" w:eastAsia="Courier New" w:hAnsi="Courier New" w:cs="Courier New"/>
                <w:sz w:val="20"/>
                <w:szCs w:val="20"/>
              </w:rPr>
              <w:t>+0.</w:t>
            </w:r>
            <w:proofErr w:type="gramStart"/>
            <w:r>
              <w:rPr>
                <w:rFonts w:ascii="Courier New" w:eastAsia="Courier New" w:hAnsi="Courier New" w:cs="Courier New"/>
                <w:sz w:val="20"/>
                <w:szCs w:val="20"/>
              </w:rPr>
              <w:t>403,  p</w:t>
            </w:r>
            <w:proofErr w:type="gramEnd"/>
            <w:r>
              <w:rPr>
                <w:rFonts w:ascii="Courier New" w:eastAsia="Courier New" w:hAnsi="Courier New" w:cs="Courier New"/>
                <w:sz w:val="20"/>
                <w:szCs w:val="20"/>
              </w:rPr>
              <w:t xml:space="preserve"> &lt; 0.001 ***</w:t>
            </w:r>
          </w:p>
        </w:tc>
      </w:tr>
    </w:tbl>
    <w:p w14:paraId="143B0875" w14:textId="77777777" w:rsidR="004407D3" w:rsidRDefault="004407D3">
      <w:pPr>
        <w:spacing w:before="80" w:after="80"/>
      </w:pPr>
    </w:p>
    <w:p w14:paraId="37C03643" w14:textId="77777777" w:rsidR="004407D3" w:rsidRDefault="00000000">
      <w:pPr>
        <w:pStyle w:val="Heading1"/>
        <w:pBdr>
          <w:bottom w:val="single" w:sz="6" w:space="1" w:color="1F4E79"/>
        </w:pBdr>
      </w:pPr>
      <w:r>
        <w:t>6. Next Steps</w:t>
      </w:r>
    </w:p>
    <w:p w14:paraId="63EE864C" w14:textId="77777777" w:rsidR="004407D3" w:rsidRDefault="00000000">
      <w:pPr>
        <w:pStyle w:val="ListParagraph"/>
        <w:numPr>
          <w:ilvl w:val="0"/>
          <w:numId w:val="2"/>
        </w:numPr>
        <w:spacing w:before="40" w:after="40"/>
      </w:pPr>
      <w:r>
        <w:t>Scale the model to all five ETFs (SPY, XME, XLE, IHE, XLV) — currently running</w:t>
      </w:r>
    </w:p>
    <w:p w14:paraId="50A30945" w14:textId="77777777" w:rsidR="004407D3" w:rsidRDefault="00000000">
      <w:pPr>
        <w:pStyle w:val="ListParagraph"/>
        <w:numPr>
          <w:ilvl w:val="0"/>
          <w:numId w:val="2"/>
        </w:numPr>
        <w:spacing w:before="40" w:after="40"/>
      </w:pPr>
      <w:r>
        <w:t>Improve the mispricing proxy using true NAV data from ETF providers</w:t>
      </w:r>
    </w:p>
    <w:p w14:paraId="19A778FB" w14:textId="77777777" w:rsidR="004407D3" w:rsidRDefault="00000000">
      <w:pPr>
        <w:pStyle w:val="ListParagraph"/>
        <w:numPr>
          <w:ilvl w:val="0"/>
          <w:numId w:val="2"/>
        </w:numPr>
        <w:spacing w:before="40" w:after="40"/>
      </w:pPr>
      <w:r>
        <w:t>Construct a spillover network graph with stocks as nodes and estimated spillover coefficients as edge weights</w:t>
      </w:r>
    </w:p>
    <w:p w14:paraId="48D8F1A7" w14:textId="77777777" w:rsidR="004407D3" w:rsidRDefault="00000000">
      <w:pPr>
        <w:pStyle w:val="ListParagraph"/>
        <w:numPr>
          <w:ilvl w:val="0"/>
          <w:numId w:val="2"/>
        </w:numPr>
        <w:spacing w:before="40" w:after="40"/>
      </w:pPr>
      <w:r>
        <w:t>Run robustness checks: alternative shock thresholds, event window lengths, and estimation window sizes</w:t>
      </w:r>
    </w:p>
    <w:p w14:paraId="45BB5D8C" w14:textId="77777777" w:rsidR="004407D3" w:rsidRDefault="00000000">
      <w:pPr>
        <w:pStyle w:val="ListParagraph"/>
        <w:numPr>
          <w:ilvl w:val="0"/>
          <w:numId w:val="2"/>
        </w:numPr>
        <w:spacing w:before="40" w:after="40"/>
      </w:pPr>
      <w:r>
        <w:t>Conduct sub-period analysis (pre/post COVID, rate-hiking cycle) to test time variation in spillover dynamics</w:t>
      </w:r>
    </w:p>
    <w:p w14:paraId="4000A172" w14:textId="77777777" w:rsidR="004407D3" w:rsidRDefault="004407D3">
      <w:pPr>
        <w:spacing w:before="80" w:after="80"/>
      </w:pPr>
    </w:p>
    <w:p w14:paraId="733E673B" w14:textId="77777777" w:rsidR="004407D3" w:rsidRDefault="00000000">
      <w:pPr>
        <w:pBdr>
          <w:top w:val="single" w:sz="4" w:space="1" w:color="CCCCCC"/>
        </w:pBdr>
        <w:spacing w:before="400"/>
        <w:jc w:val="center"/>
      </w:pPr>
      <w:r>
        <w:rPr>
          <w:i/>
          <w:iCs/>
          <w:color w:val="595959"/>
          <w:sz w:val="18"/>
          <w:szCs w:val="18"/>
        </w:rPr>
        <w:t>Preliminary results based on XME + XLE validation run (N = 285,752 observations). Full five-ETF results pending.</w:t>
      </w:r>
    </w:p>
    <w:sectPr w:rsidR="004407D3">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17E75" w14:textId="77777777" w:rsidR="001E2AF0" w:rsidRDefault="001E2AF0">
      <w:r>
        <w:separator/>
      </w:r>
    </w:p>
  </w:endnote>
  <w:endnote w:type="continuationSeparator" w:id="0">
    <w:p w14:paraId="4F659855" w14:textId="77777777" w:rsidR="001E2AF0" w:rsidRDefault="001E2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0D2AA" w14:textId="77777777" w:rsidR="004407D3" w:rsidRDefault="00000000">
    <w:pPr>
      <w:jc w:val="center"/>
    </w:pPr>
    <w:r>
      <w:rPr>
        <w:color w:val="595959"/>
        <w:sz w:val="18"/>
        <w:szCs w:val="18"/>
      </w:rPr>
      <w:t>Intra-ETF Spillover Study — TFM Technical Summary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A753D" w14:textId="77777777" w:rsidR="001E2AF0" w:rsidRDefault="001E2AF0">
      <w:r>
        <w:separator/>
      </w:r>
    </w:p>
  </w:footnote>
  <w:footnote w:type="continuationSeparator" w:id="0">
    <w:p w14:paraId="7D87E97E" w14:textId="77777777" w:rsidR="001E2AF0" w:rsidRDefault="001E2A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77194"/>
    <w:multiLevelType w:val="hybridMultilevel"/>
    <w:tmpl w:val="158AC5AA"/>
    <w:lvl w:ilvl="0" w:tplc="896C862C">
      <w:start w:val="1"/>
      <w:numFmt w:val="bullet"/>
      <w:lvlText w:val="●"/>
      <w:lvlJc w:val="left"/>
      <w:pPr>
        <w:ind w:left="720" w:hanging="360"/>
      </w:pPr>
    </w:lvl>
    <w:lvl w:ilvl="1" w:tplc="AC384C8A">
      <w:start w:val="1"/>
      <w:numFmt w:val="bullet"/>
      <w:lvlText w:val="○"/>
      <w:lvlJc w:val="left"/>
      <w:pPr>
        <w:ind w:left="1440" w:hanging="360"/>
      </w:pPr>
    </w:lvl>
    <w:lvl w:ilvl="2" w:tplc="9FFAC4DA">
      <w:start w:val="1"/>
      <w:numFmt w:val="bullet"/>
      <w:lvlText w:val="■"/>
      <w:lvlJc w:val="left"/>
      <w:pPr>
        <w:ind w:left="2160" w:hanging="360"/>
      </w:pPr>
    </w:lvl>
    <w:lvl w:ilvl="3" w:tplc="90ACAFBA">
      <w:start w:val="1"/>
      <w:numFmt w:val="bullet"/>
      <w:lvlText w:val="●"/>
      <w:lvlJc w:val="left"/>
      <w:pPr>
        <w:ind w:left="2880" w:hanging="360"/>
      </w:pPr>
    </w:lvl>
    <w:lvl w:ilvl="4" w:tplc="E9121678">
      <w:start w:val="1"/>
      <w:numFmt w:val="bullet"/>
      <w:lvlText w:val="○"/>
      <w:lvlJc w:val="left"/>
      <w:pPr>
        <w:ind w:left="3600" w:hanging="360"/>
      </w:pPr>
    </w:lvl>
    <w:lvl w:ilvl="5" w:tplc="45367582">
      <w:start w:val="1"/>
      <w:numFmt w:val="bullet"/>
      <w:lvlText w:val="■"/>
      <w:lvlJc w:val="left"/>
      <w:pPr>
        <w:ind w:left="4320" w:hanging="360"/>
      </w:pPr>
    </w:lvl>
    <w:lvl w:ilvl="6" w:tplc="A2422CF8">
      <w:start w:val="1"/>
      <w:numFmt w:val="bullet"/>
      <w:lvlText w:val="●"/>
      <w:lvlJc w:val="left"/>
      <w:pPr>
        <w:ind w:left="5040" w:hanging="360"/>
      </w:pPr>
    </w:lvl>
    <w:lvl w:ilvl="7" w:tplc="8268606E">
      <w:start w:val="1"/>
      <w:numFmt w:val="bullet"/>
      <w:lvlText w:val="●"/>
      <w:lvlJc w:val="left"/>
      <w:pPr>
        <w:ind w:left="5760" w:hanging="360"/>
      </w:pPr>
    </w:lvl>
    <w:lvl w:ilvl="8" w:tplc="DD7454C8">
      <w:start w:val="1"/>
      <w:numFmt w:val="bullet"/>
      <w:lvlText w:val="●"/>
      <w:lvlJc w:val="left"/>
      <w:pPr>
        <w:ind w:left="6480" w:hanging="360"/>
      </w:pPr>
    </w:lvl>
  </w:abstractNum>
  <w:abstractNum w:abstractNumId="1" w15:restartNumberingAfterBreak="0">
    <w:nsid w:val="43D92B2E"/>
    <w:multiLevelType w:val="hybridMultilevel"/>
    <w:tmpl w:val="A29E375A"/>
    <w:lvl w:ilvl="0" w:tplc="D390C124">
      <w:start w:val="1"/>
      <w:numFmt w:val="bullet"/>
      <w:lvlText w:val="•"/>
      <w:lvlJc w:val="left"/>
      <w:pPr>
        <w:ind w:left="720" w:hanging="360"/>
      </w:pPr>
    </w:lvl>
    <w:lvl w:ilvl="1" w:tplc="0D2EEA52">
      <w:numFmt w:val="decimal"/>
      <w:lvlText w:val=""/>
      <w:lvlJc w:val="left"/>
    </w:lvl>
    <w:lvl w:ilvl="2" w:tplc="0A407552">
      <w:numFmt w:val="decimal"/>
      <w:lvlText w:val=""/>
      <w:lvlJc w:val="left"/>
    </w:lvl>
    <w:lvl w:ilvl="3" w:tplc="5D7490D0">
      <w:numFmt w:val="decimal"/>
      <w:lvlText w:val=""/>
      <w:lvlJc w:val="left"/>
    </w:lvl>
    <w:lvl w:ilvl="4" w:tplc="17543A0E">
      <w:numFmt w:val="decimal"/>
      <w:lvlText w:val=""/>
      <w:lvlJc w:val="left"/>
    </w:lvl>
    <w:lvl w:ilvl="5" w:tplc="A9C2F130">
      <w:numFmt w:val="decimal"/>
      <w:lvlText w:val=""/>
      <w:lvlJc w:val="left"/>
    </w:lvl>
    <w:lvl w:ilvl="6" w:tplc="5052CC16">
      <w:numFmt w:val="decimal"/>
      <w:lvlText w:val=""/>
      <w:lvlJc w:val="left"/>
    </w:lvl>
    <w:lvl w:ilvl="7" w:tplc="E2768796">
      <w:numFmt w:val="decimal"/>
      <w:lvlText w:val=""/>
      <w:lvlJc w:val="left"/>
    </w:lvl>
    <w:lvl w:ilvl="8" w:tplc="2D18677A">
      <w:numFmt w:val="decimal"/>
      <w:lvlText w:val=""/>
      <w:lvlJc w:val="left"/>
    </w:lvl>
  </w:abstractNum>
  <w:num w:numId="1" w16cid:durableId="1099376506">
    <w:abstractNumId w:val="0"/>
    <w:lvlOverride w:ilvl="0">
      <w:startOverride w:val="1"/>
    </w:lvlOverride>
  </w:num>
  <w:num w:numId="2" w16cid:durableId="19212566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7D3"/>
    <w:rsid w:val="001E2AF0"/>
    <w:rsid w:val="004407D3"/>
    <w:rsid w:val="005542F1"/>
    <w:rsid w:val="006E7401"/>
    <w:rsid w:val="009124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86F17"/>
  <w15:docId w15:val="{74F6895A-2AFC-4D52-BC48-6FDFA7742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00"/>
      <w:outlineLvl w:val="1"/>
    </w:pPr>
    <w:rPr>
      <w:b/>
      <w:bCs/>
      <w:color w:val="0F6E5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1634</Words>
  <Characters>9317</Characters>
  <Application>Microsoft Office Word</Application>
  <DocSecurity>0</DocSecurity>
  <Lines>77</Lines>
  <Paragraphs>21</Paragraphs>
  <ScaleCrop>false</ScaleCrop>
  <Company/>
  <LinksUpToDate>false</LinksUpToDate>
  <CharactersWithSpaces>10930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Guerra</cp:lastModifiedBy>
  <cp:revision>3</cp:revision>
  <dcterms:created xsi:type="dcterms:W3CDTF">2026-03-20T15:26:00Z</dcterms:created>
  <dcterms:modified xsi:type="dcterms:W3CDTF">2026-04-17T15:06:00Z</dcterms:modified>
</cp:coreProperties>
</file>