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section-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section-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section-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section-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section-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section-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section-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section-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section-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section-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section-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section-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section-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section-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section-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section-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section-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section-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section-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section-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section-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section-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section-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ection-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section-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section-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section-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section-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ection-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ection-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section-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section-eldritch-invocations"/>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section-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section-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section-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section-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section-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section-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section-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section-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section-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ection-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section-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section-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section-alignment"/>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section-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chapter-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section-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section-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section-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section-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section-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section-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section-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section-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section-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section-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section-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section-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section-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section-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section-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section-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section-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section-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section-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section-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section-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section-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section-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section-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section-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section-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section-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section-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section-the-schools-of-magic"/>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section-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ection-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section-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ction-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section-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section-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section-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section-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section-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ction-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section-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Pr>
              <w:pStyle w:val="Compact"/>
              <w:jc w:val="left"/>
            </w:pPr>
            <w:r>
              <w:t xml:space="preserve">14</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Pr>
              <w:pStyle w:val="Compact"/>
              <w:jc w:val="left"/>
            </w:pPr>
            <w:r>
              <w:t xml:space="preserve">16</w:t>
            </w:r>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Pr>
              <w:pStyle w:val="Compact"/>
              <w:jc w:val="left"/>
            </w:pPr>
            <w:r>
              <w:t xml:space="preserve">17</w:t>
            </w:r>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Pr>
              <w:pStyle w:val="Compact"/>
              <w:jc w:val="left"/>
            </w:pPr>
            <w:r>
              <w:t xml:space="preserve">18</w:t>
            </w:r>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section-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ction-sentient-magic-items"/>
      <w:bookmarkEnd w:id="1106"/>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1"/>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section-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section-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2"/>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1"/>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section-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b/>
          <w:i/>
        </w:rPr>
        <w:t xml:space="preserve">Spear.</w:t>
      </w:r>
      <w:r>
        <w:rPr>
          <w:i/>
        </w:rPr>
        <w:t xml:space="preserve"> </w:t>
      </w:r>
      <w:r>
        <w:rPr>
          <w:i/>
        </w:rPr>
        <w:t xml:space="preserve">Melee or Ranged Weapon Attack:</w:t>
      </w:r>
      <w:r>
        <w:t xml:space="preserve"> </w:t>
      </w:r>
      <w:r>
        <w:t xml:space="preserve">+4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b/>
          <w:i/>
        </w:rPr>
        <w:t xml:space="preserve">Harpoon.</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b/>
          <w:i/>
        </w:rPr>
        <w:t xml:space="preserve">Javelin.</w:t>
      </w:r>
      <w:r>
        <w:rPr>
          <w:i/>
        </w:rPr>
        <w:t xml:space="preserve"> </w:t>
      </w:r>
      <w:r>
        <w:rPr>
          <w:i/>
        </w:rPr>
        <w:t xml:space="preserve">Melee or Ranged Weapon Attack:</w:t>
      </w:r>
      <w:r>
        <w:t xml:space="preserve"> </w:t>
      </w:r>
      <w:r>
        <w:t xml:space="preserve">+6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b/>
          <w:i/>
        </w:rPr>
        <w:t xml:space="preserve">Javelin.</w:t>
      </w:r>
      <w:r>
        <w:rPr>
          <w:i/>
        </w:rPr>
        <w:t xml:space="preserve"> </w:t>
      </w:r>
      <w:r>
        <w:rPr>
          <w:i/>
        </w:rPr>
        <w:t xml:space="preserve">Melee or Ranged Weapon Attack:</w:t>
      </w:r>
      <w:r>
        <w:t xml:space="preserve"> </w:t>
      </w:r>
      <w:r>
        <w:t xml:space="preserve">+5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b/>
          <w:i/>
        </w:rPr>
        <w:t xml:space="preserve">Spear.</w:t>
      </w:r>
      <w:r>
        <w:rPr>
          <w:i/>
        </w:rPr>
        <w:t xml:space="preserve"> </w:t>
      </w:r>
      <w:r>
        <w:rPr>
          <w:i/>
        </w:rPr>
        <w:t xml:space="preserve">Melee or Ranged Weapon Attack:</w:t>
      </w:r>
      <w:r>
        <w:t xml:space="preserve"> </w:t>
      </w:r>
      <w:r>
        <w:t xml:space="preserve">+7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w:t>
      </w:r>
      <w:r>
        <w:t xml:space="preserve"> </w:t>
      </w:r>
      <w:r>
        <w:rPr>
          <w:i/>
        </w:rPr>
        <w:t xml:space="preserve">Hit:</w:t>
      </w:r>
      <w:r>
        <w:t xml:space="preserve"> </w:t>
      </w:r>
      <w:r>
        <w:t xml:space="preserve">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 (Humanoid or Hybrid Form Only).</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 (0 XP)</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section-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b/>
          <w:i/>
        </w:rPr>
        <w:t xml:space="preserve">Dagger.</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b/>
          <w:i/>
        </w:rPr>
        <w:t xml:space="preserve">Spear.</w:t>
      </w:r>
      <w:r>
        <w:rPr>
          <w:i/>
        </w:rPr>
        <w:t xml:space="preserve"> </w:t>
      </w:r>
      <w:r>
        <w:rPr>
          <w:i/>
        </w:rPr>
        <w:t xml:space="preserve">Melee or Ranged Weapon Attack:</w:t>
      </w:r>
      <w:r>
        <w:t xml:space="preserve"> </w:t>
      </w:r>
      <w:r>
        <w:t xml:space="preserve">+7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 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b/>
          <w:i/>
        </w:rPr>
        <w:t xml:space="preserve">Spear.</w:t>
      </w:r>
      <w:r>
        <w:rPr>
          <w:i/>
        </w:rPr>
        <w:t xml:space="preserve"> </w:t>
      </w:r>
      <w:r>
        <w:rPr>
          <w:i/>
        </w:rPr>
        <w:t xml:space="preserve">Melee or Ranged Weapon Attack</w:t>
      </w:r>
      <w:r>
        <w:t xml:space="preserve">: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f2ee6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56c8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c0563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