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Report: Data Wrangling, Analysis, and Visualization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Genetic Diversity in Human Populations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Greg Gunterson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ggunters@ucsc.edu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Sources: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http://www.hagsc.org/hgdp/files.html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http://www.cephb.fr/common/HGDPid_populations.xls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Visualization Source: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https://bost.ocks.org/mike/miserables/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https://d3js.org/d3.v2.min.js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GitHub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https://github.com/ggunters/genetic_diversity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Scripts: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_1generate_pops_tsv.py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_2generate_rand_sample.py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_3parse_data.py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_4generate_diffs_map.py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_5compute_fixation_indices.py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_6generate_json.py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Summary of Data Wrangling: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HGDPid_populations.xls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parsed and output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populations.tsv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the script 1. A random sample of the genotype data contained in the file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HGDP_FinalReport_Forward.txt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generated and output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rand_sample.tsv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script 2. Data from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files were then parsed in script 3 and stored in data structures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genotypes_matrix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pops_map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were saved using Python’s ‘pickle’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Summary of Data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was done in scripts 4 and 5. Script 4 counts the number of nucleotide differences per nucleotide site for each pair of individuals and stores these values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diffs_map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structure, which is saved. Script 5 loads this data structure, as well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pops_map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uses these to compute fixation indices for each pair of populations. Each fixation index was computed using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/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where each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 is computed as the average number of pairwise nucleotide differences per site, per individual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Fixation indices were stored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f_sets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structure, which was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Summary of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f_sets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structure was loaded and output as JSON for compatibility with d3 and JavaScript in script 6. This JSON was then copied and hard-coded into the visualization file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genetic_diversity.htm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JavaScript source code contained in the visualization file was adapted from the page linked above, with modifications for a color legend and tooltip.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see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https://en.wikipedia.org/wiki/Fixation_index#Estimation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11" Type="http://schemas.openxmlformats.org/officeDocument/2006/relationships/hyperlink" Target="https://github.com/ggunters/genetic_diversity" TargetMode="External"/><Relationship Id="rId10" Type="http://schemas.openxmlformats.org/officeDocument/2006/relationships/hyperlink" Target="https://d3js.org/d3.v2.min.js" TargetMode="External"/><Relationship Id="rId9" Type="http://schemas.openxmlformats.org/officeDocument/2006/relationships/hyperlink" Target="https://bost.ocks.org/mike/miserables/" TargetMode="External"/><Relationship Id="rId5" Type="http://schemas.openxmlformats.org/officeDocument/2006/relationships/styles" Target="styles.xml"/><Relationship Id="rId6" Type="http://schemas.openxmlformats.org/officeDocument/2006/relationships/hyperlink" Target="mailto:ggunters@ucsc.edu" TargetMode="External"/><Relationship Id="rId7" Type="http://schemas.openxmlformats.org/officeDocument/2006/relationships/hyperlink" Target="http://www.hagsc.org/hgdp/files.html" TargetMode="External"/><Relationship Id="rId8" Type="http://schemas.openxmlformats.org/officeDocument/2006/relationships/hyperlink" Target="http://www.cephb.fr/common/HGDPid_populations.xls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n.wikipedia.org/wiki/Fixation_index#Estimation" TargetMode="External"/></Relationships>
</file>