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     INT. LIVING ROOM - DAY                                 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Dust motes dance in the afternoon light. TOBY (7), wearing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a oversized camouflage jacket, sits cross-legged on the rug.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He holds a high-end PROP REPLICA HANDGUN. It looks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frighteningly real. He mimics the weight of it, aiming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steadily at a framed family photo on the mantel.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TOBY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(A whisper)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Bang.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The hammer of the prop gun clicks back. He pulls the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trigger. A plastic snap echoes in the quiet room.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Outside, through the window, a DOG BARKS aggressively.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     EXT. BACKYARD - SAME                                   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JACK (40s, weary) sits at a weathered picnic table. Laid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out on a rag is a BOLT-ACTION RIFLE.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The DOG, a large German Shepherd, lunges at the length of its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chain, barking at the fence line.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JACK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Knock it off, Bear!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Jack slides a cleaning rod through the barrel of the RIFLE.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The metallic scrape is rhythmic, cold. He ignores the dog’s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distress, focused entirely on the weapon in his hands.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      EXT. NEIGHBORHOOD - LATER                               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The sun has dipped lower, casting long, jagged shadows.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A trash can sits at the curb. Smoke curls from the top.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Suddenly, a small burst of orange—a FIRE starts within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the discarded papers and debris.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STUNT SEQUENCE: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A FIGURE (18) sprints down the sidewalk, pursued by the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sound of a distant siren. He reaches a high wooden fence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separating the properties.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He leaps, fingers catching the top rail, but his grip slips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on the weathered wood.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HE FALLS—a hard, flat-back drop from six feet up.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THUD. He hits the pavement with a sickening groan. He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scrambles up, clutching his side, as the fire in the trash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can flares, licking the side of the fence.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             FADE OUT.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