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股票简称：万科A</w:t>
            </w:r>
          </w:p>
        </w:tc>
        <w:tc>
          <w:tcPr>
            <w:tcW w:type="dxa" w:w="4320"/>
          </w:tcPr>
          <w:p>
            <w:r>
              <w:t>股票代码：000002</w:t>
            </w:r>
          </w:p>
        </w:tc>
      </w:tr>
      <w:tr>
        <w:tc>
          <w:tcPr>
            <w:tcW w:type="dxa" w:w="4320"/>
          </w:tcPr>
          <w:p>
            <w:r>
              <w:t>涨跌幅：27.68  +0.10/+0.36%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总股本(股)：116.18亿</w:t>
            </w:r>
          </w:p>
        </w:tc>
        <w:tc>
          <w:tcPr>
            <w:tcW w:type="dxa" w:w="4320"/>
          </w:tcPr>
          <w:p>
            <w:r>
              <w:t>流通比例(%)：99.92</w:t>
            </w:r>
          </w:p>
        </w:tc>
      </w:tr>
      <w:tr>
        <w:tc>
          <w:tcPr>
            <w:tcW w:type="dxa" w:w="4320"/>
          </w:tcPr>
          <w:p>
            <w:r>
              <w:t>总市值(亿元)：3132.53</w:t>
            </w:r>
          </w:p>
        </w:tc>
        <w:tc>
          <w:tcPr>
            <w:tcW w:type="dxa" w:w="4320"/>
          </w:tcPr>
          <w:p>
            <w:r>
              <w:t>流通市值(亿元)：2689.16</w:t>
            </w:r>
          </w:p>
        </w:tc>
      </w:tr>
      <w:tr>
        <w:tc>
          <w:tcPr>
            <w:tcW w:type="dxa" w:w="4320"/>
          </w:tcPr>
          <w:p>
            <w:r>
              <w:t>市盈率(倍)：64.35</w:t>
            </w:r>
          </w:p>
        </w:tc>
        <w:tc>
          <w:tcPr>
            <w:tcW w:type="dxa" w:w="4320"/>
          </w:tcPr>
          <w:p>
            <w:r>
              <w:t>市净率(倍)：1.7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12.49亿</w:t>
            </w:r>
          </w:p>
        </w:tc>
        <w:tc>
          <w:tcPr>
            <w:tcW w:type="dxa" w:w="2160"/>
          </w:tcPr>
          <w:p>
            <w:r>
              <w:t>11.49</w:t>
            </w:r>
          </w:p>
        </w:tc>
        <w:tc>
          <w:tcPr>
            <w:tcW w:type="dxa" w:w="2160"/>
          </w:tcPr>
          <w:p>
            <w:r>
              <w:t>0.11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388.72亿</w:t>
            </w:r>
          </w:p>
        </w:tc>
        <w:tc>
          <w:tcPr>
            <w:tcW w:type="dxa" w:w="2160"/>
          </w:tcPr>
          <w:p>
            <w:r>
              <w:t>15.10</w:t>
            </w:r>
          </w:p>
        </w:tc>
        <w:tc>
          <w:tcPr>
            <w:tcW w:type="dxa" w:w="2160"/>
          </w:tcPr>
          <w:p>
            <w:r>
              <w:t>3.47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182.41亿</w:t>
            </w:r>
          </w:p>
        </w:tc>
        <w:tc>
          <w:tcPr>
            <w:tcW w:type="dxa" w:w="2160"/>
          </w:tcPr>
          <w:p>
            <w:r>
              <w:t>30.43</w:t>
            </w:r>
          </w:p>
        </w:tc>
        <w:tc>
          <w:tcPr>
            <w:tcW w:type="dxa" w:w="2160"/>
          </w:tcPr>
          <w:p>
            <w:r>
              <w:t>1.63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主营产品名称：物业管理业务，商品住宅，房地产项目，房产，投资咨询</w:t>
            </w:r>
          </w:p>
        </w:tc>
      </w:tr>
      <w:tr>
        <w:tc>
          <w:tcPr>
            <w:tcW w:type="dxa" w:w="8640"/>
          </w:tcPr>
          <w:p>
            <w:r>
              <w:t>所属概念：融资融券，深股通，央视财经50，转融券标的，超级品牌，住房租赁，宝能系，冰雪产业，体育产业，REITs，富时罗素概念，富时罗素概念股，安邦系，猪肉，MSCI概念，标普道琼斯A股，装配式建筑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