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股票简称：东凌国际</w:t>
            </w:r>
          </w:p>
        </w:tc>
        <w:tc>
          <w:tcPr>
            <w:tcW w:type="dxa" w:w="4320"/>
          </w:tcPr>
          <w:p>
            <w:r>
              <w:t>股票代码：000893</w:t>
            </w:r>
          </w:p>
        </w:tc>
      </w:tr>
      <w:tr>
        <w:tc>
          <w:tcPr>
            <w:tcW w:type="dxa" w:w="4320"/>
          </w:tcPr>
          <w:p>
            <w:r>
              <w:t>涨跌幅：9.94  -0.21/-2.07%</w:t>
            </w:r>
          </w:p>
        </w:tc>
        <w:tc>
          <w:tcPr>
            <w:tcW w:type="dxa" w:w="4320"/>
          </w:tcPr>
          <w:p>
            <w:r>
              <w:t>涨停原因：化肥。首板涨停。</w:t>
            </w:r>
          </w:p>
        </w:tc>
      </w:tr>
      <w:tr>
        <w:tc>
          <w:tcPr>
            <w:tcW w:type="dxa" w:w="4320"/>
          </w:tcPr>
          <w:p>
            <w:r>
              <w:t>总股本(股)：7.57亿</w:t>
            </w:r>
          </w:p>
        </w:tc>
        <w:tc>
          <w:tcPr>
            <w:tcW w:type="dxa" w:w="4320"/>
          </w:tcPr>
          <w:p>
            <w:r>
              <w:t>流通比例(%)：52.94</w:t>
            </w:r>
          </w:p>
        </w:tc>
      </w:tr>
      <w:tr>
        <w:tc>
          <w:tcPr>
            <w:tcW w:type="dxa" w:w="4320"/>
          </w:tcPr>
          <w:p>
            <w:r>
              <w:t>总市值(亿元)：75.24</w:t>
            </w:r>
          </w:p>
        </w:tc>
        <w:tc>
          <w:tcPr>
            <w:tcW w:type="dxa" w:w="4320"/>
          </w:tcPr>
          <w:p>
            <w:r>
              <w:t>流通市值(亿元)：39.83</w:t>
            </w:r>
          </w:p>
        </w:tc>
      </w:tr>
      <w:tr>
        <w:tc>
          <w:tcPr>
            <w:tcW w:type="dxa" w:w="4320"/>
          </w:tcPr>
          <w:p>
            <w:r>
              <w:t>市盈率(倍)：456.32</w:t>
            </w:r>
          </w:p>
        </w:tc>
        <w:tc>
          <w:tcPr>
            <w:tcW w:type="dxa" w:w="4320"/>
          </w:tcPr>
          <w:p>
            <w:r>
              <w:t>市净率(倍)：2.06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412.19万</w:t>
            </w:r>
          </w:p>
        </w:tc>
        <w:tc>
          <w:tcPr>
            <w:tcW w:type="dxa" w:w="2160"/>
          </w:tcPr>
          <w:p>
            <w:r>
              <w:t>181.64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4,143.56万</w:t>
            </w:r>
          </w:p>
        </w:tc>
        <w:tc>
          <w:tcPr>
            <w:tcW w:type="dxa" w:w="2160"/>
          </w:tcPr>
          <w:p>
            <w:r>
              <w:t>935.13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3,424.01万</w:t>
            </w:r>
          </w:p>
        </w:tc>
        <w:tc>
          <w:tcPr>
            <w:tcW w:type="dxa" w:w="2160"/>
          </w:tcPr>
          <w:p>
            <w:r>
              <w:t>4,547.13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主营产品名称：豆油，海运服务，食用植物油，豆粕，养殖，大豆系，油脂，油脂油料，大豆，谷物</w:t>
            </w:r>
          </w:p>
        </w:tc>
      </w:tr>
      <w:tr>
        <w:tc>
          <w:tcPr>
            <w:tcW w:type="dxa" w:w="8640"/>
          </w:tcPr>
          <w:p>
            <w:r>
              <w:t>所属概念：食用油，汽车制造概念，厄尔尼诺概念，新能源汽车，棕榈油，三旧改造，南沙新区，豆粕，豆油，贸易战受益股，供销社，股权转让，摘帽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