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股票简称：中信证券</w:t>
            </w:r>
          </w:p>
        </w:tc>
        <w:tc>
          <w:tcPr>
            <w:tcW w:type="dxa" w:w="4320"/>
          </w:tcPr>
          <w:p>
            <w:r>
              <w:t>股票代码：600030</w:t>
            </w:r>
          </w:p>
        </w:tc>
      </w:tr>
      <w:tr>
        <w:tc>
          <w:tcPr>
            <w:tcW w:type="dxa" w:w="4320"/>
          </w:tcPr>
          <w:p>
            <w:r>
              <w:t>涨跌幅：31.37  +0.48/+1.55%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总股本(股)：129.27亿</w:t>
            </w:r>
          </w:p>
        </w:tc>
        <w:tc>
          <w:tcPr>
            <w:tcW w:type="dxa" w:w="4320"/>
          </w:tcPr>
          <w:p>
            <w:r>
              <w:t>流通比例(%)：93.55</w:t>
            </w:r>
          </w:p>
        </w:tc>
      </w:tr>
      <w:tr>
        <w:tc>
          <w:tcPr>
            <w:tcW w:type="dxa" w:w="4320"/>
          </w:tcPr>
          <w:p>
            <w:r>
              <w:t>总市值(亿元)：3715.01</w:t>
            </w:r>
          </w:p>
        </w:tc>
        <w:tc>
          <w:tcPr>
            <w:tcW w:type="dxa" w:w="4320"/>
          </w:tcPr>
          <w:p>
            <w:r>
              <w:t>流通市值(亿元)：3078.86</w:t>
            </w:r>
          </w:p>
        </w:tc>
      </w:tr>
      <w:tr>
        <w:tc>
          <w:tcPr>
            <w:tcW w:type="dxa" w:w="4320"/>
          </w:tcPr>
          <w:p>
            <w:r>
              <w:t>市盈率(倍)：24.87</w:t>
            </w:r>
          </w:p>
        </w:tc>
        <w:tc>
          <w:tcPr>
            <w:tcW w:type="dxa" w:w="4320"/>
          </w:tcPr>
          <w:p>
            <w:r>
              <w:t>市净率(倍)：2.29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40.76亿</w:t>
            </w:r>
          </w:p>
        </w:tc>
        <w:tc>
          <w:tcPr>
            <w:tcW w:type="dxa" w:w="2160"/>
          </w:tcPr>
          <w:p>
            <w:r>
              <w:t>-4.28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122.29亿</w:t>
            </w:r>
          </w:p>
        </w:tc>
        <w:tc>
          <w:tcPr>
            <w:tcW w:type="dxa" w:w="2160"/>
          </w:tcPr>
          <w:p>
            <w:r>
              <w:t>30.23</w:t>
            </w:r>
          </w:p>
        </w:tc>
        <w:tc>
          <w:tcPr>
            <w:tcW w:type="dxa" w:w="2160"/>
          </w:tcPr>
          <w:p>
            <w:r>
              <w:t>1.01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105.22亿</w:t>
            </w:r>
          </w:p>
        </w:tc>
        <w:tc>
          <w:tcPr>
            <w:tcW w:type="dxa" w:w="2160"/>
          </w:tcPr>
          <w:p>
            <w:r>
              <w:t>43.85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证券投资，证券承销，投资银行，投行业务，证券经纪，自营业务，经纪业务，直接投资，资产管理业务，基金业务，手续费收入，直投业务，融资融券业务，自营投资，资金业务，信用业务，中介型业务</w:t>
            </w:r>
          </w:p>
        </w:tc>
      </w:tr>
      <w:tr>
        <w:tc>
          <w:tcPr>
            <w:tcW w:type="dxa" w:w="8640"/>
          </w:tcPr>
          <w:p>
            <w:r>
              <w:t>所属概念：百度金融，融资融券，沪股通，转融券标的，期货概念，证金持股，富时罗素概念，新三板精选层概念，富时罗素概念股，MSCI概念，标普道琼斯A股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