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股票简称：中国宝安</w:t>
            </w:r>
          </w:p>
        </w:tc>
        <w:tc>
          <w:tcPr>
            <w:tcW w:type="dxa" w:w="4320"/>
          </w:tcPr>
          <w:p>
            <w:r>
              <w:t>股票代码：000009</w:t>
            </w:r>
          </w:p>
        </w:tc>
      </w:tr>
      <w:tr>
        <w:tc>
          <w:tcPr>
            <w:tcW w:type="dxa" w:w="4320"/>
          </w:tcPr>
          <w:p>
            <w:r>
              <w:t>涨跌幅：8.01  +0.02/+0.25%</w:t>
            </w:r>
          </w:p>
        </w:tc>
        <w:tc>
          <w:tcPr>
            <w:tcW w:type="dxa" w:w="4320"/>
          </w:tcPr>
          <w:p>
            <w:r>
              <w:t>跌停原因：股东减持。</w:t>
            </w:r>
          </w:p>
        </w:tc>
      </w:tr>
      <w:tr>
        <w:tc>
          <w:tcPr>
            <w:tcW w:type="dxa" w:w="4320"/>
          </w:tcPr>
          <w:p>
            <w:r>
              <w:t>总股本(股)：25.79亿</w:t>
            </w:r>
          </w:p>
        </w:tc>
        <w:tc>
          <w:tcPr>
            <w:tcW w:type="dxa" w:w="4320"/>
          </w:tcPr>
          <w:p>
            <w:r>
              <w:t>流通比例(%)：98.63</w:t>
            </w:r>
          </w:p>
        </w:tc>
      </w:tr>
      <w:tr>
        <w:tc>
          <w:tcPr>
            <w:tcW w:type="dxa" w:w="4320"/>
          </w:tcPr>
          <w:p>
            <w:r>
              <w:t>总市值(亿元)：206.6</w:t>
            </w:r>
          </w:p>
        </w:tc>
        <w:tc>
          <w:tcPr>
            <w:tcW w:type="dxa" w:w="4320"/>
          </w:tcPr>
          <w:p>
            <w:r>
              <w:t>流通市值(亿元)：203.76</w:t>
            </w:r>
          </w:p>
        </w:tc>
      </w:tr>
      <w:tr>
        <w:tc>
          <w:tcPr>
            <w:tcW w:type="dxa" w:w="4320"/>
          </w:tcPr>
          <w:p>
            <w:r>
              <w:t>市盈率(倍)：128.51</w:t>
            </w:r>
          </w:p>
        </w:tc>
        <w:tc>
          <w:tcPr>
            <w:tcW w:type="dxa" w:w="4320"/>
          </w:tcPr>
          <w:p>
            <w:r>
              <w:t>市净率(倍)：3.72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4,018.95万</w:t>
            </w:r>
          </w:p>
        </w:tc>
        <w:tc>
          <w:tcPr>
            <w:tcW w:type="dxa" w:w="2160"/>
          </w:tcPr>
          <w:p>
            <w:r>
              <w:t>-39.19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3.01亿</w:t>
            </w:r>
          </w:p>
        </w:tc>
        <w:tc>
          <w:tcPr>
            <w:tcW w:type="dxa" w:w="2160"/>
          </w:tcPr>
          <w:p>
            <w:r>
              <w:t>40.86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2.01亿</w:t>
            </w:r>
          </w:p>
        </w:tc>
        <w:tc>
          <w:tcPr>
            <w:tcW w:type="dxa" w:w="2160"/>
          </w:tcPr>
          <w:p>
            <w:r>
              <w:t>103.52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医药行业，高新技术，布吉华浩源，达芬霖，房地产，房地产行业，生物医药，石墨烯，房地产销售，新能源汽车，锂电池，石墨，新能源，锂电，石墨矿，电池材料，锂电材料，动力电池，高新技术产业</w:t>
            </w:r>
          </w:p>
        </w:tc>
      </w:tr>
      <w:tr>
        <w:tc>
          <w:tcPr>
            <w:tcW w:type="dxa" w:w="8640"/>
          </w:tcPr>
          <w:p>
            <w:r>
              <w:t>所属概念：磷酸铁锂，土地流转，低碳，聚土地概念，融资融券，深股通，转融券标的，充电桩，生物医药，负极材料，新能源汽车，锂电池，石墨烯，创投，稀土永磁，黄金概念，小金属概念，钴，分拆上市意愿，参股新三板，军工，芯片概念，口罩，富时罗素概念，新三板精选层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