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股票简称：中海达</w:t>
            </w:r>
          </w:p>
        </w:tc>
        <w:tc>
          <w:tcPr>
            <w:tcW w:type="dxa" w:w="4320"/>
          </w:tcPr>
          <w:p>
            <w:r>
              <w:t>股票代码：300177</w:t>
            </w:r>
          </w:p>
        </w:tc>
      </w:tr>
      <w:tr>
        <w:tc>
          <w:tcPr>
            <w:tcW w:type="dxa" w:w="4320"/>
          </w:tcPr>
          <w:p>
            <w:r>
              <w:t>涨跌幅：11.60  -0.10/-0.86%</w:t>
            </w:r>
          </w:p>
        </w:tc>
        <w:tc>
          <w:tcPr>
            <w:tcW w:type="dxa" w:w="4320"/>
          </w:tcPr>
          <w:p>
            <w:r>
              <w:t>涨停原因：无人机。首板涨停。</w:t>
            </w:r>
          </w:p>
        </w:tc>
      </w:tr>
      <w:tr>
        <w:tc>
          <w:tcPr>
            <w:tcW w:type="dxa" w:w="4320"/>
          </w:tcPr>
          <w:p>
            <w:r>
              <w:t>总股本(股)：6.76亿</w:t>
            </w:r>
          </w:p>
        </w:tc>
        <w:tc>
          <w:tcPr>
            <w:tcW w:type="dxa" w:w="4320"/>
          </w:tcPr>
          <w:p>
            <w:r>
              <w:t>流通比例(%)：74.8</w:t>
            </w:r>
          </w:p>
        </w:tc>
      </w:tr>
      <w:tr>
        <w:tc>
          <w:tcPr>
            <w:tcW w:type="dxa" w:w="4320"/>
          </w:tcPr>
          <w:p>
            <w:r>
              <w:t>总市值(亿元)：78.44</w:t>
            </w:r>
          </w:p>
        </w:tc>
        <w:tc>
          <w:tcPr>
            <w:tcW w:type="dxa" w:w="4320"/>
          </w:tcPr>
          <w:p>
            <w:r>
              <w:t>流通市值(亿元)：58.67</w:t>
            </w:r>
          </w:p>
        </w:tc>
      </w:tr>
      <w:tr>
        <w:tc>
          <w:tcPr>
            <w:tcW w:type="dxa" w:w="4320"/>
          </w:tcPr>
          <w:p>
            <w:r>
              <w:t>市盈率(倍)：-84.08</w:t>
            </w:r>
          </w:p>
        </w:tc>
        <w:tc>
          <w:tcPr>
            <w:tcW w:type="dxa" w:w="4320"/>
          </w:tcPr>
          <w:p>
            <w:r>
              <w:t>市净率(倍)：4.58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-2,332.35万</w:t>
            </w:r>
          </w:p>
        </w:tc>
        <w:tc>
          <w:tcPr>
            <w:tcW w:type="dxa" w:w="2160"/>
          </w:tcPr>
          <w:p>
            <w:r>
              <w:t>-204.27</w:t>
            </w:r>
          </w:p>
        </w:tc>
        <w:tc>
          <w:tcPr>
            <w:tcW w:type="dxa" w:w="2160"/>
          </w:tcPr>
          <w:p>
            <w:r>
              <w:t>-0.03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-1.54亿</w:t>
            </w:r>
          </w:p>
        </w:tc>
        <w:tc>
          <w:tcPr>
            <w:tcW w:type="dxa" w:w="2160"/>
          </w:tcPr>
          <w:p>
            <w:r>
              <w:t>-261.89</w:t>
            </w:r>
          </w:p>
        </w:tc>
        <w:tc>
          <w:tcPr>
            <w:tcW w:type="dxa" w:w="2160"/>
          </w:tcPr>
          <w:p>
            <w:r>
              <w:t>-0.23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4,083.61万</w:t>
            </w:r>
          </w:p>
        </w:tc>
        <w:tc>
          <w:tcPr>
            <w:tcW w:type="dxa" w:w="2160"/>
          </w:tcPr>
          <w:p>
            <w:r>
              <w:t>-44.90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数据应用及解决方案，三维激光产品，农机自动化，系统工程，地质灾害监测，精密机械控制，海洋产品，高精度卫星定位产品，光电测绘产品，数据采集装备，北斗，高精度测量，北斗导航，海洋业务，gis，智慧城市，扫描仪，轨道检测，轨道交通，三维激光，位置服务，卫星，导航，地图，gis数据采集器，数据及行业应用解决方案，卫星导航定位系统软硬件产品，地理信息采集系统及软硬件产品，基于位置的产品及服务系统，海洋工程定位系统及软硬件产品，灾害监控系统及产品，精密机械控制系统及产品，测绘仪器及相关软件产品，北斗+精准定位装备，北斗+行业应用软件及方案集成，北斗+时空数据，北斗+运营及设计服务</w:t>
            </w:r>
          </w:p>
        </w:tc>
      </w:tr>
      <w:tr>
        <w:tc>
          <w:tcPr>
            <w:tcW w:type="dxa" w:w="8640"/>
          </w:tcPr>
          <w:p>
            <w:r>
              <w:t>所属概念：3D打印，遥感技术，引力波，虚拟现实，卫星导航，芯片概念，地理信息，无人驾驶，无人机，国产软件，融资融券，华为概念，转融券标的，VR设备，创投，车联网，智慧城市，深股通，轨道交通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