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股票简称：乐凯新材</w:t>
            </w:r>
          </w:p>
        </w:tc>
        <w:tc>
          <w:tcPr>
            <w:tcW w:type="dxa" w:w="4320"/>
          </w:tcPr>
          <w:p>
            <w:r>
              <w:t>股票代码：300446</w:t>
            </w:r>
          </w:p>
        </w:tc>
      </w:tr>
      <w:tr>
        <w:tc>
          <w:tcPr>
            <w:tcW w:type="dxa" w:w="4320"/>
          </w:tcPr>
          <w:p>
            <w:r>
              <w:t>涨跌幅：9.60  +0.19/+2.02%</w:t>
            </w:r>
          </w:p>
        </w:tc>
        <w:tc>
          <w:tcPr>
            <w:tcW w:type="dxa" w:w="4320"/>
          </w:tcPr>
          <w:p>
            <w:r>
              <w:t>涨停原因：华为概念。首板涨停。</w:t>
            </w:r>
          </w:p>
        </w:tc>
      </w:tr>
      <w:tr>
        <w:tc>
          <w:tcPr>
            <w:tcW w:type="dxa" w:w="4320"/>
          </w:tcPr>
          <w:p>
            <w:r>
              <w:t>总股本(股)：2.03亿</w:t>
            </w:r>
          </w:p>
        </w:tc>
        <w:tc>
          <w:tcPr>
            <w:tcW w:type="dxa" w:w="4320"/>
          </w:tcPr>
          <w:p>
            <w:r>
              <w:t>流通比例(%)：96.51</w:t>
            </w:r>
          </w:p>
        </w:tc>
      </w:tr>
      <w:tr>
        <w:tc>
          <w:tcPr>
            <w:tcW w:type="dxa" w:w="4320"/>
          </w:tcPr>
          <w:p>
            <w:r>
              <w:t>总市值(亿元)：19.45</w:t>
            </w:r>
          </w:p>
        </w:tc>
        <w:tc>
          <w:tcPr>
            <w:tcW w:type="dxa" w:w="4320"/>
          </w:tcPr>
          <w:p>
            <w:r>
              <w:t>流通市值(亿元)：18.77</w:t>
            </w:r>
          </w:p>
        </w:tc>
      </w:tr>
      <w:tr>
        <w:tc>
          <w:tcPr>
            <w:tcW w:type="dxa" w:w="4320"/>
          </w:tcPr>
          <w:p>
            <w:r>
              <w:t>市盈率(倍)：46.64</w:t>
            </w:r>
          </w:p>
        </w:tc>
        <w:tc>
          <w:tcPr>
            <w:tcW w:type="dxa" w:w="4320"/>
          </w:tcPr>
          <w:p>
            <w:r>
              <w:t>市净率(倍)：2.77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1,042.71万</w:t>
            </w:r>
          </w:p>
        </w:tc>
        <w:tc>
          <w:tcPr>
            <w:tcW w:type="dxa" w:w="2160"/>
          </w:tcPr>
          <w:p>
            <w:r>
              <w:t>-65.16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1.10亿</w:t>
            </w:r>
          </w:p>
        </w:tc>
        <w:tc>
          <w:tcPr>
            <w:tcW w:type="dxa" w:w="2160"/>
          </w:tcPr>
          <w:p>
            <w:r>
              <w:t>6.35</w:t>
            </w:r>
          </w:p>
        </w:tc>
        <w:tc>
          <w:tcPr>
            <w:tcW w:type="dxa" w:w="2160"/>
          </w:tcPr>
          <w:p>
            <w:r>
              <w:t>0.60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7,677.87万</w:t>
            </w:r>
          </w:p>
        </w:tc>
        <w:tc>
          <w:tcPr>
            <w:tcW w:type="dxa" w:w="2160"/>
          </w:tcPr>
          <w:p>
            <w:r>
              <w:t>9.50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主营产品名称：磁条，热敏磁票</w:t>
            </w:r>
          </w:p>
        </w:tc>
      </w:tr>
      <w:tr>
        <w:tc>
          <w:tcPr>
            <w:tcW w:type="dxa" w:w="8640"/>
          </w:tcPr>
          <w:p>
            <w:r>
              <w:t>所属概念：雄安交通，雄安新区，华为概念，央企国资改革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