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股票简称：京粮控股</w:t>
            </w:r>
          </w:p>
        </w:tc>
        <w:tc>
          <w:tcPr>
            <w:tcW w:type="dxa" w:w="4320"/>
          </w:tcPr>
          <w:p>
            <w:r>
              <w:t>股票代码：000505</w:t>
            </w:r>
          </w:p>
        </w:tc>
      </w:tr>
      <w:tr>
        <w:tc>
          <w:tcPr>
            <w:tcW w:type="dxa" w:w="4320"/>
          </w:tcPr>
          <w:p>
            <w:r>
              <w:t>涨跌幅：9.44  -0.23/-2.38%</w:t>
            </w:r>
          </w:p>
        </w:tc>
        <w:tc>
          <w:tcPr>
            <w:tcW w:type="dxa" w:w="4320"/>
          </w:tcPr>
          <w:p>
            <w:r>
              <w:t>涨停原因：海南自贸区。首板涨停。</w:t>
            </w:r>
          </w:p>
        </w:tc>
      </w:tr>
      <w:tr>
        <w:tc>
          <w:tcPr>
            <w:tcW w:type="dxa" w:w="4320"/>
          </w:tcPr>
          <w:p>
            <w:r>
              <w:t>总股本(股)：7.27亿</w:t>
            </w:r>
          </w:p>
        </w:tc>
        <w:tc>
          <w:tcPr>
            <w:tcW w:type="dxa" w:w="4320"/>
          </w:tcPr>
          <w:p>
            <w:r>
              <w:t>流通比例(%)：64.81</w:t>
            </w:r>
          </w:p>
        </w:tc>
      </w:tr>
      <w:tr>
        <w:tc>
          <w:tcPr>
            <w:tcW w:type="dxa" w:w="4320"/>
          </w:tcPr>
          <w:p>
            <w:r>
              <w:t>总市值(亿元)：64.2</w:t>
            </w:r>
          </w:p>
        </w:tc>
        <w:tc>
          <w:tcPr>
            <w:tcW w:type="dxa" w:w="4320"/>
          </w:tcPr>
          <w:p>
            <w:r>
              <w:t>流通市值(亿元)：38.34</w:t>
            </w:r>
          </w:p>
        </w:tc>
      </w:tr>
      <w:tr>
        <w:tc>
          <w:tcPr>
            <w:tcW w:type="dxa" w:w="4320"/>
          </w:tcPr>
          <w:p>
            <w:r>
              <w:t>市盈率(倍)：62.04</w:t>
            </w:r>
          </w:p>
        </w:tc>
        <w:tc>
          <w:tcPr>
            <w:tcW w:type="dxa" w:w="4320"/>
          </w:tcPr>
          <w:p>
            <w:r>
              <w:t>市净率(倍)：2.82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2,765.50万</w:t>
            </w:r>
          </w:p>
        </w:tc>
        <w:tc>
          <w:tcPr>
            <w:tcW w:type="dxa" w:w="2160"/>
          </w:tcPr>
          <w:p>
            <w:r>
              <w:t>5.11</w:t>
            </w:r>
          </w:p>
        </w:tc>
        <w:tc>
          <w:tcPr>
            <w:tcW w:type="dxa" w:w="2160"/>
          </w:tcPr>
          <w:p>
            <w:r>
              <w:t>0.04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1.33亿</w:t>
            </w:r>
          </w:p>
        </w:tc>
        <w:tc>
          <w:tcPr>
            <w:tcW w:type="dxa" w:w="2160"/>
          </w:tcPr>
          <w:p>
            <w:r>
              <w:t>-20.61</w:t>
            </w:r>
          </w:p>
        </w:tc>
        <w:tc>
          <w:tcPr>
            <w:tcW w:type="dxa" w:w="2160"/>
          </w:tcPr>
          <w:p>
            <w:r>
              <w:t>0.19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8,535.19万</w:t>
            </w:r>
          </w:p>
        </w:tc>
        <w:tc>
          <w:tcPr>
            <w:tcW w:type="dxa" w:w="2160"/>
          </w:tcPr>
          <w:p>
            <w:r>
              <w:t>-16.54</w:t>
            </w:r>
          </w:p>
        </w:tc>
        <w:tc>
          <w:tcPr>
            <w:tcW w:type="dxa" w:w="2160"/>
          </w:tcPr>
          <w:p>
            <w:r>
              <w:t>0.12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主营产品名称：物业管理服务，旅游酒店服务，房地产，油脂，粮食贸易，食品加工，大豆油，菜籽油，葵花籽油，香油，麻酱，薯片，糕点及面包</w:t>
            </w:r>
          </w:p>
        </w:tc>
      </w:tr>
      <w:tr>
        <w:tc>
          <w:tcPr>
            <w:tcW w:type="dxa" w:w="8640"/>
          </w:tcPr>
          <w:p>
            <w:r>
              <w:t>所属概念：三沙，地方国资改革，融资融券，网红经济，转融券标的，海南自贸区，北京国资改革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