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股票简称：南玻A</w:t>
            </w:r>
          </w:p>
        </w:tc>
        <w:tc>
          <w:tcPr>
            <w:tcW w:type="dxa" w:w="4320"/>
          </w:tcPr>
          <w:p>
            <w:r>
              <w:t>股票代码：000012</w:t>
            </w:r>
          </w:p>
        </w:tc>
      </w:tr>
      <w:tr>
        <w:tc>
          <w:tcPr>
            <w:tcW w:type="dxa" w:w="4320"/>
          </w:tcPr>
          <w:p>
            <w:r>
              <w:t>涨跌幅：6.12  +0.05/+0.82%</w:t>
            </w:r>
          </w:p>
        </w:tc>
        <w:tc>
          <w:tcPr>
            <w:tcW w:type="dxa" w:w="4320"/>
          </w:tcPr>
          <w:p>
            <w:r>
              <w:t>涨停原因：签订合同。首板涨停。</w:t>
            </w:r>
          </w:p>
        </w:tc>
      </w:tr>
      <w:tr>
        <w:tc>
          <w:tcPr>
            <w:tcW w:type="dxa" w:w="4320"/>
          </w:tcPr>
          <w:p>
            <w:r>
              <w:t>总股本(股)：30.71亿</w:t>
            </w:r>
          </w:p>
        </w:tc>
        <w:tc>
          <w:tcPr>
            <w:tcW w:type="dxa" w:w="4320"/>
          </w:tcPr>
          <w:p>
            <w:r>
              <w:t>流通比例(%)：99.86</w:t>
            </w:r>
          </w:p>
        </w:tc>
      </w:tr>
      <w:tr>
        <w:tc>
          <w:tcPr>
            <w:tcW w:type="dxa" w:w="4320"/>
          </w:tcPr>
          <w:p>
            <w:r>
              <w:t>总市值(亿元)：143.68</w:t>
            </w:r>
          </w:p>
        </w:tc>
        <w:tc>
          <w:tcPr>
            <w:tcW w:type="dxa" w:w="4320"/>
          </w:tcPr>
          <w:p>
            <w:r>
              <w:t>流通市值(亿元)：119.77</w:t>
            </w:r>
          </w:p>
        </w:tc>
      </w:tr>
      <w:tr>
        <w:tc>
          <w:tcPr>
            <w:tcW w:type="dxa" w:w="4320"/>
          </w:tcPr>
          <w:p>
            <w:r>
              <w:t>市盈率(倍)：42.22</w:t>
            </w:r>
          </w:p>
        </w:tc>
        <w:tc>
          <w:tcPr>
            <w:tcW w:type="dxa" w:w="4320"/>
          </w:tcPr>
          <w:p>
            <w:r>
              <w:t>市净率(倍)：1.96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1.11亿</w:t>
            </w:r>
          </w:p>
        </w:tc>
        <w:tc>
          <w:tcPr>
            <w:tcW w:type="dxa" w:w="2160"/>
          </w:tcPr>
          <w:p>
            <w:r>
              <w:t>-15.82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5.36亿</w:t>
            </w:r>
          </w:p>
        </w:tc>
        <w:tc>
          <w:tcPr>
            <w:tcW w:type="dxa" w:w="2160"/>
          </w:tcPr>
          <w:p>
            <w:r>
              <w:t>18.43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5.44亿</w:t>
            </w:r>
          </w:p>
        </w:tc>
        <w:tc>
          <w:tcPr>
            <w:tcW w:type="dxa" w:w="2160"/>
          </w:tcPr>
          <w:p>
            <w:r>
              <w:t>16.03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程玻璃，太阳能产品，平板玻璃，节能工程玻璃，薄膜太阳能电池，浮法玻璃和工程玻璃，镀膜线，太阳能玻璃，太阳能电池，光伏太阳能，新能源，建筑节能，节能玻璃，浮法玻璃，建筑玻璃，平板，触摸屏，触控盖板，触控盖板玻璃，玻璃，显示器件，精细玻璃，多晶硅，超薄玻璃，太阳能业务，电池，电子玻璃及显示器件业务</w:t>
            </w:r>
          </w:p>
        </w:tc>
      </w:tr>
      <w:tr>
        <w:tc>
          <w:tcPr>
            <w:tcW w:type="dxa" w:w="8640"/>
          </w:tcPr>
          <w:p>
            <w:r>
              <w:t>所属概念：诺基亚，低碳，光伏玻璃，玻璃纤维，光热，太阳能，绿色建筑，新能源，分布式发电，特种玻璃，B转H，融资融券，深股通，转融券标的，OLED，多晶硅，建筑节能，触摸屏，特斯拉，光伏概念，玻璃，雄安新区，宝能系，口罩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