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股票简称：国新健康</w:t>
            </w:r>
          </w:p>
        </w:tc>
        <w:tc>
          <w:tcPr>
            <w:tcW w:type="dxa" w:w="4320"/>
          </w:tcPr>
          <w:p>
            <w:r>
              <w:t>股票代码：000503</w:t>
            </w:r>
          </w:p>
        </w:tc>
      </w:tr>
      <w:tr>
        <w:tc>
          <w:tcPr>
            <w:tcW w:type="dxa" w:w="4320"/>
          </w:tcPr>
          <w:p>
            <w:r>
              <w:t>涨跌幅：13.08  +0.06/+0.46%</w:t>
            </w:r>
          </w:p>
        </w:tc>
        <w:tc>
          <w:tcPr>
            <w:tcW w:type="dxa" w:w="4320"/>
          </w:tcPr>
          <w:p>
            <w:r>
              <w:t>涨停原因：互联网医疗。首板涨停。</w:t>
            </w:r>
          </w:p>
        </w:tc>
      </w:tr>
      <w:tr>
        <w:tc>
          <w:tcPr>
            <w:tcW w:type="dxa" w:w="4320"/>
          </w:tcPr>
          <w:p>
            <w:r>
              <w:t>总股本(股)：8.99亿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总市值(亿元)：117.56</w:t>
            </w:r>
          </w:p>
        </w:tc>
        <w:tc>
          <w:tcPr>
            <w:tcW w:type="dxa" w:w="4320"/>
          </w:tcPr>
          <w:p>
            <w:r>
              <w:t>流通市值(亿元)：117.56</w:t>
            </w:r>
          </w:p>
        </w:tc>
      </w:tr>
      <w:tr>
        <w:tc>
          <w:tcPr>
            <w:tcW w:type="dxa" w:w="4320"/>
          </w:tcPr>
          <w:p>
            <w:r>
              <w:t>市盈率(倍)：-41.29</w:t>
            </w:r>
          </w:p>
        </w:tc>
        <w:tc>
          <w:tcPr>
            <w:tcW w:type="dxa" w:w="4320"/>
          </w:tcPr>
          <w:p>
            <w:r>
              <w:t>市净率(倍)：10.17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-7,118.24万</w:t>
            </w:r>
          </w:p>
        </w:tc>
        <w:tc>
          <w:tcPr>
            <w:tcW w:type="dxa" w:w="2160"/>
          </w:tcPr>
          <w:p>
            <w:r>
              <w:t>-43.04</w:t>
            </w:r>
          </w:p>
        </w:tc>
        <w:tc>
          <w:tcPr>
            <w:tcW w:type="dxa" w:w="2160"/>
          </w:tcPr>
          <w:p>
            <w:r>
              <w:t>-0.08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1,742.77万</w:t>
            </w:r>
          </w:p>
        </w:tc>
        <w:tc>
          <w:tcPr>
            <w:tcW w:type="dxa" w:w="2160"/>
          </w:tcPr>
          <w:p>
            <w:r>
              <w:t>109.28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-1.46亿</w:t>
            </w:r>
          </w:p>
        </w:tc>
        <w:tc>
          <w:tcPr>
            <w:tcW w:type="dxa" w:w="2160"/>
          </w:tcPr>
          <w:p>
            <w:r>
              <w:t>-29.11</w:t>
            </w:r>
          </w:p>
        </w:tc>
        <w:tc>
          <w:tcPr>
            <w:tcW w:type="dxa" w:w="2160"/>
          </w:tcPr>
          <w:p>
            <w:r>
              <w:t>-0.16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网络，大健康服务产业，医药电子商务及交易，传感网，三网融合，大健康服务，药品及医疗器械招标代理，健康保障服务，医保基金综合管理服务业务，医疗质量安全服务业务，药械监管服务业务</w:t>
            </w:r>
          </w:p>
        </w:tc>
      </w:tr>
      <w:tr>
        <w:tc>
          <w:tcPr>
            <w:tcW w:type="dxa" w:w="8640"/>
          </w:tcPr>
          <w:p>
            <w:r>
              <w:t>所属概念：TMT，三沙，海南旅游岛，健康中国，电子商务，融资融券，东盟北部湾，转融券标的，智能医疗，医保目录，互联网医疗，海南自贸区，富时罗素概念股，MSCI概念，标普道琼斯A股，互联网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