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股票简称：天宸股份</w:t>
            </w:r>
          </w:p>
        </w:tc>
        <w:tc>
          <w:tcPr>
            <w:tcW w:type="dxa" w:w="4320"/>
          </w:tcPr>
          <w:p>
            <w:r>
              <w:t>股票代码：600620</w:t>
            </w:r>
          </w:p>
        </w:tc>
      </w:tr>
      <w:tr>
        <w:tc>
          <w:tcPr>
            <w:tcW w:type="dxa" w:w="4320"/>
          </w:tcPr>
          <w:p>
            <w:r>
              <w:t>涨跌幅：8.28  +0.10/+1.22%</w:t>
            </w:r>
          </w:p>
        </w:tc>
        <w:tc>
          <w:tcPr>
            <w:tcW w:type="dxa" w:w="4320"/>
          </w:tcPr>
          <w:p>
            <w:r>
              <w:t>涨停原因：智能物流。首板涨停。</w:t>
            </w:r>
          </w:p>
        </w:tc>
      </w:tr>
      <w:tr>
        <w:tc>
          <w:tcPr>
            <w:tcW w:type="dxa" w:w="4320"/>
          </w:tcPr>
          <w:p>
            <w:r>
              <w:t>总股本(股)：6.87亿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总市值(亿元)：56.86</w:t>
            </w:r>
          </w:p>
        </w:tc>
        <w:tc>
          <w:tcPr>
            <w:tcW w:type="dxa" w:w="4320"/>
          </w:tcPr>
          <w:p>
            <w:r>
              <w:t>流通市值(亿元)：56.86</w:t>
            </w:r>
          </w:p>
        </w:tc>
      </w:tr>
      <w:tr>
        <w:tc>
          <w:tcPr>
            <w:tcW w:type="dxa" w:w="4320"/>
          </w:tcPr>
          <w:p>
            <w:r>
              <w:t>市盈率(倍)：-231.92</w:t>
            </w:r>
          </w:p>
        </w:tc>
        <w:tc>
          <w:tcPr>
            <w:tcW w:type="dxa" w:w="4320"/>
          </w:tcPr>
          <w:p>
            <w:r>
              <w:t>市净率(倍)：2.59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-612.88万</w:t>
            </w:r>
          </w:p>
        </w:tc>
        <w:tc>
          <w:tcPr>
            <w:tcW w:type="dxa" w:w="2160"/>
          </w:tcPr>
          <w:p>
            <w:r>
              <w:t>-342.18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6,713.09万</w:t>
            </w:r>
          </w:p>
        </w:tc>
        <w:tc>
          <w:tcPr>
            <w:tcW w:type="dxa" w:w="2160"/>
          </w:tcPr>
          <w:p>
            <w:r>
              <w:t>-0.78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8,263.19万</w:t>
            </w:r>
          </w:p>
        </w:tc>
        <w:tc>
          <w:tcPr>
            <w:tcW w:type="dxa" w:w="2160"/>
          </w:tcPr>
          <w:p>
            <w:r>
              <w:t>36.29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主营产品名称：运输及客运，房地产业，房地产，酒店，物业管理，养老服务，养老，运输与客运，出租车经营，物业租赁，出租车运营</w:t>
            </w:r>
          </w:p>
        </w:tc>
      </w:tr>
      <w:tr>
        <w:tc>
          <w:tcPr>
            <w:tcW w:type="dxa" w:w="8640"/>
          </w:tcPr>
          <w:p>
            <w:r>
              <w:t>所属概念：养老地产，老龄化，融资融券，养老概念，转融券标的，智能物流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