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股票简称：威孚高科</w:t>
            </w:r>
          </w:p>
        </w:tc>
        <w:tc>
          <w:tcPr>
            <w:tcW w:type="dxa" w:w="4320"/>
          </w:tcPr>
          <w:p>
            <w:r>
              <w:t>股票代码：000581</w:t>
            </w:r>
          </w:p>
        </w:tc>
      </w:tr>
      <w:tr>
        <w:tc>
          <w:tcPr>
            <w:tcW w:type="dxa" w:w="4320"/>
          </w:tcPr>
          <w:p>
            <w:r>
              <w:t>涨跌幅：22.95  +0.27/+1.19%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总股本(股)：10.09亿</w:t>
            </w:r>
          </w:p>
        </w:tc>
        <w:tc>
          <w:tcPr>
            <w:tcW w:type="dxa" w:w="4320"/>
          </w:tcPr>
          <w:p>
            <w:r>
              <w:t>流通比例(%)：99.99</w:t>
            </w:r>
          </w:p>
        </w:tc>
      </w:tr>
      <w:tr>
        <w:tc>
          <w:tcPr>
            <w:tcW w:type="dxa" w:w="4320"/>
          </w:tcPr>
          <w:p>
            <w:r>
              <w:t>总市值(亿元)：212.46</w:t>
            </w:r>
          </w:p>
        </w:tc>
        <w:tc>
          <w:tcPr>
            <w:tcW w:type="dxa" w:w="4320"/>
          </w:tcPr>
          <w:p>
            <w:r>
              <w:t>流通市值(亿元)：191.97</w:t>
            </w:r>
          </w:p>
        </w:tc>
      </w:tr>
      <w:tr>
        <w:tc>
          <w:tcPr>
            <w:tcW w:type="dxa" w:w="4320"/>
          </w:tcPr>
          <w:p>
            <w:r>
              <w:t>市盈率(倍)：10.53</w:t>
            </w:r>
          </w:p>
        </w:tc>
        <w:tc>
          <w:tcPr>
            <w:tcW w:type="dxa" w:w="4320"/>
          </w:tcPr>
          <w:p>
            <w:r>
              <w:t>市净率(倍)：1.34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5.50亿</w:t>
            </w:r>
          </w:p>
        </w:tc>
        <w:tc>
          <w:tcPr>
            <w:tcW w:type="dxa" w:w="2160"/>
          </w:tcPr>
          <w:p>
            <w:r>
              <w:t>-20.20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22.68亿</w:t>
            </w:r>
          </w:p>
        </w:tc>
        <w:tc>
          <w:tcPr>
            <w:tcW w:type="dxa" w:w="2160"/>
          </w:tcPr>
          <w:p>
            <w:r>
              <w:t>-5.34</w:t>
            </w:r>
          </w:p>
        </w:tc>
        <w:tc>
          <w:tcPr>
            <w:tcW w:type="dxa" w:w="2160"/>
          </w:tcPr>
          <w:p>
            <w:r>
              <w:t>2.25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17.27亿</w:t>
            </w:r>
          </w:p>
        </w:tc>
        <w:tc>
          <w:tcPr>
            <w:tcW w:type="dxa" w:w="2160"/>
          </w:tcPr>
          <w:p>
            <w:r>
              <w:t>-16.00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进气系统，汽车后处理系统，汽车燃油喷射系统，汽车零配件，金属材料，机械泵，轻卡，轻型商用车，零部件，商用车核心零部件，节能产品，核心零部件，发动机，配件，轻型柴油机，重型商用车，汽车零部件，lng，尾气处理，新能源，重卡，商用车，电池，动力电池，柴油燃油喷射系统，尾气后处理系统</w:t>
            </w:r>
          </w:p>
        </w:tc>
      </w:tr>
      <w:tr>
        <w:tc>
          <w:tcPr>
            <w:tcW w:type="dxa" w:w="8640"/>
          </w:tcPr>
          <w:p>
            <w:r>
              <w:t>所属概念：油品升级，节能减排，废气处理，尾气治理，PM2.5，融资融券，深股通，转融券标的，电机电控，节能环保，地方国资改革，江苏国资改革，养老金持股，国六标准、国六排放、国六，集成电路概念，燃料电池，富时罗素概念，富时罗素概念股，MSCI概念，标普道琼斯A股，参股券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