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股票简称：平安银行</w:t>
            </w:r>
          </w:p>
        </w:tc>
        <w:tc>
          <w:tcPr>
            <w:tcW w:type="dxa" w:w="4320"/>
          </w:tcPr>
          <w:p>
            <w:r>
              <w:t>股票代码：000001</w:t>
            </w:r>
          </w:p>
        </w:tc>
      </w:tr>
      <w:tr>
        <w:tc>
          <w:tcPr>
            <w:tcW w:type="dxa" w:w="4320"/>
          </w:tcPr>
          <w:p>
            <w:r>
              <w:t>涨跌幅：14.47  +0.29/+2.05%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总股本(股)：194.06亿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总市值(亿元)：2808.04</w:t>
            </w:r>
          </w:p>
        </w:tc>
        <w:tc>
          <w:tcPr>
            <w:tcW w:type="dxa" w:w="4320"/>
          </w:tcPr>
          <w:p>
            <w:r>
              <w:t>流通市值(亿元)：2808.01</w:t>
            </w:r>
          </w:p>
        </w:tc>
      </w:tr>
      <w:tr>
        <w:tc>
          <w:tcPr>
            <w:tcW w:type="dxa" w:w="4320"/>
          </w:tcPr>
          <w:p>
            <w:r>
              <w:t>市盈率(倍)：8.21</w:t>
            </w:r>
          </w:p>
        </w:tc>
        <w:tc>
          <w:tcPr>
            <w:tcW w:type="dxa" w:w="4320"/>
          </w:tcPr>
          <w:p>
            <w:r>
              <w:t>市净率(倍)：0.99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85.48亿</w:t>
            </w:r>
          </w:p>
        </w:tc>
        <w:tc>
          <w:tcPr>
            <w:tcW w:type="dxa" w:w="2160"/>
          </w:tcPr>
          <w:p>
            <w:r>
              <w:t>14.80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281.95亿</w:t>
            </w:r>
          </w:p>
        </w:tc>
        <w:tc>
          <w:tcPr>
            <w:tcW w:type="dxa" w:w="2160"/>
          </w:tcPr>
          <w:p>
            <w:r>
              <w:t>13.61</w:t>
            </w:r>
          </w:p>
        </w:tc>
        <w:tc>
          <w:tcPr>
            <w:tcW w:type="dxa" w:w="2160"/>
          </w:tcPr>
          <w:p>
            <w:r>
              <w:t>1.54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236.21亿</w:t>
            </w:r>
          </w:p>
        </w:tc>
        <w:tc>
          <w:tcPr>
            <w:tcW w:type="dxa" w:w="2160"/>
          </w:tcPr>
          <w:p>
            <w:r>
              <w:t>15.47</w:t>
            </w:r>
          </w:p>
        </w:tc>
        <w:tc>
          <w:tcPr>
            <w:tcW w:type="dxa" w:w="2160"/>
          </w:tcPr>
          <w:p>
            <w:r>
              <w:t>1.32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存款业务，贸易融资，对公理财业务，贷款业务，企业主银行卡业务，小企业融资，理财业务，个人贷款，银行卡业务，个人理财服务，同业和货币市场业务，债券投资，部分货币市场业务，私人银行业务，汇款，离岸业务，租赁，贷贷平安商务卡，理财，交通金融业务，货币市场业务，信用卡业务，贴现，小企业金融业务，小微金融服务，零售银行业务，互联网金融，资金同业业务，国际业务，拆借，消费金融业务，资产托管业务，债券，信用卡，供应链金融，零售银行，同业业务，贷款，中间业务，信托业务，吸收公众存款，发放短期，中期和长期贷款，办理国内外结算，办理票据承兑与贴现，发行金融债券，代理发行，代理兑付，承销政府债券，买卖政府债券，金融债券，从事同业拆借，买卖，代理买卖外汇，从事银行卡业务，提供信用证服务及担保，代理收付款项及代理保险业务，提供保管箱服务，结汇，售汇业务，离岸银行业务，办理黄金业务，财务顾问，资信调查，见证业务，支付业务，支付，经有关监管机构批准的其他业务</w:t>
            </w:r>
          </w:p>
        </w:tc>
      </w:tr>
      <w:tr>
        <w:tc>
          <w:tcPr>
            <w:tcW w:type="dxa" w:w="8640"/>
          </w:tcPr>
          <w:p>
            <w:r>
              <w:t>所属概念：融资融券，深股通，转融券标的，优先股概念，富时罗素概念股，富时罗素概念，MSCI概念，标普道琼斯A股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