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股票简称：建艺集团</w:t>
            </w:r>
          </w:p>
        </w:tc>
        <w:tc>
          <w:tcPr>
            <w:tcW w:type="dxa" w:w="4320"/>
          </w:tcPr>
          <w:p>
            <w:r>
              <w:t>股票代码：002789</w:t>
            </w:r>
          </w:p>
        </w:tc>
      </w:tr>
      <w:tr>
        <w:tc>
          <w:tcPr>
            <w:tcW w:type="dxa" w:w="4320"/>
          </w:tcPr>
          <w:p>
            <w:r>
              <w:t>涨跌幅：16.16  -0.02/-0.12%</w:t>
            </w:r>
          </w:p>
        </w:tc>
        <w:tc>
          <w:tcPr>
            <w:tcW w:type="dxa" w:w="4320"/>
          </w:tcPr>
          <w:p>
            <w:r>
              <w:t>涨停原因：金融科技。首板涨停。</w:t>
            </w:r>
          </w:p>
        </w:tc>
      </w:tr>
      <w:tr>
        <w:tc>
          <w:tcPr>
            <w:tcW w:type="dxa" w:w="4320"/>
          </w:tcPr>
          <w:p>
            <w:r>
              <w:t>总股本(股)：1.38亿</w:t>
            </w:r>
          </w:p>
        </w:tc>
        <w:tc>
          <w:tcPr>
            <w:tcW w:type="dxa" w:w="4320"/>
          </w:tcPr>
          <w:p>
            <w:r>
              <w:t>流通比例(%)：60.33</w:t>
            </w:r>
          </w:p>
        </w:tc>
      </w:tr>
      <w:tr>
        <w:tc>
          <w:tcPr>
            <w:tcW w:type="dxa" w:w="4320"/>
          </w:tcPr>
          <w:p>
            <w:r>
              <w:t>总市值(亿元)：22.31</w:t>
            </w:r>
          </w:p>
        </w:tc>
        <w:tc>
          <w:tcPr>
            <w:tcW w:type="dxa" w:w="4320"/>
          </w:tcPr>
          <w:p>
            <w:r>
              <w:t>流通市值(亿元)：13.46</w:t>
            </w:r>
          </w:p>
        </w:tc>
      </w:tr>
      <w:tr>
        <w:tc>
          <w:tcPr>
            <w:tcW w:type="dxa" w:w="4320"/>
          </w:tcPr>
          <w:p>
            <w:r>
              <w:t>市盈率(倍)：116.12</w:t>
            </w:r>
          </w:p>
        </w:tc>
        <w:tc>
          <w:tcPr>
            <w:tcW w:type="dxa" w:w="4320"/>
          </w:tcPr>
          <w:p>
            <w:r>
              <w:t>市净率(倍)：1.87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480.26万</w:t>
            </w:r>
          </w:p>
        </w:tc>
        <w:tc>
          <w:tcPr>
            <w:tcW w:type="dxa" w:w="2160"/>
          </w:tcPr>
          <w:p>
            <w:r>
              <w:t>-85.38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2,195.53万</w:t>
            </w:r>
          </w:p>
        </w:tc>
        <w:tc>
          <w:tcPr>
            <w:tcW w:type="dxa" w:w="2160"/>
          </w:tcPr>
          <w:p>
            <w:r>
              <w:t>-76.19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8,179.44万</w:t>
            </w:r>
          </w:p>
        </w:tc>
        <w:tc>
          <w:tcPr>
            <w:tcW w:type="dxa" w:w="2160"/>
          </w:tcPr>
          <w:p>
            <w:r>
              <w:t>4.12</w:t>
            </w:r>
          </w:p>
        </w:tc>
        <w:tc>
          <w:tcPr>
            <w:tcW w:type="dxa" w:w="2160"/>
          </w:tcPr>
          <w:p>
            <w:r>
              <w:t>0.59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主营产品名称：装饰工程，公共装修，住宅装修，装饰设计，租赁业务</w:t>
            </w:r>
          </w:p>
        </w:tc>
      </w:tr>
      <w:tr>
        <w:tc>
          <w:tcPr>
            <w:tcW w:type="dxa" w:w="8640"/>
          </w:tcPr>
          <w:p>
            <w:r>
              <w:t>所属概念：建筑节能，小额贷款，恒大概念，幕墙，创投，互联网金融，金融科技，横琴新区，装配式建筑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