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股票简称：开尔新材</w:t>
            </w:r>
          </w:p>
        </w:tc>
        <w:tc>
          <w:tcPr>
            <w:tcW w:type="dxa" w:w="4320"/>
          </w:tcPr>
          <w:p>
            <w:r>
              <w:t>股票代码：300234</w:t>
            </w:r>
          </w:p>
        </w:tc>
      </w:tr>
      <w:tr>
        <w:tc>
          <w:tcPr>
            <w:tcW w:type="dxa" w:w="4320"/>
          </w:tcPr>
          <w:p>
            <w:r>
              <w:t>涨跌幅：7.15  +0.08/+1.13%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总股本(股)：5.11亿</w:t>
            </w:r>
          </w:p>
        </w:tc>
        <w:tc>
          <w:tcPr>
            <w:tcW w:type="dxa" w:w="4320"/>
          </w:tcPr>
          <w:p>
            <w:r>
              <w:t>流通比例(%)：61.87</w:t>
            </w:r>
          </w:p>
        </w:tc>
      </w:tr>
      <w:tr>
        <w:tc>
          <w:tcPr>
            <w:tcW w:type="dxa" w:w="4320"/>
          </w:tcPr>
          <w:p>
            <w:r>
              <w:t>总市值(亿元)：36.57</w:t>
            </w:r>
          </w:p>
        </w:tc>
        <w:tc>
          <w:tcPr>
            <w:tcW w:type="dxa" w:w="4320"/>
          </w:tcPr>
          <w:p>
            <w:r>
              <w:t>流通市值(亿元)：22.62</w:t>
            </w:r>
          </w:p>
        </w:tc>
      </w:tr>
      <w:tr>
        <w:tc>
          <w:tcPr>
            <w:tcW w:type="dxa" w:w="4320"/>
          </w:tcPr>
          <w:p>
            <w:r>
              <w:t>市盈率(倍)：19.25</w:t>
            </w:r>
          </w:p>
        </w:tc>
        <w:tc>
          <w:tcPr>
            <w:tcW w:type="dxa" w:w="4320"/>
          </w:tcPr>
          <w:p>
            <w:r>
              <w:t>市净率(倍)：4.04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4,748.30万</w:t>
            </w:r>
          </w:p>
        </w:tc>
        <w:tc>
          <w:tcPr>
            <w:tcW w:type="dxa" w:w="2160"/>
          </w:tcPr>
          <w:p>
            <w:r>
              <w:t>413.75</w:t>
            </w:r>
          </w:p>
        </w:tc>
        <w:tc>
          <w:tcPr>
            <w:tcW w:type="dxa" w:w="2160"/>
          </w:tcPr>
          <w:p>
            <w:r>
              <w:t>0.17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5,785.68万</w:t>
            </w:r>
          </w:p>
        </w:tc>
        <w:tc>
          <w:tcPr>
            <w:tcW w:type="dxa" w:w="2160"/>
          </w:tcPr>
          <w:p>
            <w:r>
              <w:t>180.94</w:t>
            </w:r>
          </w:p>
        </w:tc>
        <w:tc>
          <w:tcPr>
            <w:tcW w:type="dxa" w:w="2160"/>
          </w:tcPr>
          <w:p>
            <w:r>
              <w:t>0.21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5,888.34万</w:t>
            </w:r>
          </w:p>
        </w:tc>
        <w:tc>
          <w:tcPr>
            <w:tcW w:type="dxa" w:w="2160"/>
          </w:tcPr>
          <w:p>
            <w:r>
              <w:t>4,638.59</w:t>
            </w:r>
          </w:p>
        </w:tc>
        <w:tc>
          <w:tcPr>
            <w:tcW w:type="dxa" w:w="2160"/>
          </w:tcPr>
          <w:p>
            <w:r>
              <w:t>0.34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工业保护搪瓷材料，搪瓷釉料，幕墙装饰，搪瓷波纹板传热元件，立面装饰搪瓷材料，脱硫脱硝，新型材料，搪瓷装饰材料，搪瓷材料，新材料，新型搪瓷材料，立面板，轨道交通，工业搪瓷，预热器，新型建材，轨交业务，幕墙业务，幕墙，波纹板，搪瓷幕墙，珐琅板绿色建筑幕墙材料，内立面装饰搪瓷材料，幕墙装饰工程</w:t>
            </w:r>
          </w:p>
        </w:tc>
      </w:tr>
      <w:tr>
        <w:tc>
          <w:tcPr>
            <w:tcW w:type="dxa" w:w="8640"/>
          </w:tcPr>
          <w:p>
            <w:r>
              <w:t>所属概念：新能源，太阳能，脱硫脱硝，节能环保，绿色建筑，轨道交通，氢能源，新材料概念，送转填权，迪士尼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