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股票简称：强生控股</w:t>
            </w:r>
          </w:p>
        </w:tc>
        <w:tc>
          <w:tcPr>
            <w:tcW w:type="dxa" w:w="4320"/>
          </w:tcPr>
          <w:p>
            <w:r>
              <w:t>股票代码：600662</w:t>
            </w:r>
          </w:p>
        </w:tc>
      </w:tr>
      <w:tr>
        <w:tc>
          <w:tcPr>
            <w:tcW w:type="dxa" w:w="4320"/>
          </w:tcPr>
          <w:p>
            <w:r>
              <w:t>涨跌幅：9.68  -0.30/-3.01%</w:t>
            </w:r>
          </w:p>
        </w:tc>
        <w:tc>
          <w:tcPr>
            <w:tcW w:type="dxa" w:w="4320"/>
          </w:tcPr>
          <w:p>
            <w:r>
              <w:t>涨停原因：上海国资改革。首板涨停。</w:t>
            </w:r>
          </w:p>
        </w:tc>
      </w:tr>
      <w:tr>
        <w:tc>
          <w:tcPr>
            <w:tcW w:type="dxa" w:w="4320"/>
          </w:tcPr>
          <w:p>
            <w:r>
              <w:t>总股本(股)：10.53亿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总市值(亿元)：101.97</w:t>
            </w:r>
          </w:p>
        </w:tc>
        <w:tc>
          <w:tcPr>
            <w:tcW w:type="dxa" w:w="4320"/>
          </w:tcPr>
          <w:p>
            <w:r>
              <w:t>流通市值(亿元)：101.97</w:t>
            </w:r>
          </w:p>
        </w:tc>
      </w:tr>
      <w:tr>
        <w:tc>
          <w:tcPr>
            <w:tcW w:type="dxa" w:w="4320"/>
          </w:tcPr>
          <w:p>
            <w:r>
              <w:t>市盈率(倍)：-27.64</w:t>
            </w:r>
          </w:p>
        </w:tc>
        <w:tc>
          <w:tcPr>
            <w:tcW w:type="dxa" w:w="4320"/>
          </w:tcPr>
          <w:p>
            <w:r>
              <w:t>市净率(倍)：3.26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-9,222.89万</w:t>
            </w:r>
          </w:p>
        </w:tc>
        <w:tc>
          <w:tcPr>
            <w:tcW w:type="dxa" w:w="2160"/>
          </w:tcPr>
          <w:p>
            <w:r>
              <w:t>-159.74</w:t>
            </w:r>
          </w:p>
        </w:tc>
        <w:tc>
          <w:tcPr>
            <w:tcW w:type="dxa" w:w="2160"/>
          </w:tcPr>
          <w:p>
            <w:r>
              <w:t>-0.09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9,326.40万</w:t>
            </w:r>
          </w:p>
        </w:tc>
        <w:tc>
          <w:tcPr>
            <w:tcW w:type="dxa" w:w="2160"/>
          </w:tcPr>
          <w:p>
            <w:r>
              <w:t>31.21</w:t>
            </w:r>
          </w:p>
        </w:tc>
        <w:tc>
          <w:tcPr>
            <w:tcW w:type="dxa" w:w="2160"/>
          </w:tcPr>
          <w:p>
            <w:r>
              <w:t>0.09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1.53亿</w:t>
            </w:r>
          </w:p>
        </w:tc>
        <w:tc>
          <w:tcPr>
            <w:tcW w:type="dxa" w:w="2160"/>
          </w:tcPr>
          <w:p>
            <w:r>
              <w:t>277.97</w:t>
            </w:r>
          </w:p>
        </w:tc>
        <w:tc>
          <w:tcPr>
            <w:tcW w:type="dxa" w:w="2160"/>
          </w:tcPr>
          <w:p>
            <w:r>
              <w:t>0.15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主营产品名称：旅游服务，汽车服务，汽车租赁，房产，汽车出租，汽车销售，上海强生便捷货运，汽车修理，强生汽车贸易，房地产开发，出租汽车营运，房地产业务，交通运输，出租车业务，出租汽车</w:t>
            </w:r>
          </w:p>
        </w:tc>
      </w:tr>
      <w:tr>
        <w:tc>
          <w:tcPr>
            <w:tcW w:type="dxa" w:w="8640"/>
          </w:tcPr>
          <w:p>
            <w:r>
              <w:t>所属概念：公共交通，网约车，智能交通，融资融券，转融券标的，阿里巴巴概念，共享经济，旅游，上海国资改革，地方国资改革，迪士尼，金融IC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