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股票简称：*ST晨鑫</w:t>
            </w:r>
          </w:p>
        </w:tc>
        <w:tc>
          <w:tcPr>
            <w:tcW w:type="dxa" w:w="4320"/>
          </w:tcPr>
          <w:p>
            <w:r>
              <w:t>股票代码：002447</w:t>
            </w:r>
          </w:p>
        </w:tc>
      </w:tr>
      <w:tr>
        <w:tc>
          <w:tcPr>
            <w:tcW w:type="dxa" w:w="4320"/>
          </w:tcPr>
          <w:p>
            <w:r>
              <w:t>涨跌幅：2.40  +0.01/+0.42%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总股本(股)：14.27亿</w:t>
            </w:r>
          </w:p>
        </w:tc>
        <w:tc>
          <w:tcPr>
            <w:tcW w:type="dxa" w:w="4320"/>
          </w:tcPr>
          <w:p>
            <w:r>
              <w:t>流通比例(%)：94.64</w:t>
            </w:r>
          </w:p>
        </w:tc>
      </w:tr>
      <w:tr>
        <w:tc>
          <w:tcPr>
            <w:tcW w:type="dxa" w:w="4320"/>
          </w:tcPr>
          <w:p>
            <w:r>
              <w:t>总市值(亿元)：34.25</w:t>
            </w:r>
          </w:p>
        </w:tc>
        <w:tc>
          <w:tcPr>
            <w:tcW w:type="dxa" w:w="4320"/>
          </w:tcPr>
          <w:p>
            <w:r>
              <w:t>流通市值(亿元)：32.42</w:t>
            </w:r>
          </w:p>
        </w:tc>
      </w:tr>
      <w:tr>
        <w:tc>
          <w:tcPr>
            <w:tcW w:type="dxa" w:w="4320"/>
          </w:tcPr>
          <w:p>
            <w:r>
              <w:t>市盈率(倍)：846.63</w:t>
            </w:r>
          </w:p>
        </w:tc>
        <w:tc>
          <w:tcPr>
            <w:tcW w:type="dxa" w:w="4320"/>
          </w:tcPr>
          <w:p>
            <w:r>
              <w:t>市净率(倍)：6.08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202.29万</w:t>
            </w:r>
          </w:p>
        </w:tc>
        <w:tc>
          <w:tcPr>
            <w:tcW w:type="dxa" w:w="2160"/>
          </w:tcPr>
          <w:p>
            <w:r>
              <w:t>299.42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126.32万</w:t>
            </w:r>
          </w:p>
        </w:tc>
        <w:tc>
          <w:tcPr>
            <w:tcW w:type="dxa" w:w="2160"/>
          </w:tcPr>
          <w:p>
            <w:r>
              <w:t>-89.51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-9.99亿</w:t>
            </w:r>
          </w:p>
        </w:tc>
        <w:tc>
          <w:tcPr>
            <w:tcW w:type="dxa" w:w="2160"/>
          </w:tcPr>
          <w:p>
            <w:r>
              <w:t>-57.20</w:t>
            </w:r>
          </w:p>
        </w:tc>
        <w:tc>
          <w:tcPr>
            <w:tcW w:type="dxa" w:w="2160"/>
          </w:tcPr>
          <w:p>
            <w:r>
              <w:t>-0.70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68.91万</w:t>
            </w:r>
          </w:p>
        </w:tc>
        <w:tc>
          <w:tcPr>
            <w:tcW w:type="dxa" w:w="2160"/>
          </w:tcPr>
          <w:p>
            <w:r>
              <w:t>-98.95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主营产品名称：1862游戏平台，电子竞技业务，线下赛事竞技，竞斗云区块链，硬件产品，电竞比赛，游戏收入，推广收入</w:t>
            </w:r>
          </w:p>
        </w:tc>
      </w:tr>
      <w:tr>
        <w:tc>
          <w:tcPr>
            <w:tcW w:type="dxa" w:w="8640"/>
          </w:tcPr>
          <w:p>
            <w:r>
              <w:t>所属概念：东北亚经贸中心，区块链应用，电子竞技，网络安全，网络游戏，手机游戏，股权转让，国产软件，人工智能，区块链，ST板块，芯片概念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