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股票简称：星网锐捷</w:t>
            </w:r>
          </w:p>
        </w:tc>
        <w:tc>
          <w:tcPr>
            <w:tcW w:type="dxa" w:w="4320"/>
          </w:tcPr>
          <w:p>
            <w:r>
              <w:t>股票代码：002396</w:t>
            </w:r>
          </w:p>
        </w:tc>
      </w:tr>
      <w:tr>
        <w:tc>
          <w:tcPr>
            <w:tcW w:type="dxa" w:w="4320"/>
          </w:tcPr>
          <w:p>
            <w:r>
              <w:t>涨跌幅：31.84  +0.26/+0.82%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总股本(股)：5.83亿</w:t>
            </w:r>
          </w:p>
        </w:tc>
        <w:tc>
          <w:tcPr>
            <w:tcW w:type="dxa" w:w="4320"/>
          </w:tcPr>
          <w:p>
            <w:r>
              <w:t>流通比例(%)：96.14</w:t>
            </w:r>
          </w:p>
        </w:tc>
      </w:tr>
      <w:tr>
        <w:tc>
          <w:tcPr>
            <w:tcW w:type="dxa" w:w="4320"/>
          </w:tcPr>
          <w:p>
            <w:r>
              <w:t>总市值(亿元)：185.72</w:t>
            </w:r>
          </w:p>
        </w:tc>
        <w:tc>
          <w:tcPr>
            <w:tcW w:type="dxa" w:w="4320"/>
          </w:tcPr>
          <w:p>
            <w:r>
              <w:t>流通市值(亿元)：178.54</w:t>
            </w:r>
          </w:p>
        </w:tc>
      </w:tr>
      <w:tr>
        <w:tc>
          <w:tcPr>
            <w:tcW w:type="dxa" w:w="4320"/>
          </w:tcPr>
          <w:p>
            <w:r>
              <w:t>市盈率(倍)：-86.45</w:t>
            </w:r>
          </w:p>
        </w:tc>
        <w:tc>
          <w:tcPr>
            <w:tcW w:type="dxa" w:w="4320"/>
          </w:tcPr>
          <w:p>
            <w:r>
              <w:t>市净率(倍)：4.45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-5,370.40万</w:t>
            </w:r>
          </w:p>
        </w:tc>
        <w:tc>
          <w:tcPr>
            <w:tcW w:type="dxa" w:w="2160"/>
          </w:tcPr>
          <w:p>
            <w:r>
              <w:t>-771.26</w:t>
            </w:r>
          </w:p>
        </w:tc>
        <w:tc>
          <w:tcPr>
            <w:tcW w:type="dxa" w:w="2160"/>
          </w:tcPr>
          <w:p>
            <w:r>
              <w:t>-0.09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6.11亿</w:t>
            </w:r>
          </w:p>
        </w:tc>
        <w:tc>
          <w:tcPr>
            <w:tcW w:type="dxa" w:w="2160"/>
          </w:tcPr>
          <w:p>
            <w:r>
              <w:t>5.16</w:t>
            </w:r>
          </w:p>
        </w:tc>
        <w:tc>
          <w:tcPr>
            <w:tcW w:type="dxa" w:w="2160"/>
          </w:tcPr>
          <w:p>
            <w:r>
              <w:t>1.05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4.80亿</w:t>
            </w:r>
          </w:p>
        </w:tc>
        <w:tc>
          <w:tcPr>
            <w:tcW w:type="dxa" w:w="2160"/>
          </w:tcPr>
          <w:p>
            <w:r>
              <w:t>19.35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企业级网络设备，通讯产品，视频信息应用，路由器，瘦客户机，网络终端，在线教育，智慧城市，网络设备，企业级网络通讯设备，网络解决方案，软件，安防监控，信息设备，互联网娱乐平台，通讯设备，通讯，视频监控，防灾减灾信息服务，智慧网络，智慧云，智慧通讯，智慧金融，智慧娱乐，智慧社区</w:t>
            </w:r>
          </w:p>
        </w:tc>
      </w:tr>
      <w:tr>
        <w:tc>
          <w:tcPr>
            <w:tcW w:type="dxa" w:w="8640"/>
          </w:tcPr>
          <w:p>
            <w:r>
              <w:t>所属概念：文化传媒，IPV6，电子信息，智能家居，智能路由器，在线教育，宽带中国，国家科技大会，国产替代，移动互联网，融资融券，深股通，网络直播，5G主设备，转融券标的，美团概念股，云计算，5G，物联网，移动支付，腾讯音乐概念，网络安全，华为概念，地方国资改革，RCS富媒体通信，养老金持股，MSCI概念，数据中心，富时罗素概念，富时罗素概念股，标普道琼斯A股，数字中国，空铁WIFI，网络切片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