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股票简称：浙数文化</w:t>
            </w:r>
          </w:p>
        </w:tc>
        <w:tc>
          <w:tcPr>
            <w:tcW w:type="dxa" w:w="4320"/>
          </w:tcPr>
          <w:p>
            <w:r>
              <w:t>股票代码：600633</w:t>
            </w:r>
          </w:p>
        </w:tc>
      </w:tr>
      <w:tr>
        <w:tc>
          <w:tcPr>
            <w:tcW w:type="dxa" w:w="4320"/>
          </w:tcPr>
          <w:p>
            <w:r>
              <w:t>涨跌幅：11.53  +0.34/+3.04%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总股本(股)：13.02亿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总市值(亿元)：150.11</w:t>
            </w:r>
          </w:p>
        </w:tc>
        <w:tc>
          <w:tcPr>
            <w:tcW w:type="dxa" w:w="4320"/>
          </w:tcPr>
          <w:p>
            <w:r>
              <w:t>流通市值(亿元)：150.11</w:t>
            </w:r>
          </w:p>
        </w:tc>
      </w:tr>
      <w:tr>
        <w:tc>
          <w:tcPr>
            <w:tcW w:type="dxa" w:w="4320"/>
          </w:tcPr>
          <w:p>
            <w:r>
              <w:t>市盈率(倍)：20.75</w:t>
            </w:r>
          </w:p>
        </w:tc>
        <w:tc>
          <w:tcPr>
            <w:tcW w:type="dxa" w:w="4320"/>
          </w:tcPr>
          <w:p>
            <w:r>
              <w:t>市净率(倍)：1.81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3.62亿</w:t>
            </w:r>
          </w:p>
        </w:tc>
        <w:tc>
          <w:tcPr>
            <w:tcW w:type="dxa" w:w="2160"/>
          </w:tcPr>
          <w:p>
            <w:r>
              <w:t>11.33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1.92亿</w:t>
            </w:r>
          </w:p>
        </w:tc>
        <w:tc>
          <w:tcPr>
            <w:tcW w:type="dxa" w:w="2160"/>
          </w:tcPr>
          <w:p>
            <w:r>
              <w:t>-23.48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5.08亿</w:t>
            </w:r>
          </w:p>
        </w:tc>
        <w:tc>
          <w:tcPr>
            <w:tcW w:type="dxa" w:w="2160"/>
          </w:tcPr>
          <w:p>
            <w:r>
              <w:t>6.28</w:t>
            </w:r>
          </w:p>
        </w:tc>
        <w:tc>
          <w:tcPr>
            <w:tcW w:type="dxa" w:w="2160"/>
          </w:tcPr>
          <w:p>
            <w:r>
              <w:t>0.40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4.14亿</w:t>
            </w:r>
          </w:p>
        </w:tc>
        <w:tc>
          <w:tcPr>
            <w:tcW w:type="dxa" w:w="2160"/>
          </w:tcPr>
          <w:p>
            <w:r>
              <w:t>3.48</w:t>
            </w:r>
          </w:p>
        </w:tc>
        <w:tc>
          <w:tcPr>
            <w:tcW w:type="dxa" w:w="2160"/>
          </w:tcPr>
          <w:p>
            <w:r>
              <w:t>0.33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广告业务，印刷业务，无线增值服务业务，在线游戏运营业务，衍生产品销售业务，平台运营业务，商品销售业务，印刷，报刊发行，发行，报刊发行业务，彩票，文化传媒，影视，传媒，互联网平台，游戏，广告，游戏业务，互联网电视，传媒互联网，传媒业务，网络游戏，新闻网站，广告及网络推广，无线增值服务，在线游戏运营，游戏衍生产品，游戏平台运营，信息服务，商品销售，广告及网络推广业务，信息服务业务，技术信息服务</w:t>
            </w:r>
          </w:p>
        </w:tc>
      </w:tr>
      <w:tr>
        <w:tc>
          <w:tcPr>
            <w:tcW w:type="dxa" w:w="8640"/>
          </w:tcPr>
          <w:p>
            <w:r>
              <w:t>所属概念：人工智能，新媒体，体育产业，数字出版示范，融资融券，平面媒体，转融券标的，大数据，电子竞技，网络游戏，手机游戏，阿里巴巴概念，网络直播，云计算，独角兽概念，地方国资改革，区块链，数据中心，互联网医疗，数字货币，智慧城市，文化传媒，富时罗素概念股，浙江国资改革，融媒体，商誉减值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