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股票简称：深康佳A</w:t>
            </w:r>
          </w:p>
        </w:tc>
        <w:tc>
          <w:tcPr>
            <w:tcW w:type="dxa" w:w="4320"/>
          </w:tcPr>
          <w:p>
            <w:r>
              <w:t>股票代码：000016</w:t>
            </w:r>
          </w:p>
        </w:tc>
      </w:tr>
      <w:tr>
        <w:tc>
          <w:tcPr>
            <w:tcW w:type="dxa" w:w="4320"/>
          </w:tcPr>
          <w:p>
            <w:r>
              <w:t>涨跌幅：7.08  +0.05/+0.71%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总股本(股)：24.08亿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总市值(亿元)：130.33</w:t>
            </w:r>
          </w:p>
        </w:tc>
        <w:tc>
          <w:tcPr>
            <w:tcW w:type="dxa" w:w="4320"/>
          </w:tcPr>
          <w:p>
            <w:r>
              <w:t>流通市值(亿元)：113.04</w:t>
            </w:r>
          </w:p>
        </w:tc>
      </w:tr>
      <w:tr>
        <w:tc>
          <w:tcPr>
            <w:tcW w:type="dxa" w:w="4320"/>
          </w:tcPr>
          <w:p>
            <w:r>
              <w:t>市盈率(倍)：-19.32</w:t>
            </w:r>
          </w:p>
        </w:tc>
        <w:tc>
          <w:tcPr>
            <w:tcW w:type="dxa" w:w="4320"/>
          </w:tcPr>
          <w:p>
            <w:r>
              <w:t>市净率(倍)：2.17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-2.21亿</w:t>
            </w:r>
          </w:p>
        </w:tc>
        <w:tc>
          <w:tcPr>
            <w:tcW w:type="dxa" w:w="2160"/>
          </w:tcPr>
          <w:p>
            <w:r>
              <w:t>-357.81</w:t>
            </w:r>
          </w:p>
        </w:tc>
        <w:tc>
          <w:tcPr>
            <w:tcW w:type="dxa" w:w="2160"/>
          </w:tcPr>
          <w:p>
            <w:r>
              <w:t>-0.09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2.12亿</w:t>
            </w:r>
          </w:p>
        </w:tc>
        <w:tc>
          <w:tcPr>
            <w:tcW w:type="dxa" w:w="2160"/>
          </w:tcPr>
          <w:p>
            <w:r>
              <w:t>-48.45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4.50亿</w:t>
            </w:r>
          </w:p>
        </w:tc>
        <w:tc>
          <w:tcPr>
            <w:tcW w:type="dxa" w:w="2160"/>
          </w:tcPr>
          <w:p>
            <w:r>
              <w:t>4.81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手机，白电，彩电，液晶模组，模组，彩电业务，冰箱，液晶，电视，芯片，网络，核芯片，视讯，家居，超级电视，oled，自主品牌手机，冷柜，供应链管理，氮化镓，内销彩电业务，外销彩电业务，互联网业务，手机业务，环保业务，工贸业务</w:t>
            </w:r>
          </w:p>
        </w:tc>
      </w:tr>
      <w:tr>
        <w:tc>
          <w:tcPr>
            <w:tcW w:type="dxa" w:w="8640"/>
          </w:tcPr>
          <w:p>
            <w:r>
              <w:t>所属概念：央企控股，智能终端，王者荣耀，腾讯概念，电视游戏，深股通，智能电视，互联网电视，智能家居，IPV6，人民币贬值受益，家用电器，PPP概念，污水处理，央企国资改革，融资融券，分拆上市意愿，芯片概念，转融券标的，MiniLED，创投，消费电子，超清视频，富时罗素概念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