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股票简称：深振业A</w:t>
            </w:r>
          </w:p>
        </w:tc>
        <w:tc>
          <w:tcPr>
            <w:tcW w:type="dxa" w:w="4320"/>
          </w:tcPr>
          <w:p>
            <w:r>
              <w:t>股票代码：000006</w:t>
            </w:r>
          </w:p>
        </w:tc>
      </w:tr>
      <w:tr>
        <w:tc>
          <w:tcPr>
            <w:tcW w:type="dxa" w:w="4320"/>
          </w:tcPr>
          <w:p>
            <w:r>
              <w:t>涨跌幅：8.15  +0.08/+0.99%</w:t>
            </w:r>
          </w:p>
        </w:tc>
        <w:tc>
          <w:tcPr>
            <w:tcW w:type="dxa" w:w="4320"/>
          </w:tcPr>
          <w:p>
            <w:r>
              <w:t>涨停原因：深圳本地股。首板涨停。</w:t>
            </w:r>
          </w:p>
        </w:tc>
      </w:tr>
      <w:tr>
        <w:tc>
          <w:tcPr>
            <w:tcW w:type="dxa" w:w="4320"/>
          </w:tcPr>
          <w:p>
            <w:r>
              <w:t>总股本(股)：13.50亿</w:t>
            </w:r>
          </w:p>
        </w:tc>
        <w:tc>
          <w:tcPr>
            <w:tcW w:type="dxa" w:w="4320"/>
          </w:tcPr>
          <w:p>
            <w:r>
              <w:t>流通比例(%)：99.88</w:t>
            </w:r>
          </w:p>
        </w:tc>
      </w:tr>
      <w:tr>
        <w:tc>
          <w:tcPr>
            <w:tcW w:type="dxa" w:w="4320"/>
          </w:tcPr>
          <w:p>
            <w:r>
              <w:t>总市值(亿元)：110.02</w:t>
            </w:r>
          </w:p>
        </w:tc>
        <w:tc>
          <w:tcPr>
            <w:tcW w:type="dxa" w:w="4320"/>
          </w:tcPr>
          <w:p>
            <w:r>
              <w:t>流通市值(亿元)：109.89</w:t>
            </w:r>
          </w:p>
        </w:tc>
      </w:tr>
      <w:tr>
        <w:tc>
          <w:tcPr>
            <w:tcW w:type="dxa" w:w="4320"/>
          </w:tcPr>
          <w:p>
            <w:r>
              <w:t>市盈率(倍)：21.5</w:t>
            </w:r>
          </w:p>
        </w:tc>
        <w:tc>
          <w:tcPr>
            <w:tcW w:type="dxa" w:w="4320"/>
          </w:tcPr>
          <w:p>
            <w:r>
              <w:t>市净率(倍)：1.6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1.28亿</w:t>
            </w:r>
          </w:p>
        </w:tc>
        <w:tc>
          <w:tcPr>
            <w:tcW w:type="dxa" w:w="2160"/>
          </w:tcPr>
          <w:p>
            <w:r>
              <w:t>15.40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8.01亿</w:t>
            </w:r>
          </w:p>
        </w:tc>
        <w:tc>
          <w:tcPr>
            <w:tcW w:type="dxa" w:w="2160"/>
          </w:tcPr>
          <w:p>
            <w:r>
              <w:t>-8.36</w:t>
            </w:r>
          </w:p>
        </w:tc>
        <w:tc>
          <w:tcPr>
            <w:tcW w:type="dxa" w:w="2160"/>
          </w:tcPr>
          <w:p>
            <w:r>
              <w:t>0.59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4.52亿</w:t>
            </w:r>
          </w:p>
        </w:tc>
        <w:tc>
          <w:tcPr>
            <w:tcW w:type="dxa" w:w="2160"/>
          </w:tcPr>
          <w:p>
            <w:r>
              <w:t>-10.21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主营产品名称：物业出租，商品住宅，物业租赁，商品房销售，房产销售，房产租赁</w:t>
            </w:r>
          </w:p>
        </w:tc>
      </w:tr>
      <w:tr>
        <w:tc>
          <w:tcPr>
            <w:tcW w:type="dxa" w:w="8640"/>
          </w:tcPr>
          <w:p>
            <w:r>
              <w:t>所属概念：融资融券，深股通，转融券标的，粤港澳大湾区，地方国资改革，广东国资改革，深圳国资改革，标普道琼斯A股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